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7A351D" w:rsidP="0053609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Assoc. Prof. </w:t>
            </w:r>
            <w:r w:rsidR="0053609F">
              <w:rPr>
                <w:rFonts w:ascii="Century Gothic" w:hAnsi="Century Gothic"/>
                <w:lang w:val="en-PH"/>
              </w:rPr>
              <w:t>RHODELIA H. MENDOZA</w:t>
            </w:r>
            <w:r>
              <w:rPr>
                <w:rFonts w:ascii="Century Gothic" w:hAnsi="Century Gothic"/>
                <w:lang w:val="en-PH"/>
              </w:rPr>
              <w:t>, Ph.D.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7A351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7A351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Languages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7A351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7A351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(+632) 7861611 loc.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53609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</w:t>
            </w:r>
            <w:r w:rsidR="007A351D">
              <w:rPr>
                <w:rFonts w:ascii="Century Gothic" w:hAnsi="Century Gothic"/>
                <w:lang w:val="en-PH"/>
              </w:rPr>
              <w:t>hodelia.mendoza@</w:t>
            </w:r>
            <w:r>
              <w:rPr>
                <w:rFonts w:ascii="Century Gothic" w:hAnsi="Century Gothic"/>
                <w:lang w:val="en-PH"/>
              </w:rPr>
              <w:t>ust.</w:t>
            </w:r>
            <w:r w:rsidR="007A351D">
              <w:rPr>
                <w:rFonts w:ascii="Century Gothic" w:hAnsi="Century Gothic"/>
                <w:lang w:val="en-PH"/>
              </w:rPr>
              <w:t>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AC142B" w:rsidP="0053609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53609F">
              <w:rPr>
                <w:rFonts w:ascii="Century Gothic" w:hAnsi="Century Gothic"/>
                <w:lang w:val="en-PH"/>
              </w:rPr>
              <w:t>, 10</w:t>
            </w:r>
            <w:r>
              <w:rPr>
                <w:rFonts w:ascii="Century Gothic" w:hAnsi="Century Gothic"/>
                <w:lang w:val="en-PH"/>
              </w:rPr>
              <w:t xml:space="preserve">:00-11:00 </w:t>
            </w:r>
            <w:r w:rsidR="0053609F">
              <w:rPr>
                <w:rFonts w:ascii="Century Gothic" w:hAnsi="Century Gothic"/>
                <w:lang w:val="en-PH"/>
              </w:rPr>
              <w:t>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7A351D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Ph.D. Filipino</w:t>
            </w:r>
          </w:p>
        </w:tc>
        <w:tc>
          <w:tcPr>
            <w:tcW w:w="2013" w:type="dxa"/>
          </w:tcPr>
          <w:p w:rsidR="00B42459" w:rsidRPr="000548E9" w:rsidRDefault="007A351D" w:rsidP="0053609F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53609F">
              <w:rPr>
                <w:rFonts w:ascii="Century Gothic" w:hAnsi="Century Gothic"/>
                <w:sz w:val="20"/>
                <w:lang w:val="en-PH"/>
              </w:rPr>
              <w:t xml:space="preserve">anuel Luis Quezon </w:t>
            </w:r>
            <w:r>
              <w:rPr>
                <w:rFonts w:ascii="Century Gothic" w:hAnsi="Century Gothic"/>
                <w:sz w:val="20"/>
                <w:lang w:val="en-PH"/>
              </w:rPr>
              <w:t>University</w:t>
            </w:r>
          </w:p>
        </w:tc>
        <w:tc>
          <w:tcPr>
            <w:tcW w:w="2032" w:type="dxa"/>
          </w:tcPr>
          <w:p w:rsidR="00B42459" w:rsidRPr="000548E9" w:rsidRDefault="007A351D" w:rsidP="0053609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2001</w:t>
            </w:r>
          </w:p>
        </w:tc>
      </w:tr>
      <w:tr w:rsidR="0053609F" w:rsidRPr="000548E9" w:rsidTr="00B42459">
        <w:trPr>
          <w:trHeight w:val="126"/>
        </w:trPr>
        <w:tc>
          <w:tcPr>
            <w:tcW w:w="2334" w:type="dxa"/>
          </w:tcPr>
          <w:p w:rsidR="0053609F" w:rsidRPr="00B42459" w:rsidRDefault="0053609F" w:rsidP="0053609F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53609F" w:rsidRPr="000548E9" w:rsidRDefault="0053609F" w:rsidP="0053609F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M.A. Filipino</w:t>
            </w:r>
          </w:p>
        </w:tc>
        <w:tc>
          <w:tcPr>
            <w:tcW w:w="2013" w:type="dxa"/>
          </w:tcPr>
          <w:p w:rsidR="0053609F" w:rsidRDefault="0053609F" w:rsidP="0053609F">
            <w:r w:rsidRPr="00E67455">
              <w:rPr>
                <w:rFonts w:ascii="Century Gothic" w:hAnsi="Century Gothic"/>
                <w:sz w:val="20"/>
                <w:lang w:val="en-PH"/>
              </w:rPr>
              <w:t>Manuel Luis Quezon University</w:t>
            </w:r>
          </w:p>
        </w:tc>
        <w:tc>
          <w:tcPr>
            <w:tcW w:w="2032" w:type="dxa"/>
          </w:tcPr>
          <w:p w:rsidR="0053609F" w:rsidRPr="000548E9" w:rsidRDefault="0053609F" w:rsidP="0053609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2008</w:t>
            </w:r>
          </w:p>
        </w:tc>
      </w:tr>
      <w:tr w:rsidR="0053609F" w:rsidRPr="000548E9" w:rsidTr="00B42459">
        <w:trPr>
          <w:trHeight w:val="133"/>
        </w:trPr>
        <w:tc>
          <w:tcPr>
            <w:tcW w:w="2334" w:type="dxa"/>
          </w:tcPr>
          <w:p w:rsidR="0053609F" w:rsidRPr="00B42459" w:rsidRDefault="0053609F" w:rsidP="0053609F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53609F" w:rsidRPr="000548E9" w:rsidRDefault="0053609F" w:rsidP="0053609F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BSE English &amp; Filipino</w:t>
            </w:r>
          </w:p>
        </w:tc>
        <w:tc>
          <w:tcPr>
            <w:tcW w:w="2013" w:type="dxa"/>
          </w:tcPr>
          <w:p w:rsidR="0053609F" w:rsidRDefault="0053609F" w:rsidP="0053609F">
            <w:r w:rsidRPr="00E67455">
              <w:rPr>
                <w:rFonts w:ascii="Century Gothic" w:hAnsi="Century Gothic"/>
                <w:sz w:val="20"/>
                <w:lang w:val="en-PH"/>
              </w:rPr>
              <w:t>Manuel Luis Quezon University</w:t>
            </w:r>
          </w:p>
        </w:tc>
        <w:tc>
          <w:tcPr>
            <w:tcW w:w="2032" w:type="dxa"/>
          </w:tcPr>
          <w:p w:rsidR="0053609F" w:rsidRPr="000548E9" w:rsidRDefault="0053609F" w:rsidP="0053609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1973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3609F" w:rsidRDefault="00AC142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3609F">
              <w:rPr>
                <w:rFonts w:ascii="Century Gothic" w:hAnsi="Century Gothic"/>
                <w:sz w:val="20"/>
                <w:lang w:val="en-PH"/>
              </w:rPr>
              <w:t>SANGFIL</w:t>
            </w:r>
          </w:p>
        </w:tc>
        <w:tc>
          <w:tcPr>
            <w:tcW w:w="2013" w:type="dxa"/>
          </w:tcPr>
          <w:p w:rsidR="00B42459" w:rsidRPr="0053609F" w:rsidRDefault="0053609F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AC142B" w:rsidRPr="0053609F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3609F" w:rsidRDefault="00AC142B" w:rsidP="0053609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3609F">
              <w:rPr>
                <w:rFonts w:ascii="Century Gothic" w:hAnsi="Century Gothic"/>
                <w:sz w:val="20"/>
                <w:lang w:val="en-PH"/>
              </w:rPr>
              <w:t>2014-present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53609F" w:rsidRDefault="00AC142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53609F">
              <w:rPr>
                <w:rFonts w:ascii="Century Gothic" w:hAnsi="Century Gothic"/>
                <w:sz w:val="20"/>
                <w:lang w:val="en-PH"/>
              </w:rPr>
              <w:t>PSLLF</w:t>
            </w:r>
          </w:p>
        </w:tc>
        <w:tc>
          <w:tcPr>
            <w:tcW w:w="2013" w:type="dxa"/>
          </w:tcPr>
          <w:p w:rsidR="00B42459" w:rsidRPr="0053609F" w:rsidRDefault="0053609F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AC142B" w:rsidRPr="0053609F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53609F" w:rsidRDefault="00AC142B" w:rsidP="0053609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53609F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AC142B" w:rsidRDefault="00AC142B">
            <w:pPr>
              <w:rPr>
                <w:rFonts w:ascii="Century Gothic" w:hAnsi="Century Gothic"/>
                <w:lang w:val="en-PH"/>
              </w:rPr>
            </w:pPr>
          </w:p>
          <w:p w:rsidR="00B42459" w:rsidRDefault="0053609F">
            <w:pPr>
              <w:rPr>
                <w:rFonts w:ascii="Century Gothic" w:hAnsi="Century Gothic"/>
                <w:lang w:val="en-PH"/>
              </w:rPr>
            </w:pP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Dr. </w:t>
            </w:r>
            <w:proofErr w:type="spellStart"/>
            <w:r w:rsidRPr="0053609F">
              <w:rPr>
                <w:rFonts w:ascii="Century Gothic" w:hAnsi="Century Gothic"/>
                <w:sz w:val="20"/>
                <w:lang w:val="en-PH"/>
              </w:rPr>
              <w:t>Rhodelia</w:t>
            </w:r>
            <w:proofErr w:type="spellEnd"/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Mendoza completed her basic education at </w:t>
            </w:r>
            <w:proofErr w:type="spellStart"/>
            <w:r w:rsidRPr="0053609F">
              <w:rPr>
                <w:rFonts w:ascii="Century Gothic" w:hAnsi="Century Gothic"/>
                <w:sz w:val="20"/>
                <w:lang w:val="en-PH"/>
              </w:rPr>
              <w:t>Guinayangan</w:t>
            </w:r>
            <w:proofErr w:type="spellEnd"/>
            <w:r w:rsidRPr="0053609F">
              <w:rPr>
                <w:rFonts w:ascii="Century Gothic" w:hAnsi="Century Gothic"/>
                <w:sz w:val="20"/>
                <w:lang w:val="en-PH"/>
              </w:rPr>
              <w:t>, Quezon</w:t>
            </w:r>
            <w:r w:rsidR="00F302D1" w:rsidRPr="0053609F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and her undergraduate degree in Secondary Education with majors in English and Filipino in 1973 at the Manuel Luis Quezon University, Manila. </w:t>
            </w:r>
            <w:r w:rsidR="00F302D1" w:rsidRPr="0053609F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>She obtained her M</w:t>
            </w:r>
            <w:r w:rsidR="001F6493" w:rsidRPr="0053609F">
              <w:rPr>
                <w:rFonts w:ascii="Century Gothic" w:hAnsi="Century Gothic"/>
                <w:sz w:val="20"/>
                <w:lang w:val="en-PH"/>
              </w:rPr>
              <w:t xml:space="preserve">.A. Filipino degree in 1998 having </w:t>
            </w:r>
            <w:proofErr w:type="gramStart"/>
            <w:r w:rsidR="001F6493" w:rsidRPr="0053609F">
              <w:rPr>
                <w:rFonts w:ascii="Century Gothic" w:hAnsi="Century Gothic"/>
                <w:sz w:val="20"/>
                <w:lang w:val="en-PH"/>
              </w:rPr>
              <w:t>been  influenced</w:t>
            </w:r>
            <w:proofErr w:type="gramEnd"/>
            <w:r w:rsidR="001F6493" w:rsidRPr="0053609F">
              <w:rPr>
                <w:rFonts w:ascii="Century Gothic" w:hAnsi="Century Gothic"/>
                <w:sz w:val="20"/>
                <w:lang w:val="en-PH"/>
              </w:rPr>
              <w:t xml:space="preserve"> by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her mentor, </w:t>
            </w:r>
            <w:r w:rsidR="001F6493" w:rsidRPr="0053609F">
              <w:rPr>
                <w:rFonts w:ascii="Century Gothic" w:hAnsi="Century Gothic"/>
                <w:sz w:val="20"/>
                <w:lang w:val="en-PH"/>
              </w:rPr>
              <w:t>Atty.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="001F6493" w:rsidRPr="0053609F">
              <w:rPr>
                <w:rFonts w:ascii="Century Gothic" w:hAnsi="Century Gothic"/>
                <w:sz w:val="20"/>
                <w:lang w:val="en-PH"/>
              </w:rPr>
              <w:t>Ponciano</w:t>
            </w:r>
            <w:proofErr w:type="spellEnd"/>
            <w:r w:rsidR="001F6493" w:rsidRPr="0053609F">
              <w:rPr>
                <w:rFonts w:ascii="Century Gothic" w:hAnsi="Century Gothic"/>
                <w:sz w:val="20"/>
                <w:lang w:val="en-PH"/>
              </w:rPr>
              <w:t xml:space="preserve"> B.P. Pineda,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923DBD" w:rsidRPr="0053609F">
              <w:rPr>
                <w:rFonts w:ascii="Century Gothic" w:hAnsi="Century Gothic"/>
                <w:sz w:val="20"/>
                <w:lang w:val="en-PH"/>
              </w:rPr>
              <w:t xml:space="preserve">former Chair of </w:t>
            </w:r>
            <w:proofErr w:type="spellStart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>Komisyon</w:t>
            </w:r>
            <w:proofErr w:type="spellEnd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 xml:space="preserve"> </w:t>
            </w:r>
            <w:proofErr w:type="spellStart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>sa</w:t>
            </w:r>
            <w:proofErr w:type="spellEnd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 xml:space="preserve"> </w:t>
            </w:r>
            <w:proofErr w:type="spellStart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>Wikang</w:t>
            </w:r>
            <w:proofErr w:type="spellEnd"/>
            <w:r w:rsidR="00923DBD" w:rsidRPr="0053609F">
              <w:rPr>
                <w:rFonts w:ascii="Century Gothic" w:hAnsi="Century Gothic"/>
                <w:i/>
                <w:sz w:val="20"/>
                <w:lang w:val="en-PH"/>
              </w:rPr>
              <w:t xml:space="preserve"> Filipino</w:t>
            </w:r>
            <w:r w:rsidRPr="0053609F">
              <w:rPr>
                <w:rFonts w:ascii="Century Gothic" w:hAnsi="Century Gothic"/>
                <w:i/>
                <w:sz w:val="20"/>
                <w:lang w:val="en-PH"/>
              </w:rPr>
              <w:t xml:space="preserve">. 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>She attained her doctorate degree in Filipino in 2001.</w:t>
            </w:r>
            <w:r w:rsidR="001F6493" w:rsidRPr="0053609F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A competent and able educator, Dr. Mendoza instilled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awareness and imbibed among her students respect for the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>Philippines’</w:t>
            </w:r>
            <w:r w:rsidR="00923DBD" w:rsidRPr="0053609F">
              <w:rPr>
                <w:rFonts w:ascii="Century Gothic" w:hAnsi="Century Gothic"/>
                <w:sz w:val="20"/>
                <w:lang w:val="en-PH"/>
              </w:rPr>
              <w:t xml:space="preserve"> native language, its beauty and importance. 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With decades of teaching experience, she has b</w:t>
            </w:r>
            <w:r w:rsidR="00923DBD" w:rsidRPr="0053609F">
              <w:rPr>
                <w:rFonts w:ascii="Century Gothic" w:hAnsi="Century Gothic"/>
                <w:sz w:val="20"/>
                <w:lang w:val="en-PH"/>
              </w:rPr>
              <w:t>een an instrument for inculcating love of one’s language, country and people</w:t>
            </w:r>
            <w:r w:rsidR="005C4F0D" w:rsidRPr="0053609F">
              <w:rPr>
                <w:rFonts w:ascii="Century Gothic" w:hAnsi="Century Gothic"/>
                <w:sz w:val="20"/>
                <w:lang w:val="en-PH"/>
              </w:rPr>
              <w:t xml:space="preserve"> in the minds of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 xml:space="preserve"> the Filipino</w:t>
            </w:r>
            <w:r w:rsidR="005C4F0D" w:rsidRPr="0053609F">
              <w:rPr>
                <w:rFonts w:ascii="Century Gothic" w:hAnsi="Century Gothic"/>
                <w:sz w:val="20"/>
                <w:lang w:val="en-PH"/>
              </w:rPr>
              <w:t xml:space="preserve"> youth</w:t>
            </w:r>
            <w:r w:rsidRPr="0053609F">
              <w:rPr>
                <w:rFonts w:ascii="Century Gothic" w:hAnsi="Century Gothic"/>
                <w:sz w:val="20"/>
                <w:lang w:val="en-PH"/>
              </w:rPr>
              <w:t>.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bookmarkStart w:id="0" w:name="_GoBack"/>
            <w:bookmarkEnd w:id="0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0548E9" w:rsidRDefault="00C755E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 1  &amp;Fil 2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0548E9" w:rsidRDefault="00C755E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  1 &amp; Fil 2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0548E9" w:rsidRDefault="00C755E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  1 &amp; Fil 2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0548E9" w:rsidRDefault="00C755E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  1,  Fil 2  &amp; Fil 3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0548E9" w:rsidRDefault="00C755E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 1, Fil2 &amp; Fil 3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Pr="00F2371B" w:rsidRDefault="001B6D8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Mendoza, R.H.</w:t>
            </w:r>
            <w:r w:rsidR="00F2371B">
              <w:rPr>
                <w:rFonts w:ascii="Century Gothic" w:hAnsi="Century Gothic"/>
                <w:lang w:val="en-PH"/>
              </w:rPr>
              <w:t xml:space="preserve"> et al. (2017).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Pagsusuri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kaalaman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ng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mga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mag-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aaral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ng College of Tourism and Hospitality Management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tungkol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sanhi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,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epekto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atparaan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ng </w:t>
            </w:r>
            <w:proofErr w:type="spellStart"/>
            <w:r w:rsidR="00C755EA">
              <w:rPr>
                <w:rFonts w:ascii="Century Gothic" w:hAnsi="Century Gothic"/>
                <w:lang w:val="en-PH"/>
              </w:rPr>
              <w:t>paggamot</w:t>
            </w:r>
            <w:proofErr w:type="spellEnd"/>
            <w:r w:rsidR="00C755EA">
              <w:rPr>
                <w:rFonts w:ascii="Century Gothic" w:hAnsi="Century Gothic"/>
                <w:lang w:val="en-PH"/>
              </w:rPr>
              <w:t xml:space="preserve"> ng </w:t>
            </w:r>
            <w:r w:rsidR="00C755EA" w:rsidRPr="00C755EA">
              <w:rPr>
                <w:rFonts w:ascii="Century Gothic" w:hAnsi="Century Gothic"/>
                <w:i/>
                <w:lang w:val="en-PH"/>
              </w:rPr>
              <w:t>allergies</w:t>
            </w:r>
            <w:r w:rsidR="00F2371B">
              <w:rPr>
                <w:rFonts w:ascii="Century Gothic" w:hAnsi="Century Gothic"/>
                <w:lang w:val="en-PH"/>
              </w:rPr>
              <w:t xml:space="preserve">. UST Pharmacy, </w:t>
            </w:r>
            <w:proofErr w:type="spellStart"/>
            <w:r w:rsidR="00F2371B">
              <w:rPr>
                <w:rFonts w:ascii="Century Gothic" w:hAnsi="Century Gothic"/>
                <w:lang w:val="en-PH"/>
              </w:rPr>
              <w:t>Dept</w:t>
            </w:r>
            <w:proofErr w:type="spellEnd"/>
            <w:r w:rsidR="00F2371B">
              <w:rPr>
                <w:rFonts w:ascii="Century Gothic" w:hAnsi="Century Gothic"/>
                <w:lang w:val="en-PH"/>
              </w:rPr>
              <w:t xml:space="preserve"> of Medical Technology. Manila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5C4F0D" w:rsidRPr="000548E9" w:rsidRDefault="001B6D8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Mendoza, </w:t>
            </w:r>
            <w:proofErr w:type="gramStart"/>
            <w:r>
              <w:rPr>
                <w:rFonts w:ascii="Century Gothic" w:hAnsi="Century Gothic"/>
                <w:lang w:val="en-PH"/>
              </w:rPr>
              <w:t>R.H.</w:t>
            </w:r>
            <w:r w:rsidR="005C4F0D">
              <w:rPr>
                <w:rFonts w:ascii="Century Gothic" w:hAnsi="Century Gothic"/>
                <w:lang w:val="en-PH"/>
              </w:rPr>
              <w:t>.</w:t>
            </w:r>
            <w:proofErr w:type="gramEnd"/>
            <w:r w:rsidR="005C4F0D">
              <w:rPr>
                <w:rFonts w:ascii="Century Gothic" w:hAnsi="Century Gothic"/>
                <w:lang w:val="en-PH"/>
              </w:rPr>
              <w:t xml:space="preserve"> et al. ( 2017).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Pagsusuri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epekto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ng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diyeta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pagpapanatili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ng normal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na</w:t>
            </w:r>
            <w:proofErr w:type="spellEnd"/>
            <w:r w:rsidR="005C4F0D">
              <w:rPr>
                <w:rFonts w:ascii="Century Gothic" w:hAnsi="Century Gothic"/>
                <w:lang w:val="en-PH"/>
              </w:rPr>
              <w:t xml:space="preserve"> blood pressure </w:t>
            </w:r>
            <w:proofErr w:type="spellStart"/>
            <w:r w:rsidR="005C4F0D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E33E16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E33E16">
              <w:rPr>
                <w:rFonts w:ascii="Century Gothic" w:hAnsi="Century Gothic"/>
                <w:lang w:val="en-PH"/>
              </w:rPr>
              <w:t>mga</w:t>
            </w:r>
            <w:proofErr w:type="spellEnd"/>
            <w:r w:rsidR="00E33E16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E33E16">
              <w:rPr>
                <w:rFonts w:ascii="Century Gothic" w:hAnsi="Century Gothic"/>
                <w:lang w:val="en-PH"/>
              </w:rPr>
              <w:t>guro</w:t>
            </w:r>
            <w:proofErr w:type="spellEnd"/>
            <w:r w:rsidR="00E33E16">
              <w:rPr>
                <w:rFonts w:ascii="Century Gothic" w:hAnsi="Century Gothic"/>
                <w:lang w:val="en-PH"/>
              </w:rPr>
              <w:t xml:space="preserve"> ng UST </w:t>
            </w:r>
            <w:proofErr w:type="spellStart"/>
            <w:r w:rsidR="00E33E16">
              <w:rPr>
                <w:rFonts w:ascii="Century Gothic" w:hAnsi="Century Gothic"/>
                <w:lang w:val="en-PH"/>
              </w:rPr>
              <w:t>Fakultad</w:t>
            </w:r>
            <w:proofErr w:type="spellEnd"/>
            <w:r w:rsidR="00E33E16">
              <w:rPr>
                <w:rFonts w:ascii="Century Gothic" w:hAnsi="Century Gothic"/>
                <w:lang w:val="en-PH"/>
              </w:rPr>
              <w:t xml:space="preserve"> ng </w:t>
            </w:r>
            <w:proofErr w:type="spellStart"/>
            <w:r w:rsidR="00E33E16">
              <w:rPr>
                <w:rFonts w:ascii="Century Gothic" w:hAnsi="Century Gothic"/>
                <w:lang w:val="en-PH"/>
              </w:rPr>
              <w:t>Farmasya</w:t>
            </w:r>
            <w:proofErr w:type="spellEnd"/>
            <w:r>
              <w:rPr>
                <w:rFonts w:ascii="Century Gothic" w:hAnsi="Century Gothic"/>
                <w:lang w:val="en-PH"/>
              </w:rPr>
              <w:t>. UST faculty of Pharmacy Dept. of Medical Technology, Manila</w:t>
            </w:r>
          </w:p>
        </w:tc>
      </w:tr>
      <w:tr w:rsidR="00F2371B" w:rsidRPr="000548E9" w:rsidTr="002C354D">
        <w:tc>
          <w:tcPr>
            <w:tcW w:w="9350" w:type="dxa"/>
          </w:tcPr>
          <w:p w:rsidR="00F2371B" w:rsidRDefault="001B6D82" w:rsidP="002C354D">
            <w:pPr>
              <w:rPr>
                <w:rFonts w:ascii="Century Gothic" w:hAnsi="Century Gothic"/>
                <w:sz w:val="18"/>
                <w:lang w:val="en-PH"/>
              </w:rPr>
            </w:pPr>
            <w:r>
              <w:rPr>
                <w:rFonts w:ascii="Century Gothic" w:hAnsi="Century Gothic"/>
                <w:sz w:val="18"/>
                <w:lang w:val="en-PH"/>
              </w:rPr>
              <w:t>Mendoza,R.H.</w:t>
            </w:r>
            <w:r w:rsidR="00F2371B">
              <w:rPr>
                <w:rFonts w:ascii="Century Gothic" w:hAnsi="Century Gothic"/>
                <w:sz w:val="18"/>
                <w:lang w:val="en-PH"/>
              </w:rPr>
              <w:t xml:space="preserve"> et al. (2017).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Pagkaing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kayye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bilang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sanhi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pagkakaroon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ng typhoid fever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karanasan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proofErr w:type="gramStart"/>
            <w:r w:rsidR="00F2371B">
              <w:rPr>
                <w:rFonts w:ascii="Century Gothic" w:hAnsi="Century Gothic"/>
                <w:sz w:val="18"/>
                <w:lang w:val="en-PH"/>
              </w:rPr>
              <w:t>mga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 piling</w:t>
            </w:r>
            <w:proofErr w:type="gram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estudyante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r w:rsidR="00F2371B">
              <w:rPr>
                <w:rFonts w:ascii="Century Gothic" w:hAnsi="Century Gothic"/>
                <w:sz w:val="18"/>
                <w:lang w:val="en-PH"/>
              </w:rPr>
              <w:t>Unibersidad</w:t>
            </w:r>
            <w:proofErr w:type="spellEnd"/>
            <w:r w:rsidR="00F2371B">
              <w:rPr>
                <w:rFonts w:ascii="Century Gothic" w:hAnsi="Century Gothic"/>
                <w:sz w:val="18"/>
                <w:lang w:val="en-PH"/>
              </w:rPr>
              <w:t xml:space="preserve"> ng Santo Tomas . UST Pharmacy Dept. of Medical Technology, Manila</w:t>
            </w:r>
          </w:p>
          <w:p w:rsidR="00F2371B" w:rsidRDefault="00F2371B" w:rsidP="002C354D">
            <w:pPr>
              <w:rPr>
                <w:rFonts w:ascii="Century Gothic" w:hAnsi="Century Gothic"/>
                <w:sz w:val="18"/>
                <w:lang w:val="en-PH"/>
              </w:rPr>
            </w:pPr>
          </w:p>
          <w:p w:rsidR="00F2371B" w:rsidRDefault="00F2371B" w:rsidP="002C354D">
            <w:pPr>
              <w:rPr>
                <w:rFonts w:ascii="Century Gothic" w:hAnsi="Century Gothic"/>
                <w:sz w:val="18"/>
                <w:lang w:val="en-PH"/>
              </w:rPr>
            </w:pPr>
            <w:r>
              <w:rPr>
                <w:rFonts w:ascii="Century Gothic" w:hAnsi="Century Gothic"/>
                <w:sz w:val="18"/>
                <w:lang w:val="en-PH"/>
              </w:rPr>
              <w:t xml:space="preserve">Mendoza, R.H. et al. (2017)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Pagsusuri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antas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 ng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kaalaman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mga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piling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residente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Sampaloc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Maynila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edad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18-30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tungkol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bulateng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ascaris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>. UST Pharmacy Dept. of Medical Technology, Manila.</w:t>
            </w:r>
          </w:p>
          <w:p w:rsidR="00E33E16" w:rsidRDefault="00E33E16" w:rsidP="002C354D">
            <w:pPr>
              <w:rPr>
                <w:rFonts w:ascii="Century Gothic" w:hAnsi="Century Gothic"/>
                <w:sz w:val="18"/>
                <w:lang w:val="en-PH"/>
              </w:rPr>
            </w:pPr>
          </w:p>
          <w:p w:rsidR="00E33E16" w:rsidRDefault="00E33E16" w:rsidP="002C354D">
            <w:pPr>
              <w:rPr>
                <w:rFonts w:ascii="Century Gothic" w:hAnsi="Century Gothic"/>
                <w:sz w:val="18"/>
                <w:lang w:val="en-PH"/>
              </w:rPr>
            </w:pP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Mendoza,R.H.,et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al. (2017).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Pag-aaral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Epekto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ng Fiber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pagdumi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ayon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sa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karanasan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mga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 piling mag-</w:t>
            </w:r>
            <w:proofErr w:type="spellStart"/>
            <w:r>
              <w:rPr>
                <w:rFonts w:ascii="Century Gothic" w:hAnsi="Century Gothic"/>
                <w:sz w:val="18"/>
                <w:lang w:val="en-PH"/>
              </w:rPr>
              <w:t>aaral</w:t>
            </w:r>
            <w:proofErr w:type="spellEnd"/>
            <w:r>
              <w:rPr>
                <w:rFonts w:ascii="Century Gothic" w:hAnsi="Century Gothic"/>
                <w:sz w:val="18"/>
                <w:lang w:val="en-PH"/>
              </w:rPr>
              <w:t xml:space="preserve">  ng UST Medical Technology, A.Y. 2016-2017. UST, Faculty of Pharmacy, Dept. of Medical Technology. Manila</w:t>
            </w:r>
          </w:p>
          <w:p w:rsidR="00F2371B" w:rsidRDefault="00F2371B" w:rsidP="002C354D">
            <w:pPr>
              <w:rPr>
                <w:rFonts w:ascii="Century Gothic" w:hAnsi="Century Gothic"/>
                <w:sz w:val="18"/>
                <w:lang w:val="en-PH"/>
              </w:rPr>
            </w:pPr>
          </w:p>
          <w:p w:rsidR="00F2371B" w:rsidRPr="00B42459" w:rsidRDefault="00F2371B" w:rsidP="002C354D">
            <w:pPr>
              <w:rPr>
                <w:rFonts w:ascii="Century Gothic" w:hAnsi="Century Gothic"/>
                <w:sz w:val="18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5124E"/>
    <w:rsid w:val="001B6D82"/>
    <w:rsid w:val="001E7BF5"/>
    <w:rsid w:val="001F6493"/>
    <w:rsid w:val="0053609F"/>
    <w:rsid w:val="005C4F0D"/>
    <w:rsid w:val="007A351D"/>
    <w:rsid w:val="00923DBD"/>
    <w:rsid w:val="00AC142B"/>
    <w:rsid w:val="00B42459"/>
    <w:rsid w:val="00C25AAF"/>
    <w:rsid w:val="00C632AF"/>
    <w:rsid w:val="00C755EA"/>
    <w:rsid w:val="00DC602E"/>
    <w:rsid w:val="00E33E16"/>
    <w:rsid w:val="00F2371B"/>
    <w:rsid w:val="00F3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4</cp:revision>
  <dcterms:created xsi:type="dcterms:W3CDTF">2017-04-05T04:37:00Z</dcterms:created>
  <dcterms:modified xsi:type="dcterms:W3CDTF">2017-04-14T08:13:00Z</dcterms:modified>
</cp:coreProperties>
</file>