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 w:rsidP="002C354D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C60BCC" w:rsidRDefault="00C60BCC">
            <w:pPr>
              <w:rPr>
                <w:rFonts w:ascii="Century Gothic" w:hAnsi="Century Gothic"/>
                <w:lang w:val="en-PH"/>
              </w:rPr>
            </w:pPr>
            <w:r w:rsidRPr="00C60BCC">
              <w:rPr>
                <w:rFonts w:ascii="Century Gothic" w:hAnsi="Century Gothic"/>
                <w:lang w:val="en-PH"/>
              </w:rPr>
              <w:t>Asst. Prof. CARMINIA C. PAULINO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807580" w:rsidP="00C60BC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Faculty </w:t>
            </w:r>
            <w:r w:rsidR="00C60BCC">
              <w:rPr>
                <w:rFonts w:ascii="Century Gothic" w:hAnsi="Century Gothic"/>
                <w:lang w:val="en-PH"/>
              </w:rPr>
              <w:t>m</w:t>
            </w:r>
            <w:r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807580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80758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 of 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80758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7314323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807580" w:rsidRPr="00C60BCC" w:rsidRDefault="00C60BCC" w:rsidP="00C60BCC">
            <w:pPr>
              <w:rPr>
                <w:rFonts w:ascii="Century Gothic" w:hAnsi="Century Gothic"/>
                <w:lang w:val="en-PH"/>
              </w:rPr>
            </w:pPr>
            <w:hyperlink r:id="rId5" w:history="1">
              <w:r w:rsidRPr="00863866">
                <w:rPr>
                  <w:rStyle w:val="Hyperlink"/>
                  <w:rFonts w:ascii="Century Gothic" w:hAnsi="Century Gothic"/>
                </w:rPr>
                <w:t>ccpaulino@ust.edu.ph</w:t>
              </w:r>
            </w:hyperlink>
            <w:r>
              <w:rPr>
                <w:rFonts w:ascii="Century Gothic" w:hAnsi="Century Gothic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C60BCC" w:rsidP="00C60BC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T, 10-12 NN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80758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M.A Filipino</w:t>
            </w:r>
          </w:p>
        </w:tc>
        <w:tc>
          <w:tcPr>
            <w:tcW w:w="2013" w:type="dxa"/>
          </w:tcPr>
          <w:p w:rsidR="00B42459" w:rsidRPr="000548E9" w:rsidRDefault="0080758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National Teachers College</w:t>
            </w:r>
          </w:p>
        </w:tc>
        <w:tc>
          <w:tcPr>
            <w:tcW w:w="2032" w:type="dxa"/>
          </w:tcPr>
          <w:p w:rsidR="00B42459" w:rsidRPr="000548E9" w:rsidRDefault="00807580" w:rsidP="006C409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2013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80758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BSE English/Filipino major</w:t>
            </w:r>
          </w:p>
        </w:tc>
        <w:tc>
          <w:tcPr>
            <w:tcW w:w="2013" w:type="dxa"/>
          </w:tcPr>
          <w:p w:rsidR="00B42459" w:rsidRPr="000548E9" w:rsidRDefault="0080758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</w:t>
            </w:r>
          </w:p>
        </w:tc>
        <w:tc>
          <w:tcPr>
            <w:tcW w:w="2032" w:type="dxa"/>
          </w:tcPr>
          <w:p w:rsidR="00B42459" w:rsidRPr="000548E9" w:rsidRDefault="00807580" w:rsidP="006C409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1977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6C4094" w:rsidRDefault="00807580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C4094">
              <w:rPr>
                <w:rFonts w:ascii="Century Gothic" w:hAnsi="Century Gothic"/>
                <w:sz w:val="20"/>
                <w:lang w:val="en-PH"/>
              </w:rPr>
              <w:t>Sangfil</w:t>
            </w:r>
            <w:proofErr w:type="spellEnd"/>
          </w:p>
        </w:tc>
        <w:tc>
          <w:tcPr>
            <w:tcW w:w="2013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lang w:val="en-PH"/>
              </w:rPr>
              <w:t>M</w:t>
            </w:r>
            <w:r w:rsidR="00807580" w:rsidRPr="006C4094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6C4094" w:rsidRDefault="006C4094" w:rsidP="006C409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lang w:val="en-PH"/>
              </w:rPr>
              <w:t>L</w:t>
            </w:r>
            <w:r w:rsidR="00807580" w:rsidRPr="006C4094">
              <w:rPr>
                <w:rFonts w:ascii="Century Gothic" w:hAnsi="Century Gothic"/>
                <w:sz w:val="20"/>
                <w:lang w:val="en-PH"/>
              </w:rPr>
              <w:t>ifetime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6C4094" w:rsidRDefault="006C4094">
            <w:pPr>
              <w:rPr>
                <w:rFonts w:ascii="Century Gothic" w:hAnsi="Century Gothic"/>
                <w:lang w:val="en-PH"/>
              </w:rPr>
            </w:pPr>
          </w:p>
          <w:p w:rsidR="00B42459" w:rsidRDefault="006C409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Asst. Prof. </w:t>
            </w:r>
            <w:proofErr w:type="spellStart"/>
            <w:r>
              <w:rPr>
                <w:rFonts w:ascii="Century Gothic" w:hAnsi="Century Gothic"/>
                <w:lang w:val="en-PH"/>
              </w:rPr>
              <w:t>Carminia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PH"/>
              </w:rPr>
              <w:t>Paulino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293442">
              <w:rPr>
                <w:rFonts w:ascii="Century Gothic" w:hAnsi="Century Gothic"/>
                <w:lang w:val="en-PH"/>
              </w:rPr>
              <w:t xml:space="preserve">attended </w:t>
            </w:r>
            <w:r>
              <w:rPr>
                <w:rFonts w:ascii="Century Gothic" w:hAnsi="Century Gothic"/>
                <w:lang w:val="en-PH"/>
              </w:rPr>
              <w:t>her</w:t>
            </w:r>
            <w:r w:rsidR="00293442">
              <w:rPr>
                <w:rFonts w:ascii="Century Gothic" w:hAnsi="Century Gothic"/>
                <w:lang w:val="en-PH"/>
              </w:rPr>
              <w:t xml:space="preserve"> undergraduate studies at the University of Santo Tomas major in English &amp; Filipino in 1977.  In June 1977</w:t>
            </w:r>
            <w:r>
              <w:rPr>
                <w:rFonts w:ascii="Century Gothic" w:hAnsi="Century Gothic"/>
                <w:lang w:val="en-PH"/>
              </w:rPr>
              <w:t xml:space="preserve">, she was </w:t>
            </w:r>
            <w:r w:rsidR="00293442">
              <w:rPr>
                <w:rFonts w:ascii="Century Gothic" w:hAnsi="Century Gothic"/>
                <w:lang w:val="en-PH"/>
              </w:rPr>
              <w:t>accepted in th</w:t>
            </w:r>
            <w:r>
              <w:rPr>
                <w:rFonts w:ascii="Century Gothic" w:hAnsi="Century Gothic"/>
                <w:lang w:val="en-PH"/>
              </w:rPr>
              <w:t>e Faculty of Engineering where</w:t>
            </w:r>
            <w:r w:rsidR="00293442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she</w:t>
            </w:r>
            <w:r w:rsidR="00293442">
              <w:rPr>
                <w:rFonts w:ascii="Century Gothic" w:hAnsi="Century Gothic"/>
                <w:lang w:val="en-PH"/>
              </w:rPr>
              <w:t xml:space="preserve"> handled Filipino courses and </w:t>
            </w:r>
            <w:r>
              <w:rPr>
                <w:rFonts w:ascii="Century Gothic" w:hAnsi="Century Gothic"/>
                <w:lang w:val="en-PH"/>
              </w:rPr>
              <w:t xml:space="preserve">was </w:t>
            </w:r>
            <w:r w:rsidR="00293442">
              <w:rPr>
                <w:rFonts w:ascii="Century Gothic" w:hAnsi="Century Gothic"/>
                <w:lang w:val="en-PH"/>
              </w:rPr>
              <w:t xml:space="preserve">eventually assigned as Filipino coordinator. </w:t>
            </w:r>
            <w:r>
              <w:rPr>
                <w:rFonts w:ascii="Century Gothic" w:hAnsi="Century Gothic"/>
                <w:lang w:val="en-PH"/>
              </w:rPr>
              <w:t xml:space="preserve"> She </w:t>
            </w:r>
            <w:r w:rsidR="00FE7AE3">
              <w:rPr>
                <w:rFonts w:ascii="Century Gothic" w:hAnsi="Century Gothic"/>
                <w:lang w:val="en-PH"/>
              </w:rPr>
              <w:t>developed</w:t>
            </w:r>
            <w:r>
              <w:rPr>
                <w:rFonts w:ascii="Century Gothic" w:hAnsi="Century Gothic"/>
                <w:lang w:val="en-PH"/>
              </w:rPr>
              <w:t xml:space="preserve"> her leadership skills </w:t>
            </w:r>
            <w:r w:rsidR="00FE7AE3">
              <w:rPr>
                <w:rFonts w:ascii="Century Gothic" w:hAnsi="Century Gothic"/>
                <w:lang w:val="en-PH"/>
              </w:rPr>
              <w:t xml:space="preserve">as course coordinator, speech </w:t>
            </w:r>
            <w:r w:rsidR="006C3DE0">
              <w:rPr>
                <w:rFonts w:ascii="Century Gothic" w:hAnsi="Century Gothic"/>
                <w:lang w:val="en-PH"/>
              </w:rPr>
              <w:t xml:space="preserve">and drama </w:t>
            </w:r>
            <w:proofErr w:type="spellStart"/>
            <w:r w:rsidR="006C3DE0">
              <w:rPr>
                <w:rFonts w:ascii="Century Gothic" w:hAnsi="Century Gothic"/>
                <w:lang w:val="en-PH"/>
              </w:rPr>
              <w:t>trainor</w:t>
            </w:r>
            <w:proofErr w:type="spellEnd"/>
            <w:r w:rsidR="006C3DE0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 xml:space="preserve">for </w:t>
            </w:r>
            <w:r w:rsidR="006C3DE0">
              <w:rPr>
                <w:rFonts w:ascii="Century Gothic" w:hAnsi="Century Gothic"/>
                <w:lang w:val="en-PH"/>
              </w:rPr>
              <w:t xml:space="preserve">intercollegiate </w:t>
            </w:r>
            <w:r>
              <w:rPr>
                <w:rFonts w:ascii="Century Gothic" w:hAnsi="Century Gothic"/>
                <w:lang w:val="en-PH"/>
              </w:rPr>
              <w:t xml:space="preserve">student </w:t>
            </w:r>
            <w:r w:rsidR="006C3DE0">
              <w:rPr>
                <w:rFonts w:ascii="Century Gothic" w:hAnsi="Century Gothic"/>
                <w:lang w:val="en-PH"/>
              </w:rPr>
              <w:t>competitions,</w:t>
            </w:r>
            <w:r>
              <w:rPr>
                <w:rFonts w:ascii="Century Gothic" w:hAnsi="Century Gothic"/>
                <w:lang w:val="en-PH"/>
              </w:rPr>
              <w:t xml:space="preserve"> and head of various college committees</w:t>
            </w:r>
            <w:r w:rsidR="006C3DE0">
              <w:rPr>
                <w:rFonts w:ascii="Century Gothic" w:hAnsi="Century Gothic"/>
                <w:lang w:val="en-PH"/>
              </w:rPr>
              <w:t xml:space="preserve">. </w:t>
            </w:r>
            <w:r>
              <w:rPr>
                <w:rFonts w:ascii="Century Gothic" w:hAnsi="Century Gothic"/>
                <w:lang w:val="en-PH"/>
              </w:rPr>
              <w:t xml:space="preserve"> Having served eight deans, she considers herself a lifelong learner with the passion to teach and touch students’ lives, able to </w:t>
            </w:r>
            <w:r w:rsidR="006C3DE0">
              <w:rPr>
                <w:rFonts w:ascii="Century Gothic" w:hAnsi="Century Gothic"/>
                <w:lang w:val="en-PH"/>
              </w:rPr>
              <w:t>connect</w:t>
            </w:r>
            <w:r>
              <w:rPr>
                <w:rFonts w:ascii="Century Gothic" w:hAnsi="Century Gothic"/>
                <w:lang w:val="en-PH"/>
              </w:rPr>
              <w:t xml:space="preserve"> with both the old and new generations.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6C4094" w:rsidRPr="00BC068D" w:rsidRDefault="006C4094" w:rsidP="006C4094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0548E9" w:rsidRDefault="006C4094" w:rsidP="006C4094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6C4094" w:rsidRPr="00BC068D" w:rsidRDefault="006C4094" w:rsidP="006C4094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0548E9" w:rsidRDefault="006C4094" w:rsidP="006C4094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6C4094" w:rsidRPr="00BC068D" w:rsidRDefault="006C4094" w:rsidP="006C4094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0548E9" w:rsidRDefault="006C4094" w:rsidP="006C4094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6C4094" w:rsidRPr="00BC068D" w:rsidRDefault="006C4094" w:rsidP="006C4094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0548E9" w:rsidRDefault="006C4094" w:rsidP="006C4094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6C4094" w:rsidRPr="00BC068D" w:rsidRDefault="006C4094" w:rsidP="006C4094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  <w:p w:rsidR="00B42459" w:rsidRPr="000548E9" w:rsidRDefault="006C4094" w:rsidP="006C4094">
            <w:pPr>
              <w:rPr>
                <w:rFonts w:ascii="Century Gothic" w:hAnsi="Century Gothic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BC068D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  <w:bookmarkStart w:id="0" w:name="_GoBack"/>
      <w:bookmarkEnd w:id="0"/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732"/>
        <w:gridCol w:w="3239"/>
        <w:gridCol w:w="1728"/>
      </w:tblGrid>
      <w:tr w:rsidR="00B42459" w:rsidRPr="000548E9" w:rsidTr="006C4094">
        <w:trPr>
          <w:trHeight w:val="320"/>
        </w:trPr>
        <w:tc>
          <w:tcPr>
            <w:tcW w:w="1651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699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6C4094">
        <w:trPr>
          <w:trHeight w:val="217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239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728" w:type="dxa"/>
          </w:tcPr>
          <w:p w:rsidR="00C632AF" w:rsidRDefault="00B42459" w:rsidP="006C4094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6C4094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6C4094">
        <w:trPr>
          <w:trHeight w:val="91"/>
        </w:trPr>
        <w:tc>
          <w:tcPr>
            <w:tcW w:w="1651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2732" w:type="dxa"/>
          </w:tcPr>
          <w:p w:rsidR="00B42459" w:rsidRPr="006C4094" w:rsidRDefault="00807580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proofErr w:type="spellStart"/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Thomasian</w:t>
            </w:r>
            <w:proofErr w:type="spellEnd"/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  <w:r w:rsidR="00504C86" w:rsidRPr="006C4094">
              <w:rPr>
                <w:rFonts w:ascii="Century Gothic" w:hAnsi="Century Gothic"/>
                <w:sz w:val="20"/>
                <w:szCs w:val="20"/>
                <w:lang w:val="en-PH"/>
              </w:rPr>
              <w:t>Engineering Media</w:t>
            </w:r>
          </w:p>
        </w:tc>
        <w:tc>
          <w:tcPr>
            <w:tcW w:w="3239" w:type="dxa"/>
          </w:tcPr>
          <w:p w:rsidR="00B42459" w:rsidRPr="006C4094" w:rsidRDefault="00504C86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Co-adviser</w:t>
            </w:r>
          </w:p>
        </w:tc>
        <w:tc>
          <w:tcPr>
            <w:tcW w:w="1728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AY 2012-2013</w:t>
            </w:r>
          </w:p>
        </w:tc>
      </w:tr>
      <w:tr w:rsidR="00B42459" w:rsidRPr="000548E9" w:rsidTr="006C4094">
        <w:trPr>
          <w:trHeight w:val="110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</w:p>
        </w:tc>
        <w:tc>
          <w:tcPr>
            <w:tcW w:w="3239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Languages and Humanities, Faculty of Engineering</w:t>
            </w:r>
          </w:p>
        </w:tc>
        <w:tc>
          <w:tcPr>
            <w:tcW w:w="1728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AY 2012-2013</w:t>
            </w:r>
          </w:p>
        </w:tc>
      </w:tr>
      <w:tr w:rsidR="00B42459" w:rsidRPr="000548E9" w:rsidTr="006C4094">
        <w:trPr>
          <w:trHeight w:val="126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M</w:t>
            </w:r>
            <w:r w:rsidR="00504C86" w:rsidRPr="006C4094">
              <w:rPr>
                <w:rFonts w:ascii="Century Gothic" w:hAnsi="Century Gothic"/>
                <w:sz w:val="20"/>
                <w:szCs w:val="20"/>
                <w:lang w:val="en-PH"/>
              </w:rPr>
              <w:t>ember</w:t>
            </w:r>
          </w:p>
        </w:tc>
        <w:tc>
          <w:tcPr>
            <w:tcW w:w="3239" w:type="dxa"/>
          </w:tcPr>
          <w:p w:rsidR="00B42459" w:rsidRPr="006C4094" w:rsidRDefault="006C4094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Student Welfare and Development Board, Faculty of Engineering</w:t>
            </w:r>
          </w:p>
        </w:tc>
        <w:tc>
          <w:tcPr>
            <w:tcW w:w="1728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AY 2012-2013</w:t>
            </w:r>
          </w:p>
        </w:tc>
      </w:tr>
      <w:tr w:rsidR="006C4094" w:rsidRPr="000548E9" w:rsidTr="006C4094">
        <w:trPr>
          <w:trHeight w:val="492"/>
        </w:trPr>
        <w:tc>
          <w:tcPr>
            <w:tcW w:w="1651" w:type="dxa"/>
            <w:vMerge/>
          </w:tcPr>
          <w:p w:rsidR="006C4094" w:rsidRDefault="006C4094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6C4094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239" w:type="dxa"/>
          </w:tcPr>
          <w:p w:rsidR="006C4094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Committee on Outcomes-based Education</w:t>
            </w:r>
          </w:p>
        </w:tc>
        <w:tc>
          <w:tcPr>
            <w:tcW w:w="1728" w:type="dxa"/>
          </w:tcPr>
          <w:p w:rsidR="006C4094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AY 2012-2013</w:t>
            </w:r>
          </w:p>
        </w:tc>
      </w:tr>
      <w:tr w:rsidR="00B42459" w:rsidRPr="000548E9" w:rsidTr="006C4094">
        <w:trPr>
          <w:trHeight w:val="91"/>
        </w:trPr>
        <w:tc>
          <w:tcPr>
            <w:tcW w:w="1651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2732" w:type="dxa"/>
          </w:tcPr>
          <w:p w:rsidR="006C4094" w:rsidRPr="006C4094" w:rsidRDefault="006C4094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M</w:t>
            </w: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ember</w:t>
            </w:r>
          </w:p>
          <w:p w:rsidR="006C4094" w:rsidRPr="006C4094" w:rsidRDefault="006C4094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Panel Session Facilitator</w:t>
            </w:r>
          </w:p>
          <w:p w:rsidR="00B42459" w:rsidRPr="006C4094" w:rsidRDefault="00B42459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6C4094" w:rsidRPr="006C4094" w:rsidRDefault="006C4094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Working Committee; Documentations Committee:</w:t>
            </w:r>
          </w:p>
          <w:p w:rsidR="006C4094" w:rsidRPr="006C4094" w:rsidRDefault="006C4094" w:rsidP="006C4094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 xml:space="preserve">International Conference on Language&amp; Literature </w:t>
            </w:r>
          </w:p>
        </w:tc>
        <w:tc>
          <w:tcPr>
            <w:tcW w:w="1728" w:type="dxa"/>
          </w:tcPr>
          <w:p w:rsidR="00B42459" w:rsidRPr="006C4094" w:rsidRDefault="006C4094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C4094">
              <w:rPr>
                <w:rFonts w:ascii="Century Gothic" w:hAnsi="Century Gothic"/>
                <w:sz w:val="20"/>
                <w:szCs w:val="20"/>
                <w:lang w:val="en-PH"/>
              </w:rPr>
              <w:t>2014</w:t>
            </w:r>
          </w:p>
        </w:tc>
      </w:tr>
      <w:tr w:rsidR="00B42459" w:rsidRPr="000548E9" w:rsidTr="006C4094">
        <w:trPr>
          <w:trHeight w:val="91"/>
        </w:trPr>
        <w:tc>
          <w:tcPr>
            <w:tcW w:w="1651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10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26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03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92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71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91"/>
        </w:trPr>
        <w:tc>
          <w:tcPr>
            <w:tcW w:w="1651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10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26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03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92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71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91"/>
        </w:trPr>
        <w:tc>
          <w:tcPr>
            <w:tcW w:w="1651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10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26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03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49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92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6C4094">
        <w:trPr>
          <w:trHeight w:val="171"/>
        </w:trPr>
        <w:tc>
          <w:tcPr>
            <w:tcW w:w="1651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732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3239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  <w:tc>
          <w:tcPr>
            <w:tcW w:w="1728" w:type="dxa"/>
          </w:tcPr>
          <w:p w:rsidR="00B42459" w:rsidRPr="006C4094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lastRenderedPageBreak/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E7BF5"/>
    <w:rsid w:val="00293442"/>
    <w:rsid w:val="00315479"/>
    <w:rsid w:val="00504C86"/>
    <w:rsid w:val="006C3DE0"/>
    <w:rsid w:val="006C4094"/>
    <w:rsid w:val="00807580"/>
    <w:rsid w:val="00A5191D"/>
    <w:rsid w:val="00B42459"/>
    <w:rsid w:val="00C60BCC"/>
    <w:rsid w:val="00C632AF"/>
    <w:rsid w:val="00DC602E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cpaulino@ust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0429-E3A0-4FEA-AFBA-13DCC744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1</dc:creator>
  <cp:keywords/>
  <dc:description/>
  <cp:lastModifiedBy>Joel Adamos</cp:lastModifiedBy>
  <cp:revision>4</cp:revision>
  <dcterms:created xsi:type="dcterms:W3CDTF">2017-04-05T03:57:00Z</dcterms:created>
  <dcterms:modified xsi:type="dcterms:W3CDTF">2017-04-14T08:01:00Z</dcterms:modified>
</cp:coreProperties>
</file>