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F4209B" w:rsidP="008C7A6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</w:t>
            </w:r>
            <w:r w:rsidR="008C7A6D">
              <w:rPr>
                <w:rFonts w:ascii="Century Gothic" w:hAnsi="Century Gothic"/>
                <w:lang w:val="en-PH"/>
              </w:rPr>
              <w:t>sst</w:t>
            </w:r>
            <w:r>
              <w:rPr>
                <w:rFonts w:ascii="Century Gothic" w:hAnsi="Century Gothic"/>
                <w:lang w:val="en-PH"/>
              </w:rPr>
              <w:t>. P</w:t>
            </w:r>
            <w:r w:rsidR="008C7A6D">
              <w:rPr>
                <w:rFonts w:ascii="Century Gothic" w:hAnsi="Century Gothic"/>
                <w:lang w:val="en-PH"/>
              </w:rPr>
              <w:t>rof</w:t>
            </w:r>
            <w:r>
              <w:rPr>
                <w:rFonts w:ascii="Century Gothic" w:hAnsi="Century Gothic"/>
                <w:lang w:val="en-PH"/>
              </w:rPr>
              <w:t>.</w:t>
            </w:r>
            <w:r w:rsidR="008C7A6D">
              <w:rPr>
                <w:rFonts w:ascii="Century Gothic" w:hAnsi="Century Gothic"/>
                <w:lang w:val="en-PH"/>
              </w:rPr>
              <w:t xml:space="preserve"> </w:t>
            </w:r>
            <w:r>
              <w:rPr>
                <w:rFonts w:ascii="Century Gothic" w:hAnsi="Century Gothic"/>
                <w:lang w:val="en-PH"/>
              </w:rPr>
              <w:t>MA. PRI-ANN    M. TINIPUNAN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F4209B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Coordinator</w:t>
            </w:r>
            <w:r w:rsidR="008C7A6D">
              <w:rPr>
                <w:rFonts w:ascii="Century Gothic" w:hAnsi="Century Gothic"/>
                <w:lang w:val="en-PH"/>
              </w:rPr>
              <w:t>, Library and Information Science Program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F4209B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Library and Information Science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F4209B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Bachelor</w:t>
            </w:r>
            <w:r w:rsidR="008C7A6D">
              <w:rPr>
                <w:rFonts w:ascii="Century Gothic" w:hAnsi="Century Gothic"/>
                <w:lang w:val="en-PH"/>
              </w:rPr>
              <w:t xml:space="preserve"> of Library and Information Scie</w:t>
            </w:r>
            <w:r>
              <w:rPr>
                <w:rFonts w:ascii="Century Gothic" w:hAnsi="Century Gothic"/>
                <w:lang w:val="en-PH"/>
              </w:rPr>
              <w:t xml:space="preserve">nce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8C7A6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(02) </w:t>
            </w:r>
            <w:r w:rsidR="00824150">
              <w:rPr>
                <w:rFonts w:ascii="Century Gothic" w:hAnsi="Century Gothic"/>
                <w:lang w:val="en-PH"/>
              </w:rPr>
              <w:t>4061611 loc. 8260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8C7A6D" w:rsidP="002C354D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Pr="00362895">
                <w:rPr>
                  <w:rStyle w:val="Hyperlink"/>
                  <w:rFonts w:ascii="Century Gothic" w:hAnsi="Century Gothic"/>
                  <w:lang w:val="en-PH"/>
                </w:rPr>
                <w:t>mmtinipunan@ust.edu.ph</w:t>
              </w:r>
            </w:hyperlink>
            <w:r>
              <w:rPr>
                <w:rFonts w:ascii="Century Gothic" w:hAnsi="Century Gothic"/>
                <w:lang w:val="en-PH"/>
              </w:rPr>
              <w:t xml:space="preserve"> 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D5051D" w:rsidP="002C354D">
            <w:pPr>
              <w:rPr>
                <w:rFonts w:ascii="Century Gothic" w:hAnsi="Century Gothic"/>
                <w:lang w:val="en-PH"/>
              </w:rPr>
            </w:pPr>
            <w:proofErr w:type="spellStart"/>
            <w:r>
              <w:rPr>
                <w:rFonts w:ascii="Century Gothic" w:hAnsi="Century Gothic"/>
                <w:lang w:val="en-PH"/>
              </w:rPr>
              <w:t>TTh</w:t>
            </w:r>
            <w:proofErr w:type="spellEnd"/>
            <w:r w:rsidR="008C7A6D">
              <w:rPr>
                <w:rFonts w:ascii="Century Gothic" w:hAnsi="Century Gothic"/>
                <w:lang w:val="en-PH"/>
              </w:rPr>
              <w:t>,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  <w:r w:rsidR="00824150">
              <w:rPr>
                <w:rFonts w:ascii="Century Gothic" w:hAnsi="Century Gothic"/>
                <w:lang w:val="en-PH"/>
              </w:rPr>
              <w:t>3:00 to 5:00 PM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F4209B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Master of Arts Major in Library Science</w:t>
            </w:r>
          </w:p>
        </w:tc>
        <w:tc>
          <w:tcPr>
            <w:tcW w:w="2013" w:type="dxa"/>
          </w:tcPr>
          <w:p w:rsidR="00B42459" w:rsidRPr="000548E9" w:rsidRDefault="008C7A6D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 xml:space="preserve">University of Santo Tomas </w:t>
            </w:r>
          </w:p>
        </w:tc>
        <w:tc>
          <w:tcPr>
            <w:tcW w:w="2032" w:type="dxa"/>
          </w:tcPr>
          <w:p w:rsidR="00B42459" w:rsidRPr="000548E9" w:rsidRDefault="00F4209B" w:rsidP="008C7A6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2007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9A0364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F4209B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Bachelor of Secondary Education Major in Library Science</w:t>
            </w:r>
          </w:p>
        </w:tc>
        <w:tc>
          <w:tcPr>
            <w:tcW w:w="2013" w:type="dxa"/>
          </w:tcPr>
          <w:p w:rsidR="00B42459" w:rsidRPr="000548E9" w:rsidRDefault="008C7A6D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42459" w:rsidRPr="000548E9" w:rsidRDefault="00F4209B" w:rsidP="008C7A6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2000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0548E9" w:rsidRDefault="00D5051D" w:rsidP="002C354D">
            <w:pPr>
              <w:rPr>
                <w:rFonts w:ascii="Century Gothic" w:hAnsi="Century Gothic"/>
                <w:lang w:val="en-PH"/>
              </w:rPr>
            </w:pPr>
            <w:r w:rsidRPr="00CC54DF">
              <w:rPr>
                <w:rFonts w:ascii="Century Gothic" w:hAnsi="Century Gothic"/>
                <w:sz w:val="20"/>
                <w:lang w:val="en-PH"/>
              </w:rPr>
              <w:t>Philippine Teachers of Library and Information Science (PATLS)</w:t>
            </w:r>
          </w:p>
        </w:tc>
        <w:tc>
          <w:tcPr>
            <w:tcW w:w="2013" w:type="dxa"/>
          </w:tcPr>
          <w:p w:rsidR="00B42459" w:rsidRPr="00CC54DF" w:rsidRDefault="00D5051D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CC54DF">
              <w:rPr>
                <w:rFonts w:ascii="Century Gothic" w:hAnsi="Century Gothic"/>
                <w:sz w:val="20"/>
                <w:szCs w:val="20"/>
                <w:lang w:val="en-PH"/>
              </w:rPr>
              <w:t>Secretary</w:t>
            </w:r>
          </w:p>
        </w:tc>
        <w:tc>
          <w:tcPr>
            <w:tcW w:w="2032" w:type="dxa"/>
          </w:tcPr>
          <w:p w:rsidR="00B42459" w:rsidRPr="00CC54DF" w:rsidRDefault="00D5051D" w:rsidP="008C7A6D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CC54DF">
              <w:rPr>
                <w:rFonts w:ascii="Century Gothic" w:hAnsi="Century Gothic"/>
                <w:sz w:val="20"/>
                <w:szCs w:val="20"/>
                <w:lang w:val="en-PH"/>
              </w:rPr>
              <w:t>2015</w:t>
            </w:r>
            <w:r w:rsidR="008C7A6D">
              <w:rPr>
                <w:rFonts w:ascii="Century Gothic" w:hAnsi="Century Gothic"/>
                <w:sz w:val="20"/>
                <w:szCs w:val="20"/>
                <w:lang w:val="en-PH"/>
              </w:rPr>
              <w:t xml:space="preserve"> – present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CC54DF" w:rsidRDefault="000E09CF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CC54DF">
              <w:rPr>
                <w:rFonts w:ascii="Century Gothic" w:hAnsi="Century Gothic"/>
                <w:sz w:val="20"/>
                <w:szCs w:val="20"/>
                <w:lang w:val="en-PH"/>
              </w:rPr>
              <w:t>Philippine Librarians Association, Inc.</w:t>
            </w:r>
            <w:r w:rsidR="00CC54DF">
              <w:rPr>
                <w:rFonts w:ascii="Century Gothic" w:hAnsi="Century Gothic"/>
                <w:sz w:val="20"/>
                <w:szCs w:val="20"/>
                <w:lang w:val="en-PH"/>
              </w:rPr>
              <w:t xml:space="preserve"> (PLAI)</w:t>
            </w:r>
          </w:p>
        </w:tc>
        <w:tc>
          <w:tcPr>
            <w:tcW w:w="2013" w:type="dxa"/>
          </w:tcPr>
          <w:p w:rsidR="00B42459" w:rsidRPr="00CC54DF" w:rsidRDefault="00825956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CC54DF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2032" w:type="dxa"/>
          </w:tcPr>
          <w:p w:rsidR="00B42459" w:rsidRPr="00CC54DF" w:rsidRDefault="008C7A6D" w:rsidP="008C7A6D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>
              <w:rPr>
                <w:rFonts w:ascii="Century Gothic" w:hAnsi="Century Gothic"/>
                <w:sz w:val="20"/>
                <w:szCs w:val="20"/>
                <w:lang w:val="en-PH"/>
              </w:rPr>
              <w:t>2000 –</w:t>
            </w:r>
            <w:r w:rsidR="00825956" w:rsidRPr="00CC54DF">
              <w:rPr>
                <w:rFonts w:ascii="Century Gothic" w:hAnsi="Century Gothic"/>
                <w:sz w:val="20"/>
                <w:szCs w:val="20"/>
                <w:lang w:val="en-PH"/>
              </w:rPr>
              <w:t xml:space="preserve"> present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8C7A6D" w:rsidRDefault="008C7A6D">
            <w:pPr>
              <w:rPr>
                <w:rFonts w:ascii="Century Gothic" w:hAnsi="Century Gothic"/>
                <w:lang w:val="en-PH"/>
              </w:rPr>
            </w:pPr>
          </w:p>
          <w:p w:rsidR="00B42459" w:rsidRPr="008C7A6D" w:rsidRDefault="008C7A6D" w:rsidP="008C7A6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 xml:space="preserve">Asst. Prof. Ma. </w:t>
            </w:r>
            <w:proofErr w:type="spellStart"/>
            <w:r w:rsidRPr="008C7A6D">
              <w:rPr>
                <w:rFonts w:ascii="Century Gothic" w:hAnsi="Century Gothic"/>
                <w:sz w:val="20"/>
                <w:lang w:val="en-PH"/>
              </w:rPr>
              <w:t>Pri-ann</w:t>
            </w:r>
            <w:proofErr w:type="spellEnd"/>
            <w:r w:rsidRPr="008C7A6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8C7A6D">
              <w:rPr>
                <w:rFonts w:ascii="Century Gothic" w:hAnsi="Century Gothic"/>
                <w:sz w:val="20"/>
                <w:lang w:val="en-PH"/>
              </w:rPr>
              <w:t>Tinipunan</w:t>
            </w:r>
            <w:proofErr w:type="spellEnd"/>
            <w:r w:rsidRPr="008C7A6D">
              <w:rPr>
                <w:rFonts w:ascii="Century Gothic" w:hAnsi="Century Gothic"/>
                <w:sz w:val="20"/>
                <w:lang w:val="en-PH"/>
              </w:rPr>
              <w:t xml:space="preserve"> is a</w:t>
            </w:r>
            <w:r w:rsidR="00D5051D" w:rsidRPr="008C7A6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>r</w:t>
            </w:r>
            <w:r w:rsidR="00D5051D" w:rsidRPr="008C7A6D">
              <w:rPr>
                <w:rFonts w:ascii="Century Gothic" w:hAnsi="Century Gothic"/>
                <w:sz w:val="20"/>
                <w:lang w:val="en-PH"/>
              </w:rPr>
              <w:t xml:space="preserve">egistered and 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>p</w:t>
            </w:r>
            <w:r w:rsidR="00D5051D" w:rsidRPr="008C7A6D">
              <w:rPr>
                <w:rFonts w:ascii="Century Gothic" w:hAnsi="Century Gothic"/>
                <w:sz w:val="20"/>
                <w:lang w:val="en-PH"/>
              </w:rPr>
              <w:t xml:space="preserve">rofessional 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>l</w:t>
            </w:r>
            <w:r w:rsidR="00D5051D" w:rsidRPr="008C7A6D">
              <w:rPr>
                <w:rFonts w:ascii="Century Gothic" w:hAnsi="Century Gothic"/>
                <w:sz w:val="20"/>
                <w:lang w:val="en-PH"/>
              </w:rPr>
              <w:t>ib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>rarian. Prior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 xml:space="preserve"> to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 xml:space="preserve"> working as a 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>f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>ull-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>t</w:t>
            </w:r>
            <w:r w:rsidR="00D5051D" w:rsidRPr="008C7A6D">
              <w:rPr>
                <w:rFonts w:ascii="Century Gothic" w:hAnsi="Century Gothic"/>
                <w:sz w:val="20"/>
                <w:lang w:val="en-PH"/>
              </w:rPr>
              <w:t xml:space="preserve">ime faculty member of the </w:t>
            </w:r>
            <w:r w:rsidR="000E09CF" w:rsidRPr="008C7A6D">
              <w:rPr>
                <w:rFonts w:ascii="Century Gothic" w:hAnsi="Century Gothic"/>
                <w:sz w:val="20"/>
                <w:lang w:val="en-PH"/>
              </w:rPr>
              <w:t xml:space="preserve">UST </w:t>
            </w:r>
            <w:r w:rsidR="00D5051D" w:rsidRPr="008C7A6D">
              <w:rPr>
                <w:rFonts w:ascii="Century Gothic" w:hAnsi="Century Gothic"/>
                <w:sz w:val="20"/>
                <w:lang w:val="en-PH"/>
              </w:rPr>
              <w:t>College of Education, she worked as a</w:t>
            </w:r>
            <w:r w:rsidR="000E09CF" w:rsidRPr="008C7A6D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>s</w:t>
            </w:r>
            <w:r w:rsidR="000E09CF" w:rsidRPr="008C7A6D">
              <w:rPr>
                <w:rFonts w:ascii="Century Gothic" w:hAnsi="Century Gothic"/>
                <w:sz w:val="20"/>
                <w:lang w:val="en-PH"/>
              </w:rPr>
              <w:t xml:space="preserve">chool 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>l</w:t>
            </w:r>
            <w:r w:rsidR="000E09CF" w:rsidRPr="008C7A6D">
              <w:rPr>
                <w:rFonts w:ascii="Century Gothic" w:hAnsi="Century Gothic"/>
                <w:sz w:val="20"/>
                <w:lang w:val="en-PH"/>
              </w:rPr>
              <w:t>ibrarian with the following positions:</w:t>
            </w:r>
            <w:r w:rsidR="00D5051D" w:rsidRPr="008C7A6D">
              <w:rPr>
                <w:rFonts w:ascii="Century Gothic" w:hAnsi="Century Gothic"/>
                <w:sz w:val="20"/>
                <w:lang w:val="en-PH"/>
              </w:rPr>
              <w:t xml:space="preserve"> Readers Services L</w:t>
            </w:r>
            <w:r w:rsidR="000E09CF" w:rsidRPr="008C7A6D">
              <w:rPr>
                <w:rFonts w:ascii="Century Gothic" w:hAnsi="Century Gothic"/>
                <w:sz w:val="20"/>
                <w:lang w:val="en-PH"/>
              </w:rPr>
              <w:t xml:space="preserve">ibrarian, High School Librarian and Circulation Librarian. She also worked as </w:t>
            </w:r>
            <w:r w:rsidR="00825956" w:rsidRPr="008C7A6D">
              <w:rPr>
                <w:rFonts w:ascii="Century Gothic" w:hAnsi="Century Gothic"/>
                <w:sz w:val="20"/>
                <w:lang w:val="en-PH"/>
              </w:rPr>
              <w:t>Library Consultant, experienced in organizing school and academic libraries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r w:rsidR="00825956" w:rsidRPr="008C7A6D">
              <w:rPr>
                <w:rFonts w:ascii="Century Gothic" w:hAnsi="Century Gothic"/>
                <w:sz w:val="20"/>
                <w:lang w:val="en-PH"/>
              </w:rPr>
              <w:t>Marke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>ting Research Assistant and Media Librarian.</w:t>
            </w:r>
            <w:r w:rsidR="00825956" w:rsidRPr="008C7A6D">
              <w:rPr>
                <w:rFonts w:ascii="Century Gothic" w:hAnsi="Century Gothic"/>
                <w:sz w:val="20"/>
                <w:lang w:val="en-PH"/>
              </w:rPr>
              <w:t xml:space="preserve"> She i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 xml:space="preserve">s actively involved in professional organizations such as the </w:t>
            </w:r>
            <w:r w:rsidR="00825956" w:rsidRPr="008C7A6D">
              <w:rPr>
                <w:rFonts w:ascii="Century Gothic" w:hAnsi="Century Gothic"/>
                <w:sz w:val="20"/>
                <w:lang w:val="en-PH"/>
              </w:rPr>
              <w:t>Philippine Association of Teachers of Library and Information Science, Inc. (PATLS) having served as S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>ecretary (2015-2018) and Board Member (2008-2009)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>;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 xml:space="preserve"> a 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>m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>ember of the C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t xml:space="preserve">ommission on Higher Education </w:t>
            </w:r>
            <w:r w:rsidR="00CC54DF" w:rsidRPr="008C7A6D">
              <w:rPr>
                <w:rFonts w:ascii="Century Gothic" w:hAnsi="Century Gothic"/>
                <w:sz w:val="20"/>
                <w:lang w:val="en-PH"/>
              </w:rPr>
              <w:t xml:space="preserve">Technical Committee for Library and Information Science (2015-2016) and RQAT Member of the CHED Region IV-A (2014-2015). </w:t>
            </w:r>
          </w:p>
          <w:p w:rsidR="008C7A6D" w:rsidRDefault="008C7A6D" w:rsidP="008C7A6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8C7A6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8C7A6D" w:rsidRDefault="00D5051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1: Introduction to Library and Information Science</w:t>
            </w:r>
          </w:p>
          <w:p w:rsidR="00D5051D" w:rsidRPr="008C7A6D" w:rsidRDefault="00D5051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5: Information Sources and Services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9: Information Sources and Services II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13: Literature for Children and Young Adults</w:t>
            </w:r>
          </w:p>
          <w:p w:rsidR="00825956" w:rsidRPr="008C7A6D" w:rsidRDefault="00D5051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14: School Libraries and Media Center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</w:r>
            <w:r w:rsidR="00825956" w:rsidRPr="008C7A6D">
              <w:rPr>
                <w:rFonts w:ascii="Century Gothic" w:hAnsi="Century Gothic"/>
                <w:sz w:val="20"/>
                <w:lang w:val="en-PH"/>
              </w:rPr>
              <w:t>LIS 15: Academic Libraries</w:t>
            </w:r>
          </w:p>
          <w:p w:rsidR="00825956" w:rsidRPr="008C7A6D" w:rsidRDefault="0082595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16: Special Libraries</w:t>
            </w:r>
          </w:p>
          <w:p w:rsidR="00825956" w:rsidRPr="008C7A6D" w:rsidRDefault="0082595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17: Public Libraries</w:t>
            </w:r>
          </w:p>
          <w:p w:rsidR="00D5051D" w:rsidRPr="008C7A6D" w:rsidRDefault="00D5051D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20: Collection Management</w:t>
            </w:r>
          </w:p>
          <w:p w:rsidR="00825956" w:rsidRPr="008C7A6D" w:rsidRDefault="0082595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LPRAC 1: Library Practicum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LPRAC 2: Library Practicum II</w:t>
            </w:r>
          </w:p>
          <w:p w:rsidR="00825956" w:rsidRPr="008C7A6D" w:rsidRDefault="00825956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8C7A6D">
              <w:rPr>
                <w:rFonts w:ascii="Century Gothic" w:hAnsi="Century Gothic"/>
                <w:sz w:val="20"/>
                <w:lang w:val="en-PH"/>
              </w:rPr>
              <w:t>Sem</w:t>
            </w:r>
            <w:proofErr w:type="spellEnd"/>
            <w:r w:rsidRPr="008C7A6D">
              <w:rPr>
                <w:rFonts w:ascii="Century Gothic" w:hAnsi="Century Gothic"/>
                <w:sz w:val="20"/>
                <w:lang w:val="en-PH"/>
              </w:rPr>
              <w:t xml:space="preserve"> Ed: Seminar in Education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8C7A6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825956" w:rsidRPr="008C7A6D" w:rsidRDefault="00825956" w:rsidP="00825956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1: Introduction to Library and Information Science</w:t>
            </w:r>
          </w:p>
          <w:p w:rsidR="00825956" w:rsidRPr="008C7A6D" w:rsidRDefault="00825956" w:rsidP="00825956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5: Information Sources and Services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9: Information Sources and Services II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13: Literature for Children and Young Adults</w:t>
            </w:r>
          </w:p>
          <w:p w:rsidR="00825956" w:rsidRPr="008C7A6D" w:rsidRDefault="00825956" w:rsidP="00825956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14: School Libraries and Media Center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15: Academic Libraries</w:t>
            </w:r>
          </w:p>
          <w:p w:rsidR="00825956" w:rsidRPr="008C7A6D" w:rsidRDefault="00825956" w:rsidP="00825956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16: Special Libraries</w:t>
            </w:r>
          </w:p>
          <w:p w:rsidR="00825956" w:rsidRPr="008C7A6D" w:rsidRDefault="00825956" w:rsidP="00825956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17: Public Libraries</w:t>
            </w:r>
          </w:p>
          <w:p w:rsidR="00825956" w:rsidRPr="008C7A6D" w:rsidRDefault="00825956" w:rsidP="00825956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20: Collection Management</w:t>
            </w:r>
          </w:p>
          <w:p w:rsidR="00B42459" w:rsidRPr="008C7A6D" w:rsidRDefault="00825956" w:rsidP="00825956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LPRAC 1: Library Practicum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LPRAC 2: Library Practicum II</w:t>
            </w:r>
          </w:p>
          <w:p w:rsidR="00825956" w:rsidRPr="008C7A6D" w:rsidRDefault="00825956" w:rsidP="00825956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8C7A6D">
              <w:rPr>
                <w:rFonts w:ascii="Century Gothic" w:hAnsi="Century Gothic"/>
                <w:sz w:val="20"/>
                <w:lang w:val="en-PH"/>
              </w:rPr>
              <w:t>Educ</w:t>
            </w:r>
            <w:proofErr w:type="spellEnd"/>
            <w:r w:rsidRPr="008C7A6D">
              <w:rPr>
                <w:rFonts w:ascii="Century Gothic" w:hAnsi="Century Gothic"/>
                <w:sz w:val="20"/>
                <w:lang w:val="en-PH"/>
              </w:rPr>
              <w:t xml:space="preserve"> 206B: Principles of Teaching II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8C7A6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1: Introduction to Library and Information Science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5: Information Sources and Services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9: Information Sources and Services II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13: Literature for Children and Young Adults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14: School Libraries and Media Center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15: Academic Libraries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16: Special Libraries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17: Public Libraries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20: Collection Management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LPRAC 1: Library Practicum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LPRAC 2: Library Practicum II</w:t>
            </w:r>
          </w:p>
          <w:p w:rsidR="00B42459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8C7A6D">
              <w:rPr>
                <w:rFonts w:ascii="Century Gothic" w:hAnsi="Century Gothic"/>
                <w:sz w:val="20"/>
                <w:lang w:val="en-PH"/>
              </w:rPr>
              <w:t>Educ</w:t>
            </w:r>
            <w:proofErr w:type="spellEnd"/>
            <w:r w:rsidRPr="008C7A6D">
              <w:rPr>
                <w:rFonts w:ascii="Century Gothic" w:hAnsi="Century Gothic"/>
                <w:sz w:val="20"/>
                <w:lang w:val="en-PH"/>
              </w:rPr>
              <w:t xml:space="preserve"> 206B: Principles of Teaching II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Comp 1A: Basic Computer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8C7A6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1: Introduction to Library and Information Science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5: Information Sources and Services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9: Information Sources and Services II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13: Literature for Children and Young Adults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14: School Libraries and Media Center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15: Academic Libraries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16: Special Libraries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17: Public Libraries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20: Collection Management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LPRAC 1: Library Practicum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LPRAC 2: Library Practicum II</w:t>
            </w:r>
          </w:p>
          <w:p w:rsidR="00CC54DF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8C7A6D">
              <w:rPr>
                <w:rFonts w:ascii="Century Gothic" w:hAnsi="Century Gothic"/>
                <w:sz w:val="20"/>
                <w:lang w:val="en-PH"/>
              </w:rPr>
              <w:t>Educ</w:t>
            </w:r>
            <w:proofErr w:type="spellEnd"/>
            <w:r w:rsidRPr="008C7A6D">
              <w:rPr>
                <w:rFonts w:ascii="Century Gothic" w:hAnsi="Century Gothic"/>
                <w:sz w:val="20"/>
                <w:lang w:val="en-PH"/>
              </w:rPr>
              <w:t xml:space="preserve"> 206A: Principles of Teaching I</w:t>
            </w:r>
          </w:p>
          <w:p w:rsidR="00B42459" w:rsidRPr="008C7A6D" w:rsidRDefault="00CC54DF" w:rsidP="00CC54DF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8C7A6D">
              <w:rPr>
                <w:rFonts w:ascii="Century Gothic" w:hAnsi="Century Gothic"/>
                <w:sz w:val="20"/>
                <w:lang w:val="en-PH"/>
              </w:rPr>
              <w:t>Educ</w:t>
            </w:r>
            <w:proofErr w:type="spellEnd"/>
            <w:r w:rsidRPr="008C7A6D">
              <w:rPr>
                <w:rFonts w:ascii="Century Gothic" w:hAnsi="Century Gothic"/>
                <w:sz w:val="20"/>
                <w:lang w:val="en-PH"/>
              </w:rPr>
              <w:t xml:space="preserve"> 206B: Principles of Teaching II</w:t>
            </w:r>
          </w:p>
        </w:tc>
      </w:tr>
      <w:tr w:rsidR="00B42459" w:rsidRPr="000548E9" w:rsidTr="00B42459">
        <w:tc>
          <w:tcPr>
            <w:tcW w:w="1975" w:type="dxa"/>
          </w:tcPr>
          <w:p w:rsidR="00B42459" w:rsidRPr="008C7A6D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lastRenderedPageBreak/>
              <w:t>2016-2017</w:t>
            </w:r>
          </w:p>
        </w:tc>
        <w:tc>
          <w:tcPr>
            <w:tcW w:w="7375" w:type="dxa"/>
          </w:tcPr>
          <w:p w:rsidR="00A516C3" w:rsidRPr="008C7A6D" w:rsidRDefault="00A516C3" w:rsidP="00A516C3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1: Introduction to Library and Information Science</w:t>
            </w:r>
          </w:p>
          <w:p w:rsidR="00A516C3" w:rsidRPr="008C7A6D" w:rsidRDefault="00A516C3" w:rsidP="00A516C3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5: Information Sources and Services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9: Information Sources and Services II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13: Literature for Children and Young Adults</w:t>
            </w:r>
          </w:p>
          <w:p w:rsidR="00A516C3" w:rsidRPr="008C7A6D" w:rsidRDefault="00A516C3" w:rsidP="00A516C3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14: School Libraries and Media Center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LIS 15: Academic Libraries</w:t>
            </w:r>
          </w:p>
          <w:p w:rsidR="00A516C3" w:rsidRPr="008C7A6D" w:rsidRDefault="00A516C3" w:rsidP="00A516C3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16: Special Libraries</w:t>
            </w:r>
          </w:p>
          <w:p w:rsidR="00A516C3" w:rsidRPr="008C7A6D" w:rsidRDefault="00A516C3" w:rsidP="00A516C3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17: Public Libraries</w:t>
            </w:r>
          </w:p>
          <w:p w:rsidR="00A516C3" w:rsidRPr="008C7A6D" w:rsidRDefault="00A516C3" w:rsidP="00A516C3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LIS 20: Collection Management</w:t>
            </w:r>
          </w:p>
          <w:p w:rsidR="00B42459" w:rsidRPr="008C7A6D" w:rsidRDefault="00A516C3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LPRAC 1: Library Practicum I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LPRAC 2: Library Practicum II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8C7A6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8C7A6D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92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rPr>
          <w:trHeight w:val="171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369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C632AF" w:rsidRPr="000548E9" w:rsidTr="00C632AF">
        <w:tc>
          <w:tcPr>
            <w:tcW w:w="2334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5211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805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8C7A6D" w:rsidTr="00150C59">
        <w:tc>
          <w:tcPr>
            <w:tcW w:w="2334" w:type="dxa"/>
          </w:tcPr>
          <w:p w:rsidR="00150C59" w:rsidRPr="008C7A6D" w:rsidRDefault="003A112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LLE reviewer</w:t>
            </w:r>
          </w:p>
        </w:tc>
        <w:tc>
          <w:tcPr>
            <w:tcW w:w="5221" w:type="dxa"/>
          </w:tcPr>
          <w:p w:rsidR="00150C59" w:rsidRPr="008C7A6D" w:rsidRDefault="003A112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LLE Review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  <w:t>University of Southern Mindanao</w:t>
            </w:r>
            <w:r w:rsidRPr="008C7A6D">
              <w:rPr>
                <w:rFonts w:ascii="Century Gothic" w:hAnsi="Century Gothic"/>
                <w:sz w:val="20"/>
                <w:lang w:val="en-PH"/>
              </w:rPr>
              <w:br/>
            </w:r>
            <w:proofErr w:type="spellStart"/>
            <w:r w:rsidRPr="008C7A6D">
              <w:rPr>
                <w:rFonts w:ascii="Century Gothic" w:hAnsi="Century Gothic"/>
                <w:sz w:val="20"/>
                <w:lang w:val="en-PH"/>
              </w:rPr>
              <w:t>Kabacan</w:t>
            </w:r>
            <w:proofErr w:type="spellEnd"/>
            <w:r w:rsidRPr="008C7A6D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proofErr w:type="spellStart"/>
            <w:r w:rsidRPr="008C7A6D">
              <w:rPr>
                <w:rFonts w:ascii="Century Gothic" w:hAnsi="Century Gothic"/>
                <w:sz w:val="20"/>
                <w:lang w:val="en-PH"/>
              </w:rPr>
              <w:t>Cotabato</w:t>
            </w:r>
            <w:proofErr w:type="spellEnd"/>
          </w:p>
        </w:tc>
        <w:tc>
          <w:tcPr>
            <w:tcW w:w="1795" w:type="dxa"/>
          </w:tcPr>
          <w:p w:rsidR="00150C59" w:rsidRPr="008C7A6D" w:rsidRDefault="003A112C" w:rsidP="008C7A6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  <w:tr w:rsidR="00150C59" w:rsidRPr="008C7A6D" w:rsidTr="00150C59">
        <w:tc>
          <w:tcPr>
            <w:tcW w:w="2334" w:type="dxa"/>
          </w:tcPr>
          <w:p w:rsidR="00150C59" w:rsidRPr="008C7A6D" w:rsidRDefault="003A112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lastRenderedPageBreak/>
              <w:t>LLE reviewer</w:t>
            </w:r>
          </w:p>
        </w:tc>
        <w:tc>
          <w:tcPr>
            <w:tcW w:w="5221" w:type="dxa"/>
          </w:tcPr>
          <w:p w:rsidR="00150C59" w:rsidRPr="008C7A6D" w:rsidRDefault="003A112C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Adventist University of the Philippines</w:t>
            </w:r>
          </w:p>
        </w:tc>
        <w:tc>
          <w:tcPr>
            <w:tcW w:w="1795" w:type="dxa"/>
          </w:tcPr>
          <w:p w:rsidR="00150C59" w:rsidRPr="008C7A6D" w:rsidRDefault="003A112C" w:rsidP="008C7A6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8C7A6D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0E09CF"/>
    <w:rsid w:val="00150C59"/>
    <w:rsid w:val="001E7BF5"/>
    <w:rsid w:val="003A112C"/>
    <w:rsid w:val="00824150"/>
    <w:rsid w:val="00825956"/>
    <w:rsid w:val="008C7A6D"/>
    <w:rsid w:val="009A0364"/>
    <w:rsid w:val="00A516C3"/>
    <w:rsid w:val="00B42459"/>
    <w:rsid w:val="00C632AF"/>
    <w:rsid w:val="00CC54DF"/>
    <w:rsid w:val="00D5051D"/>
    <w:rsid w:val="00DC602E"/>
    <w:rsid w:val="00F4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7A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mtinipunan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10</cp:revision>
  <dcterms:created xsi:type="dcterms:W3CDTF">2017-04-05T04:25:00Z</dcterms:created>
  <dcterms:modified xsi:type="dcterms:W3CDTF">2017-04-14T09:31:00Z</dcterms:modified>
</cp:coreProperties>
</file>