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466F07" w:rsidP="00466F0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Mrs. MA. LANIE V. VERGARA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466F07" w:rsidP="00466F0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Coordinator, </w:t>
            </w:r>
            <w:r w:rsidR="00785FE2">
              <w:rPr>
                <w:rFonts w:ascii="Century Gothic" w:hAnsi="Century Gothic"/>
                <w:lang w:val="en-PH"/>
              </w:rPr>
              <w:t xml:space="preserve">Student Welfare </w:t>
            </w:r>
            <w:r>
              <w:rPr>
                <w:rFonts w:ascii="Century Gothic" w:hAnsi="Century Gothic"/>
                <w:lang w:val="en-PH"/>
              </w:rPr>
              <w:t xml:space="preserve">and </w:t>
            </w:r>
            <w:r w:rsidR="00785FE2">
              <w:rPr>
                <w:rFonts w:ascii="Century Gothic" w:hAnsi="Century Gothic"/>
                <w:lang w:val="en-PH"/>
              </w:rPr>
              <w:t>Development</w:t>
            </w:r>
            <w:r>
              <w:rPr>
                <w:rFonts w:ascii="Century Gothic" w:hAnsi="Century Gothic"/>
                <w:lang w:val="en-PH"/>
              </w:rPr>
              <w:t>, College of Rehabilitation Sciences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785FE2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785FE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Filipino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466F07" w:rsidP="00466F07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</w:t>
            </w:r>
            <w:r w:rsidR="00785FE2">
              <w:rPr>
                <w:rFonts w:ascii="Century Gothic" w:hAnsi="Century Gothic"/>
                <w:lang w:val="en-PH"/>
              </w:rPr>
              <w:t>2)</w:t>
            </w:r>
            <w:r>
              <w:rPr>
                <w:rFonts w:ascii="Century Gothic" w:hAnsi="Century Gothic"/>
                <w:lang w:val="en-PH"/>
              </w:rPr>
              <w:t>406</w:t>
            </w:r>
            <w:r w:rsidR="00785FE2">
              <w:rPr>
                <w:rFonts w:ascii="Century Gothic" w:hAnsi="Century Gothic"/>
                <w:lang w:val="en-PH"/>
              </w:rPr>
              <w:t>1611 local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466F07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73639E">
                <w:rPr>
                  <w:rStyle w:val="Hyperlink"/>
                  <w:rFonts w:ascii="Century Gothic" w:hAnsi="Century Gothic"/>
                  <w:lang w:val="en-PH"/>
                </w:rPr>
                <w:t>malanie.vergara@ust.edu.ph</w:t>
              </w:r>
            </w:hyperlink>
            <w:r>
              <w:rPr>
                <w:rFonts w:ascii="Century Gothic" w:hAnsi="Century Gothic"/>
                <w:lang w:val="en-PH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785FE2" w:rsidP="00466F07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Th</w:t>
            </w:r>
            <w:proofErr w:type="spellEnd"/>
            <w:r w:rsidR="00466F07">
              <w:rPr>
                <w:rFonts w:ascii="Century Gothic" w:hAnsi="Century Gothic"/>
                <w:lang w:val="en-PH"/>
              </w:rPr>
              <w:t>, 1:00 – 3:00 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785FE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Arts in Teaching FILIPINO</w:t>
            </w:r>
          </w:p>
        </w:tc>
        <w:tc>
          <w:tcPr>
            <w:tcW w:w="2013" w:type="dxa"/>
          </w:tcPr>
          <w:p w:rsidR="00B42459" w:rsidRPr="000548E9" w:rsidRDefault="00785FE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</w:t>
            </w:r>
          </w:p>
        </w:tc>
        <w:tc>
          <w:tcPr>
            <w:tcW w:w="2032" w:type="dxa"/>
          </w:tcPr>
          <w:p w:rsidR="00B42459" w:rsidRPr="000548E9" w:rsidRDefault="009B6298" w:rsidP="00466F0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9B6298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B.S.E Major in Filipino</w:t>
            </w:r>
          </w:p>
        </w:tc>
        <w:tc>
          <w:tcPr>
            <w:tcW w:w="2013" w:type="dxa"/>
          </w:tcPr>
          <w:p w:rsidR="00B42459" w:rsidRPr="000548E9" w:rsidRDefault="009B6298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College</w:t>
            </w:r>
          </w:p>
        </w:tc>
        <w:tc>
          <w:tcPr>
            <w:tcW w:w="2032" w:type="dxa"/>
          </w:tcPr>
          <w:p w:rsidR="00B42459" w:rsidRPr="000548E9" w:rsidRDefault="009B6298" w:rsidP="00466F0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1983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66F07" w:rsidRDefault="009B6298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66F07">
              <w:rPr>
                <w:rFonts w:ascii="Century Gothic" w:hAnsi="Century Gothic"/>
                <w:sz w:val="20"/>
                <w:lang w:val="en-PH"/>
              </w:rPr>
              <w:t>Sangfil</w:t>
            </w:r>
            <w:proofErr w:type="spellEnd"/>
          </w:p>
        </w:tc>
        <w:tc>
          <w:tcPr>
            <w:tcW w:w="2013" w:type="dxa"/>
          </w:tcPr>
          <w:p w:rsidR="00B42459" w:rsidRPr="00466F07" w:rsidRDefault="00466F07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>ember</w:t>
            </w:r>
          </w:p>
        </w:tc>
        <w:tc>
          <w:tcPr>
            <w:tcW w:w="2032" w:type="dxa"/>
          </w:tcPr>
          <w:p w:rsidR="00B42459" w:rsidRPr="00466F07" w:rsidRDefault="009B6298" w:rsidP="00466F0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66F07">
              <w:rPr>
                <w:rFonts w:ascii="Century Gothic" w:hAnsi="Century Gothic"/>
                <w:sz w:val="20"/>
                <w:lang w:val="en-PH"/>
              </w:rPr>
              <w:t>1996 to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466F07" w:rsidRDefault="00466F07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466F07" w:rsidRDefault="00466F07">
            <w:pPr>
              <w:rPr>
                <w:rFonts w:ascii="Century Gothic" w:hAnsi="Century Gothic"/>
                <w:lang w:val="en-PH"/>
              </w:rPr>
            </w:pPr>
          </w:p>
          <w:p w:rsidR="00B42459" w:rsidRPr="00466F07" w:rsidRDefault="00466F07">
            <w:pPr>
              <w:rPr>
                <w:rFonts w:ascii="Century Gothic" w:hAnsi="Century Gothic"/>
                <w:sz w:val="20"/>
                <w:lang w:val="en-PH"/>
              </w:rPr>
            </w:pP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Mrs. Ma. </w:t>
            </w:r>
            <w:proofErr w:type="spellStart"/>
            <w:r w:rsidRPr="00466F07">
              <w:rPr>
                <w:rFonts w:ascii="Century Gothic" w:hAnsi="Century Gothic"/>
                <w:sz w:val="20"/>
                <w:lang w:val="en-PH"/>
              </w:rPr>
              <w:t>Lanie</w:t>
            </w:r>
            <w:proofErr w:type="spellEnd"/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Vergara, a native of </w:t>
            </w:r>
            <w:proofErr w:type="spellStart"/>
            <w:r w:rsidR="009B6298" w:rsidRPr="00466F07">
              <w:rPr>
                <w:rFonts w:ascii="Century Gothic" w:hAnsi="Century Gothic"/>
                <w:sz w:val="20"/>
                <w:lang w:val="en-PH"/>
              </w:rPr>
              <w:t>Bulacan</w:t>
            </w:r>
            <w:proofErr w:type="spellEnd"/>
            <w:r w:rsidRPr="00466F07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>finished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her Bachelor of Secondary Education degree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m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>ajor in Filipino at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the Philippine Normal College with honors (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>Magna Cum laude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)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>.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She 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 xml:space="preserve">taught at V. </w:t>
            </w:r>
            <w:proofErr w:type="spellStart"/>
            <w:r w:rsidR="009B6298" w:rsidRPr="00466F07">
              <w:rPr>
                <w:rFonts w:ascii="Century Gothic" w:hAnsi="Century Gothic"/>
                <w:sz w:val="20"/>
                <w:lang w:val="en-PH"/>
              </w:rPr>
              <w:t>Mapa</w:t>
            </w:r>
            <w:proofErr w:type="spellEnd"/>
            <w:r w:rsidR="009B6298" w:rsidRPr="00466F07">
              <w:rPr>
                <w:rFonts w:ascii="Century Gothic" w:hAnsi="Century Gothic"/>
                <w:sz w:val="20"/>
                <w:lang w:val="en-PH"/>
              </w:rPr>
              <w:t xml:space="preserve"> High School from 1983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- 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>2002 and was awarded as one of the outstanding teacher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s in </w:t>
            </w:r>
            <w:r w:rsidR="009B6298" w:rsidRPr="00466F07">
              <w:rPr>
                <w:rFonts w:ascii="Century Gothic" w:hAnsi="Century Gothic"/>
                <w:sz w:val="20"/>
                <w:lang w:val="en-PH"/>
              </w:rPr>
              <w:t xml:space="preserve">the Division of 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 xml:space="preserve">Manila in 2001.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She was also a finalist of the </w:t>
            </w:r>
            <w:proofErr w:type="spellStart"/>
            <w:r w:rsidR="00EF03C5" w:rsidRPr="00466F07"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 w:rsidR="00EF03C5" w:rsidRPr="00466F07">
              <w:rPr>
                <w:rFonts w:ascii="Century Gothic" w:hAnsi="Century Gothic"/>
                <w:sz w:val="20"/>
                <w:lang w:val="en-PH"/>
              </w:rPr>
              <w:t xml:space="preserve"> ng UST Outstanding Instructor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in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 xml:space="preserve"> 2012.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She </w:t>
            </w:r>
            <w:proofErr w:type="gramStart"/>
            <w:r w:rsidRPr="00466F07">
              <w:rPr>
                <w:rFonts w:ascii="Century Gothic" w:hAnsi="Century Gothic"/>
                <w:sz w:val="20"/>
                <w:lang w:val="en-PH"/>
              </w:rPr>
              <w:t>completed  her</w:t>
            </w:r>
            <w:proofErr w:type="gramEnd"/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EF03C5" w:rsidRPr="00466F07">
              <w:rPr>
                <w:rFonts w:ascii="Century Gothic" w:hAnsi="Century Gothic"/>
                <w:sz w:val="20"/>
                <w:lang w:val="en-PH"/>
              </w:rPr>
              <w:t>Master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’s degree in Teaching Filipino in 2015.  Her study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entitled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>,</w:t>
            </w:r>
            <w:r w:rsidRPr="00466F07">
              <w:rPr>
                <w:rFonts w:ascii="Century Gothic" w:hAnsi="Century Gothic"/>
                <w:i/>
                <w:sz w:val="20"/>
                <w:lang w:val="en-PH"/>
              </w:rPr>
              <w:t xml:space="preserve"> “</w:t>
            </w:r>
            <w:proofErr w:type="spellStart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>Pagbuo</w:t>
            </w:r>
            <w:proofErr w:type="spellEnd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 xml:space="preserve"> ng </w:t>
            </w:r>
            <w:proofErr w:type="spellStart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>Glosaryong</w:t>
            </w:r>
            <w:proofErr w:type="spellEnd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 xml:space="preserve"> Filipino </w:t>
            </w:r>
            <w:proofErr w:type="spellStart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>sa</w:t>
            </w:r>
            <w:proofErr w:type="spellEnd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 xml:space="preserve"> </w:t>
            </w:r>
            <w:proofErr w:type="spellStart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>Agham</w:t>
            </w:r>
            <w:proofErr w:type="spellEnd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 xml:space="preserve"> </w:t>
            </w:r>
            <w:proofErr w:type="spellStart"/>
            <w:r w:rsidR="00A84CB5" w:rsidRPr="00466F07">
              <w:rPr>
                <w:rFonts w:ascii="Century Gothic" w:hAnsi="Century Gothic"/>
                <w:i/>
                <w:sz w:val="20"/>
                <w:lang w:val="en-PH"/>
              </w:rPr>
              <w:t>Panrehabilitasyon</w:t>
            </w:r>
            <w:proofErr w:type="spellEnd"/>
            <w:r w:rsidRPr="00466F07">
              <w:rPr>
                <w:rFonts w:ascii="Century Gothic" w:hAnsi="Century Gothic"/>
                <w:i/>
                <w:sz w:val="20"/>
                <w:lang w:val="en-PH"/>
              </w:rPr>
              <w:t>”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was chosen by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the Philippine Normal University (PNU) 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as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Best Thesis of 2015 and became the official entry of PNU in 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Julian Cruz </w:t>
            </w:r>
            <w:proofErr w:type="spellStart"/>
            <w:r w:rsidR="00A84CB5" w:rsidRPr="00466F07">
              <w:rPr>
                <w:rFonts w:ascii="Century Gothic" w:hAnsi="Century Gothic"/>
                <w:sz w:val="20"/>
                <w:lang w:val="en-PH"/>
              </w:rPr>
              <w:t>Balmaceda</w:t>
            </w:r>
            <w:proofErr w:type="spellEnd"/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Best Thesis of 2015 sponsored by</w:t>
            </w:r>
            <w:r w:rsidRPr="00466F07">
              <w:rPr>
                <w:rFonts w:ascii="Century Gothic" w:hAnsi="Century Gothic"/>
                <w:sz w:val="20"/>
                <w:lang w:val="en-PH"/>
              </w:rPr>
              <w:t xml:space="preserve"> the</w:t>
            </w:r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="00A84CB5" w:rsidRPr="00466F07">
              <w:rPr>
                <w:rFonts w:ascii="Century Gothic" w:hAnsi="Century Gothic"/>
                <w:sz w:val="20"/>
                <w:lang w:val="en-PH"/>
              </w:rPr>
              <w:t>Komisyon</w:t>
            </w:r>
            <w:proofErr w:type="spellEnd"/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="00A84CB5" w:rsidRPr="00466F07">
              <w:rPr>
                <w:rFonts w:ascii="Century Gothic" w:hAnsi="Century Gothic"/>
                <w:sz w:val="20"/>
                <w:lang w:val="en-PH"/>
              </w:rPr>
              <w:t>Wikang</w:t>
            </w:r>
            <w:proofErr w:type="spellEnd"/>
            <w:r w:rsidR="00A84CB5" w:rsidRPr="00466F07">
              <w:rPr>
                <w:rFonts w:ascii="Century Gothic" w:hAnsi="Century Gothic"/>
                <w:sz w:val="20"/>
                <w:lang w:val="en-PH"/>
              </w:rPr>
              <w:t xml:space="preserve"> Filipino.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9F6985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9F6985" w:rsidRDefault="00A84CB5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 xml:space="preserve">Filipino 1: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Sining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Sa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Filipino, Filipino 2: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84CB5" w:rsidRPr="000548E9" w:rsidTr="00B42459">
        <w:tc>
          <w:tcPr>
            <w:tcW w:w="19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 xml:space="preserve">Filipino 1: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Sining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Sa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Filipino, Filipino 2: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84CB5" w:rsidRPr="000548E9" w:rsidTr="00B42459">
        <w:tc>
          <w:tcPr>
            <w:tcW w:w="19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 xml:space="preserve">Filipino 1: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Sining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Sa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Filipino, Filipino 2: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84CB5" w:rsidRPr="000548E9" w:rsidTr="00B42459">
        <w:tc>
          <w:tcPr>
            <w:tcW w:w="19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 xml:space="preserve">Filipino 1: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Sining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Sa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Filipino, Filipino 2: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</w:p>
        </w:tc>
      </w:tr>
      <w:tr w:rsidR="00A84CB5" w:rsidRPr="000548E9" w:rsidTr="00B42459">
        <w:tc>
          <w:tcPr>
            <w:tcW w:w="19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A84CB5" w:rsidRPr="009F6985" w:rsidRDefault="00A84CB5" w:rsidP="00A84CB5">
            <w:pPr>
              <w:rPr>
                <w:rFonts w:ascii="Century Gothic" w:hAnsi="Century Gothic"/>
                <w:sz w:val="20"/>
                <w:lang w:val="en-PH"/>
              </w:rPr>
            </w:pPr>
            <w:r w:rsidRPr="009F6985">
              <w:rPr>
                <w:rFonts w:ascii="Century Gothic" w:hAnsi="Century Gothic"/>
                <w:sz w:val="20"/>
                <w:lang w:val="en-PH"/>
              </w:rPr>
              <w:t xml:space="preserve">Filipino 1: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Sining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ng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Komunikasyon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Sa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Akademikong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Filipino, Filipino 2: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Pagbasa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at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Pagsulat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Tungo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sa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Pananaliksik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, Filipino 3: </w:t>
            </w:r>
            <w:proofErr w:type="spellStart"/>
            <w:r w:rsidRPr="009F6985">
              <w:rPr>
                <w:rFonts w:ascii="Century Gothic" w:hAnsi="Century Gothic"/>
                <w:sz w:val="20"/>
                <w:lang w:val="en-PH"/>
              </w:rPr>
              <w:t>Retorikang</w:t>
            </w:r>
            <w:proofErr w:type="spellEnd"/>
            <w:r w:rsidRPr="009F6985">
              <w:rPr>
                <w:rFonts w:ascii="Century Gothic" w:hAnsi="Century Gothic"/>
                <w:sz w:val="20"/>
                <w:lang w:val="en-PH"/>
              </w:rPr>
              <w:t xml:space="preserve"> Filipino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9F6985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9F6985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A351D6" w:rsidRPr="000548E9" w:rsidTr="00B42459">
        <w:trPr>
          <w:trHeight w:val="91"/>
        </w:trPr>
        <w:tc>
          <w:tcPr>
            <w:tcW w:w="1975" w:type="dxa"/>
            <w:vMerge w:val="restart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2012-2017</w:t>
            </w:r>
          </w:p>
        </w:tc>
        <w:tc>
          <w:tcPr>
            <w:tcW w:w="171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Coordinator</w:t>
            </w:r>
          </w:p>
        </w:tc>
        <w:tc>
          <w:tcPr>
            <w:tcW w:w="369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Student Welfare and Development Board, College of Rehabilitation Sciences </w:t>
            </w:r>
          </w:p>
        </w:tc>
        <w:tc>
          <w:tcPr>
            <w:tcW w:w="1975" w:type="dxa"/>
          </w:tcPr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 w:rsidRPr="000945D5">
              <w:rPr>
                <w:rFonts w:ascii="Century Gothic" w:hAnsi="Century Gothic"/>
                <w:lang w:val="en-PH"/>
              </w:rPr>
              <w:t>AY 201</w:t>
            </w:r>
            <w:r>
              <w:rPr>
                <w:rFonts w:ascii="Century Gothic" w:hAnsi="Century Gothic"/>
                <w:lang w:val="en-PH"/>
              </w:rPr>
              <w:t>2</w:t>
            </w:r>
            <w:r w:rsidRPr="000945D5">
              <w:rPr>
                <w:rFonts w:ascii="Century Gothic" w:hAnsi="Century Gothic"/>
                <w:lang w:val="en-PH"/>
              </w:rPr>
              <w:t>-201</w:t>
            </w:r>
            <w:r>
              <w:rPr>
                <w:rFonts w:ascii="Century Gothic" w:hAnsi="Century Gothic"/>
                <w:lang w:val="en-PH"/>
              </w:rPr>
              <w:t>3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2013-2014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2014-2015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2015-2016</w:t>
            </w:r>
          </w:p>
          <w:p w:rsidR="00A351D6" w:rsidRPr="000548E9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2016-2017</w:t>
            </w:r>
          </w:p>
        </w:tc>
      </w:tr>
      <w:tr w:rsidR="00A351D6" w:rsidRPr="000548E9" w:rsidTr="00B42459">
        <w:trPr>
          <w:trHeight w:val="110"/>
        </w:trPr>
        <w:tc>
          <w:tcPr>
            <w:tcW w:w="1975" w:type="dxa"/>
            <w:vMerge/>
          </w:tcPr>
          <w:p w:rsidR="00A351D6" w:rsidRDefault="00A351D6" w:rsidP="00A351D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Adviser</w:t>
            </w:r>
          </w:p>
        </w:tc>
        <w:tc>
          <w:tcPr>
            <w:tcW w:w="369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College of Rehabilitation Sciences Student Council</w:t>
            </w:r>
          </w:p>
        </w:tc>
        <w:tc>
          <w:tcPr>
            <w:tcW w:w="1975" w:type="dxa"/>
          </w:tcPr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 w:rsidRPr="000945D5">
              <w:rPr>
                <w:rFonts w:ascii="Century Gothic" w:hAnsi="Century Gothic"/>
                <w:lang w:val="en-PH"/>
              </w:rPr>
              <w:t>AY 201</w:t>
            </w:r>
            <w:r>
              <w:rPr>
                <w:rFonts w:ascii="Century Gothic" w:hAnsi="Century Gothic"/>
                <w:lang w:val="en-PH"/>
              </w:rPr>
              <w:t>2</w:t>
            </w:r>
            <w:r w:rsidRPr="000945D5">
              <w:rPr>
                <w:rFonts w:ascii="Century Gothic" w:hAnsi="Century Gothic"/>
                <w:lang w:val="en-PH"/>
              </w:rPr>
              <w:t>-201</w:t>
            </w:r>
            <w:r>
              <w:rPr>
                <w:rFonts w:ascii="Century Gothic" w:hAnsi="Century Gothic"/>
                <w:lang w:val="en-PH"/>
              </w:rPr>
              <w:t>3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2013-2014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2014-2015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2015-2016</w:t>
            </w:r>
          </w:p>
          <w:p w:rsidR="00A351D6" w:rsidRPr="000548E9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2016-2017</w:t>
            </w:r>
          </w:p>
        </w:tc>
      </w:tr>
      <w:tr w:rsidR="00A351D6" w:rsidRPr="000548E9" w:rsidTr="00B42459">
        <w:trPr>
          <w:trHeight w:val="126"/>
        </w:trPr>
        <w:tc>
          <w:tcPr>
            <w:tcW w:w="1975" w:type="dxa"/>
            <w:vMerge/>
          </w:tcPr>
          <w:p w:rsidR="00A351D6" w:rsidRDefault="00A351D6" w:rsidP="00A351D6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A351D6" w:rsidRPr="000548E9" w:rsidRDefault="00A351D6" w:rsidP="00A351D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Scholarship Committee, College of Rehabilitation Sciences</w:t>
            </w:r>
          </w:p>
        </w:tc>
        <w:tc>
          <w:tcPr>
            <w:tcW w:w="1975" w:type="dxa"/>
          </w:tcPr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 w:rsidRPr="000945D5">
              <w:rPr>
                <w:rFonts w:ascii="Century Gothic" w:hAnsi="Century Gothic"/>
                <w:lang w:val="en-PH"/>
              </w:rPr>
              <w:t>AY 201</w:t>
            </w:r>
            <w:r>
              <w:rPr>
                <w:rFonts w:ascii="Century Gothic" w:hAnsi="Century Gothic"/>
                <w:lang w:val="en-PH"/>
              </w:rPr>
              <w:t>2</w:t>
            </w:r>
            <w:r w:rsidRPr="000945D5">
              <w:rPr>
                <w:rFonts w:ascii="Century Gothic" w:hAnsi="Century Gothic"/>
                <w:lang w:val="en-PH"/>
              </w:rPr>
              <w:t>-201</w:t>
            </w:r>
            <w:r>
              <w:rPr>
                <w:rFonts w:ascii="Century Gothic" w:hAnsi="Century Gothic"/>
                <w:lang w:val="en-PH"/>
              </w:rPr>
              <w:t>3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2013-2014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2014-2015</w:t>
            </w:r>
          </w:p>
          <w:p w:rsidR="00A351D6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2015-2016</w:t>
            </w:r>
          </w:p>
          <w:p w:rsidR="00A351D6" w:rsidRPr="000548E9" w:rsidRDefault="00A351D6" w:rsidP="00A351D6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AY 2016-2017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A351D6" w:rsidTr="00C632AF">
        <w:tc>
          <w:tcPr>
            <w:tcW w:w="2334" w:type="dxa"/>
          </w:tcPr>
          <w:p w:rsidR="00C632AF" w:rsidRPr="00A351D6" w:rsidRDefault="007F20E1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A351D6"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 w:rsidRPr="00A351D6">
              <w:rPr>
                <w:rFonts w:ascii="Century Gothic" w:hAnsi="Century Gothic"/>
                <w:sz w:val="20"/>
                <w:lang w:val="en-PH"/>
              </w:rPr>
              <w:t xml:space="preserve"> ng UST </w:t>
            </w:r>
          </w:p>
        </w:tc>
        <w:tc>
          <w:tcPr>
            <w:tcW w:w="5211" w:type="dxa"/>
          </w:tcPr>
          <w:p w:rsidR="00C632AF" w:rsidRPr="00A351D6" w:rsidRDefault="007F20E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351D6">
              <w:rPr>
                <w:rFonts w:ascii="Century Gothic" w:hAnsi="Century Gothic"/>
                <w:sz w:val="20"/>
                <w:lang w:val="en-PH"/>
              </w:rPr>
              <w:t>Finalist –Instructor Category</w:t>
            </w:r>
          </w:p>
        </w:tc>
        <w:tc>
          <w:tcPr>
            <w:tcW w:w="1805" w:type="dxa"/>
          </w:tcPr>
          <w:p w:rsidR="00C632AF" w:rsidRPr="00A351D6" w:rsidRDefault="007F20E1" w:rsidP="00A351D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351D6">
              <w:rPr>
                <w:rFonts w:ascii="Century Gothic" w:hAnsi="Century Gothic"/>
                <w:sz w:val="20"/>
                <w:lang w:val="en-PH"/>
              </w:rPr>
              <w:t>2012</w:t>
            </w:r>
          </w:p>
        </w:tc>
      </w:tr>
      <w:tr w:rsidR="00C632AF" w:rsidRPr="00A351D6" w:rsidTr="00C632AF">
        <w:tc>
          <w:tcPr>
            <w:tcW w:w="2334" w:type="dxa"/>
          </w:tcPr>
          <w:p w:rsidR="00C632AF" w:rsidRPr="00A351D6" w:rsidRDefault="007F20E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351D6">
              <w:rPr>
                <w:rFonts w:ascii="Century Gothic" w:hAnsi="Century Gothic"/>
                <w:sz w:val="20"/>
                <w:lang w:val="en-PH"/>
              </w:rPr>
              <w:t xml:space="preserve">Julian Cruz </w:t>
            </w:r>
            <w:proofErr w:type="spellStart"/>
            <w:r w:rsidRPr="00A351D6">
              <w:rPr>
                <w:rFonts w:ascii="Century Gothic" w:hAnsi="Century Gothic"/>
                <w:sz w:val="20"/>
                <w:lang w:val="en-PH"/>
              </w:rPr>
              <w:t>Balmaceda</w:t>
            </w:r>
            <w:proofErr w:type="spellEnd"/>
            <w:r w:rsidRPr="00A351D6">
              <w:rPr>
                <w:rFonts w:ascii="Century Gothic" w:hAnsi="Century Gothic"/>
                <w:sz w:val="20"/>
                <w:lang w:val="en-PH"/>
              </w:rPr>
              <w:t>- best thesis of the year</w:t>
            </w:r>
          </w:p>
        </w:tc>
        <w:tc>
          <w:tcPr>
            <w:tcW w:w="5211" w:type="dxa"/>
          </w:tcPr>
          <w:p w:rsidR="00C632AF" w:rsidRPr="00A351D6" w:rsidRDefault="007F20E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A351D6">
              <w:rPr>
                <w:rFonts w:ascii="Century Gothic" w:hAnsi="Century Gothic"/>
                <w:sz w:val="20"/>
                <w:lang w:val="en-PH"/>
              </w:rPr>
              <w:t>Finalist – chosen by PNU  to represent the university in KWF Best thesis of the year</w:t>
            </w:r>
          </w:p>
        </w:tc>
        <w:tc>
          <w:tcPr>
            <w:tcW w:w="1805" w:type="dxa"/>
          </w:tcPr>
          <w:p w:rsidR="00C632AF" w:rsidRPr="00A351D6" w:rsidRDefault="007F20E1" w:rsidP="00A351D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A351D6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636EB"/>
    <w:rsid w:val="00150C59"/>
    <w:rsid w:val="001E65CE"/>
    <w:rsid w:val="001E7BF5"/>
    <w:rsid w:val="00302FF7"/>
    <w:rsid w:val="00466F07"/>
    <w:rsid w:val="00785FE2"/>
    <w:rsid w:val="007F20E1"/>
    <w:rsid w:val="009B6298"/>
    <w:rsid w:val="009F6985"/>
    <w:rsid w:val="00A351D6"/>
    <w:rsid w:val="00A84CB5"/>
    <w:rsid w:val="00B42459"/>
    <w:rsid w:val="00C632AF"/>
    <w:rsid w:val="00C76B32"/>
    <w:rsid w:val="00DC602E"/>
    <w:rsid w:val="00E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anie.vergara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5</cp:revision>
  <dcterms:created xsi:type="dcterms:W3CDTF">2017-04-05T03:22:00Z</dcterms:created>
  <dcterms:modified xsi:type="dcterms:W3CDTF">2017-04-14T09:12:00Z</dcterms:modified>
</cp:coreProperties>
</file>