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32"/>
          <w:szCs w:val="32"/>
        </w:rPr>
        <w:t xml:space="preserve">PRODUCT REQUIREMENTS DOCUMENT</w:t>
      </w:r>
    </w:p>
    <w:p>
      <w:pPr>
        <w:spacing w:before="200"/>
        <w:jc w:val="center"/>
      </w:pPr>
      <w:r>
        <w:rPr>
          <w:b/>
          <w:bCs/>
          <w:color w:val="2E74B5"/>
          <w:sz w:val="56"/>
          <w:szCs w:val="56"/>
        </w:rPr>
        <w:t xml:space="preserve">CanvasRx</w:t>
      </w:r>
    </w:p>
    <w:p>
      <w:pPr>
        <w:spacing w:after="600" w:before="100"/>
        <w:jc w:val="center"/>
      </w:pPr>
      <w:r>
        <w:rPr>
          <w:i/>
          <w:iCs/>
          <w:color w:val="6B6B6B"/>
          <w:sz w:val="24"/>
          <w:szCs w:val="24"/>
        </w:rPr>
        <w:t xml:space="preserve">AI-Assisted, Bidirectional System-Design Canvas</w:t>
      </w:r>
    </w:p>
    <w:tbl>
      <w:tblPr>
        <w:tblW w:type="dxa" w:w="6000"/>
        <w:jc w:val="center"/>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tcW w:type="dxa" w:w="3000"/>
            <w:shd w:fill="DCE6F1" w:val="clear"/>
            <w:tcMar>
              <w:top w:type="dxa" w:w="80"/>
              <w:left w:type="dxa" w:w="100"/>
              <w:bottom w:type="dxa" w:w="80"/>
              <w:right w:type="dxa" w:w="100"/>
            </w:tcMar>
            <w:vAlign w:val="center"/>
          </w:tcPr>
          <w:p>
            <w:r>
              <w:rPr>
                <w:b/>
                <w:bCs/>
                <w:sz w:val="20"/>
                <w:szCs w:val="20"/>
              </w:rPr>
              <w:t xml:space="preserve">Document Version</w:t>
            </w:r>
          </w:p>
        </w:tc>
        <w:tc>
          <w:tcPr>
            <w:tcW w:type="dxa" w:w="3000"/>
            <w:tcMar>
              <w:top w:type="dxa" w:w="80"/>
              <w:left w:type="dxa" w:w="100"/>
              <w:bottom w:type="dxa" w:w="80"/>
              <w:right w:type="dxa" w:w="100"/>
            </w:tcMar>
            <w:vAlign w:val="center"/>
          </w:tcPr>
          <w:p>
            <w:r>
              <w:rPr>
                <w:b w:val="false"/>
                <w:bCs w:val="false"/>
                <w:sz w:val="20"/>
                <w:szCs w:val="20"/>
              </w:rPr>
              <w:t xml:space="preserve">2.0 (Revised)</w:t>
            </w:r>
          </w:p>
        </w:tc>
      </w:tr>
      <w:tr>
        <w:tc>
          <w:tcPr>
            <w:shd w:fill="DCE6F1" w:val="clear"/>
            <w:tcMar>
              <w:top w:type="dxa" w:w="80"/>
              <w:left w:type="dxa" w:w="100"/>
              <w:bottom w:type="dxa" w:w="80"/>
              <w:right w:type="dxa" w:w="100"/>
            </w:tcMar>
            <w:vAlign w:val="center"/>
          </w:tcPr>
          <w:p>
            <w:r>
              <w:rPr>
                <w:b/>
                <w:bCs/>
                <w:sz w:val="20"/>
                <w:szCs w:val="20"/>
              </w:rPr>
              <w:t xml:space="preserve">Status</w:t>
            </w:r>
          </w:p>
        </w:tc>
        <w:tc>
          <w:tcPr>
            <w:tcMar>
              <w:top w:type="dxa" w:w="80"/>
              <w:left w:type="dxa" w:w="100"/>
              <w:bottom w:type="dxa" w:w="80"/>
              <w:right w:type="dxa" w:w="100"/>
            </w:tcMar>
            <w:vAlign w:val="center"/>
          </w:tcPr>
          <w:p>
            <w:r>
              <w:rPr>
                <w:b w:val="false"/>
                <w:bCs w:val="false"/>
                <w:sz w:val="20"/>
                <w:szCs w:val="20"/>
              </w:rPr>
              <w:t xml:space="preserve">Draft for Review</w:t>
            </w:r>
          </w:p>
        </w:tc>
      </w:tr>
      <w:tr>
        <w:tc>
          <w:tcPr>
            <w:shd w:fill="DCE6F1" w:val="clear"/>
            <w:tcMar>
              <w:top w:type="dxa" w:w="80"/>
              <w:left w:type="dxa" w:w="100"/>
              <w:bottom w:type="dxa" w:w="80"/>
              <w:right w:type="dxa" w:w="100"/>
            </w:tcMar>
            <w:vAlign w:val="center"/>
          </w:tcPr>
          <w:p>
            <w:r>
              <w:rPr>
                <w:b/>
                <w:bCs/>
                <w:sz w:val="20"/>
                <w:szCs w:val="20"/>
              </w:rPr>
              <w:t xml:space="preserve">Prepared For</w:t>
            </w:r>
          </w:p>
        </w:tc>
        <w:tc>
          <w:tcPr>
            <w:tcMar>
              <w:top w:type="dxa" w:w="80"/>
              <w:left w:type="dxa" w:w="100"/>
              <w:bottom w:type="dxa" w:w="80"/>
              <w:right w:type="dxa" w:w="100"/>
            </w:tcMar>
            <w:vAlign w:val="center"/>
          </w:tcPr>
          <w:p>
            <w:r>
              <w:rPr>
                <w:b w:val="false"/>
                <w:bCs w:val="false"/>
                <w:sz w:val="20"/>
                <w:szCs w:val="20"/>
              </w:rPr>
              <w:t xml:space="preserve">Product, Engineering, Design, Legal</w:t>
            </w:r>
          </w:p>
        </w:tc>
      </w:tr>
      <w:tr>
        <w:tc>
          <w:tcPr>
            <w:shd w:fill="DCE6F1" w:val="clear"/>
            <w:tcMar>
              <w:top w:type="dxa" w:w="80"/>
              <w:left w:type="dxa" w:w="100"/>
              <w:bottom w:type="dxa" w:w="80"/>
              <w:right w:type="dxa" w:w="100"/>
            </w:tcMar>
            <w:vAlign w:val="center"/>
          </w:tcPr>
          <w:p>
            <w:r>
              <w:rPr>
                <w:b/>
                <w:bCs/>
                <w:sz w:val="20"/>
                <w:szCs w:val="20"/>
              </w:rPr>
              <w:t xml:space="preserve">Original Draft</w:t>
            </w:r>
          </w:p>
        </w:tc>
        <w:tc>
          <w:tcPr>
            <w:tcMar>
              <w:top w:type="dxa" w:w="80"/>
              <w:left w:type="dxa" w:w="100"/>
              <w:bottom w:type="dxa" w:w="80"/>
              <w:right w:type="dxa" w:w="100"/>
            </w:tcMar>
            <w:vAlign w:val="center"/>
          </w:tcPr>
          <w:p>
            <w:r>
              <w:rPr>
                <w:b w:val="false"/>
                <w:bCs w:val="false"/>
                <w:sz w:val="20"/>
                <w:szCs w:val="20"/>
              </w:rPr>
              <w:t xml:space="preserve">v1.0 – "CanvasRx" concept brief</w:t>
            </w:r>
          </w:p>
        </w:tc>
      </w:tr>
      <w:tr>
        <w:tc>
          <w:tcPr>
            <w:shd w:fill="DCE6F1" w:val="clear"/>
            <w:tcMar>
              <w:top w:type="dxa" w:w="80"/>
              <w:left w:type="dxa" w:w="100"/>
              <w:bottom w:type="dxa" w:w="80"/>
              <w:right w:type="dxa" w:w="100"/>
            </w:tcMar>
            <w:vAlign w:val="center"/>
          </w:tcPr>
          <w:p>
            <w:r>
              <w:rPr>
                <w:b/>
                <w:bCs/>
                <w:sz w:val="20"/>
                <w:szCs w:val="20"/>
              </w:rPr>
              <w:t xml:space="preserve">Revision Date</w:t>
            </w:r>
          </w:p>
        </w:tc>
        <w:tc>
          <w:tcPr>
            <w:tcMar>
              <w:top w:type="dxa" w:w="80"/>
              <w:left w:type="dxa" w:w="100"/>
              <w:bottom w:type="dxa" w:w="80"/>
              <w:right w:type="dxa" w:w="100"/>
            </w:tcMar>
            <w:vAlign w:val="center"/>
          </w:tcPr>
          <w:p>
            <w:r>
              <w:rPr>
                <w:b w:val="false"/>
                <w:bCs w:val="false"/>
                <w:sz w:val="20"/>
                <w:szCs w:val="20"/>
              </w:rPr>
              <w:t xml:space="preserve">2026</w:t>
            </w:r>
          </w:p>
        </w:tc>
      </w:tr>
    </w:tbl>
    <w:p>
      <w:r>
        <w:br w:type="page"/>
      </w:r>
    </w:p>
    <w:p>
      <w:pPr>
        <w:pStyle w:val="Heading1"/>
        <w:spacing w:after="200" w:before="400"/>
      </w:pPr>
      <w:r>
        <w:rPr>
          <w:b/>
          <w:bCs/>
          <w:color w:val="1F3864"/>
        </w:rPr>
        <w:t xml:space="preserve">Document Control</w:t>
      </w:r>
    </w:p>
    <w:p>
      <w:pPr>
        <w:pStyle w:val="Heading2"/>
        <w:spacing w:after="150" w:before="300"/>
      </w:pPr>
      <w:r>
        <w:rPr>
          <w:b/>
          <w:bCs/>
          <w:color w:val="2E74B5"/>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500"/>
      </w:tblGrid>
      <w:tr>
        <w:tc>
          <w:tcPr>
            <w:tcW w:type="dxa" w:w="1400"/>
            <w:shd w:fill="1F3864" w:val="clear"/>
            <w:tcMar>
              <w:top w:type="dxa" w:w="80"/>
              <w:left w:type="dxa" w:w="100"/>
              <w:bottom w:type="dxa" w:w="80"/>
              <w:right w:type="dxa" w:w="100"/>
            </w:tcMar>
            <w:vAlign w:val="center"/>
          </w:tcPr>
          <w:p>
            <w:r>
              <w:rPr>
                <w:b/>
                <w:bCs/>
                <w:color w:val="FFFFFF"/>
                <w:sz w:val="20"/>
                <w:szCs w:val="20"/>
              </w:rPr>
              <w:t xml:space="preserve">Version</w:t>
            </w:r>
          </w:p>
        </w:tc>
        <w:tc>
          <w:tcPr>
            <w:tcW w:type="dxa" w:w="1800"/>
            <w:shd w:fill="1F3864" w:val="clear"/>
            <w:tcMar>
              <w:top w:type="dxa" w:w="80"/>
              <w:left w:type="dxa" w:w="100"/>
              <w:bottom w:type="dxa" w:w="80"/>
              <w:right w:type="dxa" w:w="100"/>
            </w:tcMar>
            <w:vAlign w:val="center"/>
          </w:tcPr>
          <w:p>
            <w:r>
              <w:rPr>
                <w:b/>
                <w:bCs/>
                <w:color w:val="FFFFFF"/>
                <w:sz w:val="20"/>
                <w:szCs w:val="20"/>
              </w:rPr>
              <w:t xml:space="preserve">Date</w:t>
            </w:r>
          </w:p>
        </w:tc>
        <w:tc>
          <w:tcPr>
            <w:tcW w:type="dxa" w:w="2800"/>
            <w:shd w:fill="1F3864" w:val="clear"/>
            <w:tcMar>
              <w:top w:type="dxa" w:w="80"/>
              <w:left w:type="dxa" w:w="100"/>
              <w:bottom w:type="dxa" w:w="80"/>
              <w:right w:type="dxa" w:w="100"/>
            </w:tcMar>
            <w:vAlign w:val="center"/>
          </w:tcPr>
          <w:p>
            <w:r>
              <w:rPr>
                <w:b/>
                <w:bCs/>
                <w:color w:val="FFFFFF"/>
                <w:sz w:val="20"/>
                <w:szCs w:val="20"/>
              </w:rPr>
              <w:t xml:space="preserve">Author</w:t>
            </w:r>
          </w:p>
        </w:tc>
        <w:tc>
          <w:tcPr>
            <w:tcW w:type="dxa" w:w="3500"/>
            <w:shd w:fill="1F3864" w:val="clear"/>
            <w:tcMar>
              <w:top w:type="dxa" w:w="80"/>
              <w:left w:type="dxa" w:w="100"/>
              <w:bottom w:type="dxa" w:w="80"/>
              <w:right w:type="dxa" w:w="100"/>
            </w:tcMar>
            <w:vAlign w:val="center"/>
          </w:tcPr>
          <w:p>
            <w:r>
              <w:rPr>
                <w:b/>
                <w:bCs/>
                <w:color w:val="FFFFFF"/>
                <w:sz w:val="20"/>
                <w:szCs w:val="20"/>
              </w:rPr>
              <w:t xml:space="preserve">Summary of Changes</w:t>
            </w:r>
          </w:p>
        </w:tc>
      </w:tr>
      <w:tr>
        <w:tc>
          <w:tcPr>
            <w:tcMar>
              <w:top w:type="dxa" w:w="80"/>
              <w:left w:type="dxa" w:w="100"/>
              <w:bottom w:type="dxa" w:w="80"/>
              <w:right w:type="dxa" w:w="100"/>
            </w:tcMar>
            <w:vAlign w:val="center"/>
          </w:tcPr>
          <w:p>
            <w:r>
              <w:rPr>
                <w:b w:val="false"/>
                <w:bCs w:val="false"/>
                <w:sz w:val="20"/>
                <w:szCs w:val="20"/>
              </w:rPr>
              <w:t xml:space="preserve">1.0</w:t>
            </w:r>
          </w:p>
        </w:tc>
        <w:tc>
          <w:tcPr>
            <w:tcMar>
              <w:top w:type="dxa" w:w="80"/>
              <w:left w:type="dxa" w:w="100"/>
              <w:bottom w:type="dxa" w:w="80"/>
              <w:right w:type="dxa" w:w="100"/>
            </w:tcMar>
            <w:vAlign w:val="center"/>
          </w:tcPr>
          <w:p>
            <w:r>
              <w:rPr>
                <w:b w:val="false"/>
                <w:bCs w:val="false"/>
                <w:sz w:val="20"/>
                <w:szCs w:val="20"/>
              </w:rPr>
              <w:t xml:space="preserve">Prior</w:t>
            </w:r>
          </w:p>
        </w:tc>
        <w:tc>
          <w:tcPr>
            <w:tcMar>
              <w:top w:type="dxa" w:w="80"/>
              <w:left w:type="dxa" w:w="100"/>
              <w:bottom w:type="dxa" w:w="80"/>
              <w:right w:type="dxa" w:w="100"/>
            </w:tcMar>
            <w:vAlign w:val="center"/>
          </w:tcPr>
          <w:p>
            <w:r>
              <w:rPr>
                <w:b w:val="false"/>
                <w:bCs w:val="false"/>
                <w:sz w:val="20"/>
                <w:szCs w:val="20"/>
              </w:rPr>
              <w:t xml:space="preserve">Product Owner</w:t>
            </w:r>
          </w:p>
        </w:tc>
        <w:tc>
          <w:tcPr>
            <w:tcMar>
              <w:top w:type="dxa" w:w="80"/>
              <w:left w:type="dxa" w:w="100"/>
              <w:bottom w:type="dxa" w:w="80"/>
              <w:right w:type="dxa" w:w="100"/>
            </w:tcMar>
            <w:vAlign w:val="center"/>
          </w:tcPr>
          <w:p>
            <w:r>
              <w:rPr>
                <w:b w:val="false"/>
                <w:bCs w:val="false"/>
                <w:sz w:val="20"/>
                <w:szCs w:val="20"/>
              </w:rPr>
              <w:t xml:space="preserve">Initial concept brief: vision, user flow, 4 features, high-level KPIs.</w:t>
            </w:r>
          </w:p>
        </w:tc>
      </w:tr>
      <w:tr>
        <w:tc>
          <w:tcPr>
            <w:tcMar>
              <w:top w:type="dxa" w:w="80"/>
              <w:left w:type="dxa" w:w="100"/>
              <w:bottom w:type="dxa" w:w="80"/>
              <w:right w:type="dxa" w:w="100"/>
            </w:tcMar>
            <w:vAlign w:val="center"/>
          </w:tcPr>
          <w:p>
            <w:r>
              <w:rPr>
                <w:b w:val="false"/>
                <w:bCs w:val="false"/>
                <w:sz w:val="20"/>
                <w:szCs w:val="20"/>
              </w:rPr>
              <w:t xml:space="preserve">2.0</w:t>
            </w:r>
          </w:p>
        </w:tc>
        <w:tc>
          <w:tcPr>
            <w:tcMar>
              <w:top w:type="dxa" w:w="80"/>
              <w:left w:type="dxa" w:w="100"/>
              <w:bottom w:type="dxa" w:w="80"/>
              <w:right w:type="dxa" w:w="100"/>
            </w:tcMar>
            <w:vAlign w:val="center"/>
          </w:tcPr>
          <w:p>
            <w:r>
              <w:rPr>
                <w:b w:val="false"/>
                <w:bCs w:val="false"/>
                <w:sz w:val="20"/>
                <w:szCs w:val="20"/>
              </w:rPr>
              <w:t xml:space="preserve">2026</w:t>
            </w:r>
          </w:p>
        </w:tc>
        <w:tc>
          <w:tcPr>
            <w:tcMar>
              <w:top w:type="dxa" w:w="80"/>
              <w:left w:type="dxa" w:w="100"/>
              <w:bottom w:type="dxa" w:w="80"/>
              <w:right w:type="dxa" w:w="100"/>
            </w:tcMar>
            <w:vAlign w:val="center"/>
          </w:tcPr>
          <w:p>
            <w:r>
              <w:rPr>
                <w:b w:val="false"/>
                <w:bCs w:val="false"/>
                <w:sz w:val="20"/>
                <w:szCs w:val="20"/>
              </w:rPr>
              <w:t xml:space="preserve">Product (revised)</w:t>
            </w:r>
          </w:p>
        </w:tc>
        <w:tc>
          <w:tcPr>
            <w:tcMar>
              <w:top w:type="dxa" w:w="80"/>
              <w:left w:type="dxa" w:w="100"/>
              <w:bottom w:type="dxa" w:w="80"/>
              <w:right w:type="dxa" w:w="100"/>
            </w:tcMar>
            <w:vAlign w:val="center"/>
          </w:tcPr>
          <w:p>
            <w:r>
              <w:rPr>
                <w:b w:val="false"/>
                <w:bCs w:val="false"/>
                <w:sz w:val="20"/>
                <w:szCs w:val="20"/>
              </w:rPr>
              <w:t xml:space="preserve">Added scope boundaries, personas, acceptance criteria, NFRs, risk register, legal/privacy review of data sourcing, phased release plan, and measurable KPI definitions.</w:t>
            </w:r>
          </w:p>
        </w:tc>
      </w:tr>
    </w:tbl>
    <w:p>
      <w:pPr>
        <w:spacing w:after="120"/>
      </w:pPr>
      <w:r>
        <w:t xml:space="preserve"/>
      </w:r>
    </w:p>
    <w:p>
      <w:pPr>
        <w:pStyle w:val="Heading2"/>
        <w:spacing w:after="150" w:before="300"/>
      </w:pPr>
      <w:r>
        <w:rPr>
          <w:b/>
          <w:bCs/>
          <w:color w:val="2E74B5"/>
        </w:rPr>
        <w:t xml:space="preserve">Why This Document Was Revised</w:t>
      </w:r>
    </w:p>
    <w:p>
      <w:pPr>
        <w:spacing w:after="120"/>
      </w:pPr>
      <w:r>
        <w:t xml:space="preserve">The original v1.0 brief communicated the vision clearly but was not yet actionable for engineering, design, and legal sign-off. This revision keeps the original vision and feature set intact and adds the elements a cross-functional team needs to scope, build, and ship safely: explicit goals and non-goals, target personas, acceptance criteria per feature, non-functional requirements, a risk register (notably around third-party data sourcing), and a phased delivery plan.</w:t>
      </w:r>
    </w:p>
    <w:p>
      <w:r>
        <w:br w:type="page"/>
      </w:r>
    </w:p>
    <w:p>
      <w:pPr>
        <w:pStyle w:val="Heading1"/>
        <w:spacing w:after="200" w:before="400"/>
      </w:pPr>
      <w:r>
        <w:rPr>
          <w:b/>
          <w:bCs/>
          <w:color w:val="1F3864"/>
        </w:rPr>
        <w:t xml:space="preserve">1. Executive Summary</w:t>
      </w:r>
    </w:p>
    <w:p>
      <w:pPr>
        <w:spacing w:after="120"/>
      </w:pPr>
      <w:r>
        <w:t xml:space="preserve">CanvasRx is a bidirectional, AI-assisted system-design tool. Users vent about a problem in free-form text, annotate specific phrases with context (similar to Figma/Google Docs comments), and receive an interactive, FigJam-style canvas of AI-generated recommendations that they can negotiate with in real time. The session concludes in a data-backed “System Blueprint” showing match score, peer outcomes, and retention data for each recommendation.</w:t>
      </w:r>
    </w:p>
    <w:p>
      <w:pPr>
        <w:spacing w:after="120"/>
      </w:pPr>
      <w:r>
        <w:t xml:space="preserve">This document defines the problem, scope, users, functional requirements, non-functional requirements, technical architecture, risks, and phased release plan for Version 1.0.</w:t>
      </w:r>
    </w:p>
    <w:p>
      <w:pPr>
        <w:pStyle w:val="Heading1"/>
        <w:spacing w:after="200" w:before="400"/>
      </w:pPr>
      <w:r>
        <w:rPr>
          <w:b/>
          <w:bCs/>
          <w:color w:val="1F3864"/>
        </w:rPr>
        <w:t xml:space="preserve">2. Problem Statement</w:t>
      </w:r>
    </w:p>
    <w:p>
      <w:pPr>
        <w:spacing w:after="120"/>
      </w:pPr>
      <w:r>
        <w:t xml:space="preserve">Entrepreneurs, designers, and solo operators face “app fatigue” and “decision fatigue”: dozens of SaaS tools, mentors, and fragmented resources exist for every micro-problem they encounter. This creates decision inertia that stalls forward progress. Existing recommendation engines return static, generic lists and leave the cognitive burden of filtering and deciding entirely on the user.</w:t>
      </w:r>
    </w:p>
    <w:p>
      <w:pPr>
        <w:pStyle w:val="Heading2"/>
        <w:spacing w:after="150" w:before="300"/>
      </w:pPr>
      <w:r>
        <w:rPr>
          <w:b/>
          <w:bCs/>
          <w:color w:val="2E74B5"/>
        </w:rPr>
        <w:t xml:space="preserve">2.1 Opportunity</w:t>
      </w:r>
    </w:p>
    <w:p>
      <w:pPr>
        <w:spacing w:after="120"/>
      </w:pPr>
      <w:r>
        <w:t xml:space="preserve">A tool that (a) lowers the barrier to articulating the problem, (b) lets the user negotiate with the recommendation in natural language instead of re-searching from scratch, and (c) backs each recommendation with transparent, verifiable outcome data, can convert vague frustration into a concrete, trusted action plan.</w:t>
      </w:r>
    </w:p>
    <w:p>
      <w:pPr>
        <w:pStyle w:val="Heading1"/>
        <w:spacing w:after="200" w:before="400"/>
      </w:pPr>
      <w:r>
        <w:rPr>
          <w:b/>
          <w:bCs/>
          <w:color w:val="1F3864"/>
        </w:rPr>
        <w:t xml:space="preserve">3. Goals &amp; Non-Goals</w:t>
      </w:r>
    </w:p>
    <w:p>
      <w:pPr>
        <w:pStyle w:val="Heading2"/>
        <w:spacing w:after="150" w:before="300"/>
      </w:pPr>
      <w:r>
        <w:rPr>
          <w:b/>
          <w:bCs/>
          <w:color w:val="2E74B5"/>
        </w:rPr>
        <w:t xml:space="preserve">3.1 Goals (V1.0)</w:t>
      </w:r>
    </w:p>
    <w:p>
      <w:pPr>
        <w:pStyle w:val="ListParagraph"/>
        <w:numPr>
          <w:ilvl w:val="0"/>
          <w:numId w:val="2"/>
        </w:numPr>
        <w:spacing w:after="60"/>
      </w:pPr>
      <w:r>
        <w:t xml:space="preserve">Reduce the time from “I have a vague problem” to “I have a trusted, actionable recommendation”.</w:t>
      </w:r>
    </w:p>
    <w:p>
      <w:pPr>
        <w:pStyle w:val="ListParagraph"/>
        <w:numPr>
          <w:ilvl w:val="0"/>
          <w:numId w:val="2"/>
        </w:numPr>
        <w:spacing w:after="60"/>
      </w:pPr>
      <w:r>
        <w:t xml:space="preserve">Let users refine AI recommendations through lightweight, node-level comments rather than restarting a search.</w:t>
      </w:r>
    </w:p>
    <w:p>
      <w:pPr>
        <w:pStyle w:val="ListParagraph"/>
        <w:numPr>
          <w:ilvl w:val="0"/>
          <w:numId w:val="2"/>
        </w:numPr>
        <w:spacing w:after="60"/>
      </w:pPr>
      <w:r>
        <w:t xml:space="preserve">Make every recommendation’s evidence (match score, peer outcomes, sponsorship status) visible and auditable.</w:t>
      </w:r>
    </w:p>
    <w:p>
      <w:pPr>
        <w:pStyle w:val="ListParagraph"/>
        <w:numPr>
          <w:ilvl w:val="0"/>
          <w:numId w:val="2"/>
        </w:numPr>
        <w:spacing w:after="60"/>
      </w:pPr>
      <w:r>
        <w:t xml:space="preserve">Establish a reusable data pipeline (vector DB + outcome metrics) that improves recommendation quality over time.</w:t>
      </w:r>
    </w:p>
    <w:p>
      <w:pPr>
        <w:pStyle w:val="Heading2"/>
        <w:spacing w:after="150" w:before="300"/>
      </w:pPr>
      <w:r>
        <w:rPr>
          <w:b/>
          <w:bCs/>
          <w:color w:val="2E74B5"/>
        </w:rPr>
        <w:t xml:space="preserve">3.2 Non-Goals (Explicitly Out of Scope for V1.0)</w:t>
      </w:r>
    </w:p>
    <w:p>
      <w:pPr>
        <w:pStyle w:val="ListParagraph"/>
        <w:numPr>
          <w:ilvl w:val="0"/>
          <w:numId w:val="2"/>
        </w:numPr>
        <w:spacing w:after="60"/>
      </w:pPr>
      <w:r>
        <w:t xml:space="preserve">Real-time multi-user collaboration on the same canvas (single-player only in V1.0).</w:t>
      </w:r>
    </w:p>
    <w:p>
      <w:pPr>
        <w:pStyle w:val="ListParagraph"/>
        <w:numPr>
          <w:ilvl w:val="0"/>
          <w:numId w:val="2"/>
        </w:numPr>
        <w:spacing w:after="60"/>
      </w:pPr>
      <w:r>
        <w:t xml:space="preserve">Automated execution of recommendations (e.g., auto-provisioning a SaaS account) — V1.0 only recommends and links out.</w:t>
      </w:r>
    </w:p>
    <w:p>
      <w:pPr>
        <w:pStyle w:val="ListParagraph"/>
        <w:numPr>
          <w:ilvl w:val="0"/>
          <w:numId w:val="2"/>
        </w:numPr>
        <w:spacing w:after="60"/>
      </w:pPr>
      <w:r>
        <w:t xml:space="preserve">Mobile native app — V1.0 targets desktop web only, given the canvas interaction model.</w:t>
      </w:r>
    </w:p>
    <w:p>
      <w:pPr>
        <w:pStyle w:val="ListParagraph"/>
        <w:numPr>
          <w:ilvl w:val="0"/>
          <w:numId w:val="2"/>
        </w:numPr>
        <w:spacing w:after="60"/>
      </w:pPr>
      <w:r>
        <w:t xml:space="preserve">Fully automated expert-matching/marketplace transactions (payments, contracts) between users and recommended experts.</w:t>
      </w:r>
    </w:p>
    <w:p>
      <w:pPr>
        <w:pStyle w:val="Heading1"/>
        <w:spacing w:after="200" w:before="400"/>
      </w:pPr>
      <w:r>
        <w:rPr>
          <w:b/>
          <w:bCs/>
          <w:color w:val="1F3864"/>
        </w:rPr>
        <w:t xml:space="preserve">4. Target Users &amp; Personas</w:t>
      </w:r>
    </w:p>
    <w:p>
      <w:pPr>
        <w:pStyle w:val="Heading2"/>
        <w:spacing w:after="150" w:before="300"/>
      </w:pPr>
      <w:r>
        <w:rPr>
          <w:b/>
          <w:bCs/>
          <w:color w:val="2E74B5"/>
        </w:rPr>
        <w:t xml:space="preserve">4.1 Primary Persona — “The Resourceful Solo Builder” (Berkay)</w:t>
      </w:r>
    </w:p>
    <w:p>
      <w:pPr>
        <w:spacing w:after="60"/>
      </w:pPr>
      <w:r>
        <w:rPr>
          <w:b/>
          <w:bCs/>
        </w:rPr>
        <w:t xml:space="preserve">Profile: </w:t>
      </w:r>
      <w:r>
        <w:t xml:space="preserve">Early-stage designer/founder building a product with limited budget and no dedicated engineering team.</w:t>
      </w:r>
    </w:p>
    <w:p>
      <w:pPr>
        <w:spacing w:after="60"/>
      </w:pPr>
      <w:r>
        <w:rPr>
          <w:b/>
          <w:bCs/>
        </w:rPr>
        <w:t xml:space="preserve">Needs: </w:t>
      </w:r>
      <w:r>
        <w:t xml:space="preserve">Fast, trustworthy, budget-aware tool and process recommendations without hours of independent research.</w:t>
      </w:r>
    </w:p>
    <w:p>
      <w:pPr>
        <w:spacing w:after="60"/>
      </w:pPr>
      <w:r>
        <w:rPr>
          <w:b/>
          <w:bCs/>
        </w:rPr>
        <w:t xml:space="preserve">Success Moment: </w:t>
      </w:r>
      <w:r>
        <w:t xml:space="preserve">Leaves the session with one concrete next step and enough evidence to act on it immediately.</w:t>
      </w:r>
    </w:p>
    <w:p>
      <w:pPr>
        <w:pStyle w:val="Heading2"/>
        <w:spacing w:after="150" w:before="300"/>
      </w:pPr>
      <w:r>
        <w:rPr>
          <w:b/>
          <w:bCs/>
          <w:color w:val="2E74B5"/>
        </w:rPr>
        <w:t xml:space="preserve">4.2 Secondary Persona — “The Overwhelmed Operator”</w:t>
      </w:r>
    </w:p>
    <w:p>
      <w:pPr>
        <w:spacing w:after="60"/>
      </w:pPr>
      <w:r>
        <w:rPr>
          <w:b/>
          <w:bCs/>
        </w:rPr>
        <w:t xml:space="preserve">Profile: </w:t>
      </w:r>
      <w:r>
        <w:t xml:space="preserve">Runs a small existing business; problem is usually operational (workflow, tooling gaps) rather than 0-to-1 product design.</w:t>
      </w:r>
    </w:p>
    <w:p>
      <w:pPr>
        <w:spacing w:after="60"/>
      </w:pPr>
      <w:r>
        <w:rPr>
          <w:b/>
          <w:bCs/>
        </w:rPr>
        <w:t xml:space="preserve">Needs: </w:t>
      </w:r>
      <w:r>
        <w:t xml:space="preserve">Confidence that a recommendation will integrate with what they already run, not just that it is popular.</w:t>
      </w:r>
    </w:p>
    <w:p>
      <w:pPr>
        <w:pStyle w:val="Heading1"/>
        <w:spacing w:after="200" w:before="400"/>
      </w:pPr>
      <w:r>
        <w:rPr>
          <w:b/>
          <w:bCs/>
          <w:color w:val="1F3864"/>
        </w:rPr>
        <w:t xml:space="preserve">5. User Flow</w:t>
      </w:r>
    </w:p>
    <w:p>
      <w:pPr>
        <w:spacing w:after="120"/>
      </w:pPr>
      <w:r>
        <w:t xml:space="preserve">The flow is unchanged in spirit from the original concept, with explicit entry/exit criteria added for each step so engineering can define state transitions.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200"/>
        <w:gridCol w:w="3200"/>
      </w:tblGrid>
      <w:t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Step</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Entry Criteria</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Exit Criteria</w:t>
            </w:r>
          </w:p>
        </w:tc>
      </w:tr>
      <w:tr>
        <w:tc>
          <w:tcPr>
            <w:tcMar>
              <w:top w:type="dxa" w:w="80"/>
              <w:left w:type="dxa" w:w="100"/>
              <w:bottom w:type="dxa" w:w="80"/>
              <w:right w:type="dxa" w:w="100"/>
            </w:tcMar>
            <w:vAlign w:val="center"/>
          </w:tcPr>
          <w:p>
            <w:r>
              <w:rPr>
                <w:b w:val="false"/>
                <w:bCs w:val="false"/>
                <w:sz w:val="20"/>
                <w:szCs w:val="20"/>
              </w:rPr>
              <w:t xml:space="preserve">1</w:t>
            </w:r>
          </w:p>
        </w:tc>
        <w:tc>
          <w:tcPr>
            <w:tcMar>
              <w:top w:type="dxa" w:w="80"/>
              <w:left w:type="dxa" w:w="100"/>
              <w:bottom w:type="dxa" w:w="80"/>
              <w:right w:type="dxa" w:w="100"/>
            </w:tcMar>
            <w:vAlign w:val="center"/>
          </w:tcPr>
          <w:p>
            <w:r>
              <w:rPr>
                <w:b w:val="false"/>
                <w:bCs w:val="false"/>
                <w:sz w:val="20"/>
                <w:szCs w:val="20"/>
              </w:rPr>
              <w:t xml:space="preserve">Free Writing &amp; Venting</w:t>
            </w:r>
          </w:p>
        </w:tc>
        <w:tc>
          <w:tcPr>
            <w:tcMar>
              <w:top w:type="dxa" w:w="80"/>
              <w:left w:type="dxa" w:w="100"/>
              <w:bottom w:type="dxa" w:w="80"/>
              <w:right w:type="dxa" w:w="100"/>
            </w:tcMar>
            <w:vAlign w:val="center"/>
          </w:tcPr>
          <w:p>
            <w:r>
              <w:rPr>
                <w:b w:val="false"/>
                <w:bCs w:val="false"/>
                <w:sz w:val="20"/>
                <w:szCs w:val="20"/>
              </w:rPr>
              <w:t xml:space="preserve">User starts a new session</w:t>
            </w:r>
          </w:p>
        </w:tc>
        <w:tc>
          <w:tcPr>
            <w:tcMar>
              <w:top w:type="dxa" w:w="80"/>
              <w:left w:type="dxa" w:w="100"/>
              <w:bottom w:type="dxa" w:w="80"/>
              <w:right w:type="dxa" w:w="100"/>
            </w:tcMar>
            <w:vAlign w:val="center"/>
          </w:tcPr>
          <w:p>
            <w:r>
              <w:rPr>
                <w:b w:val="false"/>
                <w:bCs w:val="false"/>
                <w:sz w:val="20"/>
                <w:szCs w:val="20"/>
              </w:rPr>
              <w:t xml:space="preserve">≥ 40 words written OR user clicks “Continue”</w:t>
            </w:r>
          </w:p>
        </w:tc>
      </w:tr>
      <w:tr>
        <w:tc>
          <w:tcPr>
            <w:tcMar>
              <w:top w:type="dxa" w:w="80"/>
              <w:left w:type="dxa" w:w="100"/>
              <w:bottom w:type="dxa" w:w="80"/>
              <w:right w:type="dxa" w:w="100"/>
            </w:tcMar>
            <w:vAlign w:val="center"/>
          </w:tcPr>
          <w:p>
            <w:r>
              <w:rPr>
                <w:b w:val="false"/>
                <w:bCs w:val="false"/>
                <w:sz w:val="20"/>
                <w:szCs w:val="20"/>
              </w:rPr>
              <w:t xml:space="preserve">2</w:t>
            </w:r>
          </w:p>
        </w:tc>
        <w:tc>
          <w:tcPr>
            <w:tcMar>
              <w:top w:type="dxa" w:w="80"/>
              <w:left w:type="dxa" w:w="100"/>
              <w:bottom w:type="dxa" w:w="80"/>
              <w:right w:type="dxa" w:w="100"/>
            </w:tcMar>
            <w:vAlign w:val="center"/>
          </w:tcPr>
          <w:p>
            <w:r>
              <w:rPr>
                <w:b w:val="false"/>
                <w:bCs w:val="false"/>
                <w:sz w:val="20"/>
                <w:szCs w:val="20"/>
              </w:rPr>
              <w:t xml:space="preserve">Phrase Selection &amp; Micro-Comments</w:t>
            </w:r>
          </w:p>
        </w:tc>
        <w:tc>
          <w:tcPr>
            <w:tcMar>
              <w:top w:type="dxa" w:w="80"/>
              <w:left w:type="dxa" w:w="100"/>
              <w:bottom w:type="dxa" w:w="80"/>
              <w:right w:type="dxa" w:w="100"/>
            </w:tcMar>
            <w:vAlign w:val="center"/>
          </w:tcPr>
          <w:p>
            <w:r>
              <w:rPr>
                <w:b w:val="false"/>
                <w:bCs w:val="false"/>
                <w:sz w:val="20"/>
                <w:szCs w:val="20"/>
              </w:rPr>
              <w:t xml:space="preserve">Draft text exists in editor</w:t>
            </w:r>
          </w:p>
        </w:tc>
        <w:tc>
          <w:tcPr>
            <w:tcMar>
              <w:top w:type="dxa" w:w="80"/>
              <w:left w:type="dxa" w:w="100"/>
              <w:bottom w:type="dxa" w:w="80"/>
              <w:right w:type="dxa" w:w="100"/>
            </w:tcMar>
            <w:vAlign w:val="center"/>
          </w:tcPr>
          <w:p>
            <w:r>
              <w:rPr>
                <w:b w:val="false"/>
                <w:bCs w:val="false"/>
                <w:sz w:val="20"/>
                <w:szCs w:val="20"/>
              </w:rPr>
              <w:t xml:space="preserve">≥ 1 tagged comment created</w:t>
            </w:r>
          </w:p>
        </w:tc>
      </w:tr>
      <w:tr>
        <w:tc>
          <w:tcPr>
            <w:tcMar>
              <w:top w:type="dxa" w:w="80"/>
              <w:left w:type="dxa" w:w="100"/>
              <w:bottom w:type="dxa" w:w="80"/>
              <w:right w:type="dxa" w:w="100"/>
            </w:tcMar>
            <w:vAlign w:val="center"/>
          </w:tcPr>
          <w:p>
            <w:r>
              <w:rPr>
                <w:b w:val="false"/>
                <w:bCs w:val="false"/>
                <w:sz w:val="20"/>
                <w:szCs w:val="20"/>
              </w:rPr>
              <w:t xml:space="preserve">3</w:t>
            </w:r>
          </w:p>
        </w:tc>
        <w:tc>
          <w:tcPr>
            <w:tcMar>
              <w:top w:type="dxa" w:w="80"/>
              <w:left w:type="dxa" w:w="100"/>
              <w:bottom w:type="dxa" w:w="80"/>
              <w:right w:type="dxa" w:w="100"/>
            </w:tcMar>
            <w:vAlign w:val="center"/>
          </w:tcPr>
          <w:p>
            <w:r>
              <w:rPr>
                <w:b w:val="false"/>
                <w:bCs w:val="false"/>
                <w:sz w:val="20"/>
                <w:szCs w:val="20"/>
              </w:rPr>
              <w:t xml:space="preserve">AI Processing &amp; Canvas Generation</w:t>
            </w:r>
          </w:p>
        </w:tc>
        <w:tc>
          <w:tcPr>
            <w:tcMar>
              <w:top w:type="dxa" w:w="80"/>
              <w:left w:type="dxa" w:w="100"/>
              <w:bottom w:type="dxa" w:w="80"/>
              <w:right w:type="dxa" w:w="100"/>
            </w:tcMar>
            <w:vAlign w:val="center"/>
          </w:tcPr>
          <w:p>
            <w:r>
              <w:rPr>
                <w:b w:val="false"/>
                <w:bCs w:val="false"/>
                <w:sz w:val="20"/>
                <w:szCs w:val="20"/>
              </w:rPr>
              <w:t xml:space="preserve">At least 1 tagged comment submitted</w:t>
            </w:r>
          </w:p>
        </w:tc>
        <w:tc>
          <w:tcPr>
            <w:tcMar>
              <w:top w:type="dxa" w:w="80"/>
              <w:left w:type="dxa" w:w="100"/>
              <w:bottom w:type="dxa" w:w="80"/>
              <w:right w:type="dxa" w:w="100"/>
            </w:tcMar>
            <w:vAlign w:val="center"/>
          </w:tcPr>
          <w:p>
            <w:r>
              <w:rPr>
                <w:b w:val="false"/>
                <w:bCs w:val="false"/>
                <w:sz w:val="20"/>
                <w:szCs w:val="20"/>
              </w:rPr>
              <w:t xml:space="preserve">Canvas renders with ≥ 1 recommendation node</w:t>
            </w:r>
          </w:p>
        </w:tc>
      </w:tr>
      <w:tr>
        <w:tc>
          <w:tcPr>
            <w:tcMar>
              <w:top w:type="dxa" w:w="80"/>
              <w:left w:type="dxa" w:w="100"/>
              <w:bottom w:type="dxa" w:w="80"/>
              <w:right w:type="dxa" w:w="100"/>
            </w:tcMar>
            <w:vAlign w:val="center"/>
          </w:tcPr>
          <w:p>
            <w:r>
              <w:rPr>
                <w:b w:val="false"/>
                <w:bCs w:val="false"/>
                <w:sz w:val="20"/>
                <w:szCs w:val="20"/>
              </w:rPr>
              <w:t xml:space="preserve">4</w:t>
            </w:r>
          </w:p>
        </w:tc>
        <w:tc>
          <w:tcPr>
            <w:tcMar>
              <w:top w:type="dxa" w:w="80"/>
              <w:left w:type="dxa" w:w="100"/>
              <w:bottom w:type="dxa" w:w="80"/>
              <w:right w:type="dxa" w:w="100"/>
            </w:tcMar>
            <w:vAlign w:val="center"/>
          </w:tcPr>
          <w:p>
            <w:r>
              <w:rPr>
                <w:b w:val="false"/>
                <w:bCs w:val="false"/>
                <w:sz w:val="20"/>
                <w:szCs w:val="20"/>
              </w:rPr>
              <w:t xml:space="preserve">User Feedback / Node Rerouting</w:t>
            </w:r>
          </w:p>
        </w:tc>
        <w:tc>
          <w:tcPr>
            <w:tcMar>
              <w:top w:type="dxa" w:w="80"/>
              <w:left w:type="dxa" w:w="100"/>
              <w:bottom w:type="dxa" w:w="80"/>
              <w:right w:type="dxa" w:w="100"/>
            </w:tcMar>
            <w:vAlign w:val="center"/>
          </w:tcPr>
          <w:p>
            <w:r>
              <w:rPr>
                <w:b w:val="false"/>
                <w:bCs w:val="false"/>
                <w:sz w:val="20"/>
                <w:szCs w:val="20"/>
              </w:rPr>
              <w:t xml:space="preserve">Canvas is visible and interactive</w:t>
            </w:r>
          </w:p>
        </w:tc>
        <w:tc>
          <w:tcPr>
            <w:tcMar>
              <w:top w:type="dxa" w:w="80"/>
              <w:left w:type="dxa" w:w="100"/>
              <w:bottom w:type="dxa" w:w="80"/>
              <w:right w:type="dxa" w:w="100"/>
            </w:tcMar>
            <w:vAlign w:val="center"/>
          </w:tcPr>
          <w:p>
            <w:r>
              <w:rPr>
                <w:b w:val="false"/>
                <w:bCs w:val="false"/>
                <w:sz w:val="20"/>
                <w:szCs w:val="20"/>
              </w:rPr>
              <w:t xml:space="preserve">User clicks “Finish Process”</w:t>
            </w:r>
          </w:p>
        </w:tc>
      </w:tr>
      <w:tr>
        <w:tc>
          <w:tcPr>
            <w:tcMar>
              <w:top w:type="dxa" w:w="80"/>
              <w:left w:type="dxa" w:w="100"/>
              <w:bottom w:type="dxa" w:w="80"/>
              <w:right w:type="dxa" w:w="100"/>
            </w:tcMar>
            <w:vAlign w:val="center"/>
          </w:tcPr>
          <w:p>
            <w:r>
              <w:rPr>
                <w:b w:val="false"/>
                <w:bCs w:val="false"/>
                <w:sz w:val="20"/>
                <w:szCs w:val="20"/>
              </w:rPr>
              <w:t xml:space="preserve">5</w:t>
            </w:r>
          </w:p>
        </w:tc>
        <w:tc>
          <w:tcPr>
            <w:tcMar>
              <w:top w:type="dxa" w:w="80"/>
              <w:left w:type="dxa" w:w="100"/>
              <w:bottom w:type="dxa" w:w="80"/>
              <w:right w:type="dxa" w:w="100"/>
            </w:tcMar>
            <w:vAlign w:val="center"/>
          </w:tcPr>
          <w:p>
            <w:r>
              <w:rPr>
                <w:b w:val="false"/>
                <w:bCs w:val="false"/>
                <w:sz w:val="20"/>
                <w:szCs w:val="20"/>
              </w:rPr>
              <w:t xml:space="preserve">Verified Prescription Dashboard</w:t>
            </w:r>
          </w:p>
        </w:tc>
        <w:tc>
          <w:tcPr>
            <w:tcMar>
              <w:top w:type="dxa" w:w="80"/>
              <w:left w:type="dxa" w:w="100"/>
              <w:bottom w:type="dxa" w:w="80"/>
              <w:right w:type="dxa" w:w="100"/>
            </w:tcMar>
            <w:vAlign w:val="center"/>
          </w:tcPr>
          <w:p>
            <w:r>
              <w:rPr>
                <w:b w:val="false"/>
                <w:bCs w:val="false"/>
                <w:sz w:val="20"/>
                <w:szCs w:val="20"/>
              </w:rPr>
              <w:t xml:space="preserve">“Finish Process” triggered</w:t>
            </w:r>
          </w:p>
        </w:tc>
        <w:tc>
          <w:tcPr>
            <w:tcMar>
              <w:top w:type="dxa" w:w="80"/>
              <w:left w:type="dxa" w:w="100"/>
              <w:bottom w:type="dxa" w:w="80"/>
              <w:right w:type="dxa" w:w="100"/>
            </w:tcMar>
            <w:vAlign w:val="center"/>
          </w:tcPr>
          <w:p>
            <w:r>
              <w:rPr>
                <w:b w:val="false"/>
                <w:bCs w:val="false"/>
                <w:sz w:val="20"/>
                <w:szCs w:val="20"/>
              </w:rPr>
              <w:t xml:space="preserve">Dashboard rendered; exit poll shown</w:t>
            </w:r>
          </w:p>
        </w:tc>
      </w:tr>
    </w:tbl>
    <w:p>
      <w:r>
        <w:br w:type="page"/>
      </w:r>
    </w:p>
    <w:p>
      <w:pPr>
        <w:pStyle w:val="Heading1"/>
        <w:spacing w:after="200" w:before="400"/>
      </w:pPr>
      <w:r>
        <w:rPr>
          <w:b/>
          <w:bCs/>
          <w:color w:val="1F3864"/>
        </w:rPr>
        <w:t xml:space="preserve">6. Detailed Features &amp; Functional Requirements</w:t>
      </w:r>
    </w:p>
    <w:p>
      <w:pPr>
        <w:spacing w:after="120"/>
      </w:pPr>
      <w:r>
        <w:t xml:space="preserve">Each feature from the original concept is retained. This revision adds priority, dependencies, testable acceptance criteria, and one new feature (6.5) needed to satisfy the transparency goal stated in Section 3.</w:t>
      </w:r>
    </w:p>
    <w:p>
      <w:pPr>
        <w:pStyle w:val="Heading2"/>
        <w:spacing w:after="150" w:before="300"/>
      </w:pPr>
      <w:r>
        <w:rPr>
          <w:b/>
          <w:bCs/>
          <w:color w:val="2E74B5"/>
        </w:rPr>
        <w:t xml:space="preserve">6.1. Smart Venting Editor</w:t>
      </w:r>
    </w:p>
    <w:p>
      <w:pPr>
        <w:spacing w:after="120"/>
      </w:pPr>
      <w:r>
        <w:t xml:space="preserve">Free-form text entry area that reduces blank-page friction via adaptive “Thought Triggers” and extracts structured signal from unstructured venting.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val="clear"/>
            <w:tcMar>
              <w:top w:type="dxa" w:w="80"/>
              <w:left w:type="dxa" w:w="100"/>
              <w:bottom w:type="dxa" w:w="80"/>
              <w:right w:type="dxa" w:w="100"/>
            </w:tcMar>
            <w:vAlign w:val="center"/>
          </w:tcPr>
          <w:p>
            <w:r>
              <w:rPr>
                <w:b/>
                <w:bCs/>
                <w:sz w:val="20"/>
                <w:szCs w:val="20"/>
              </w:rPr>
              <w:t xml:space="preserve">Priority</w:t>
            </w:r>
          </w:p>
        </w:tc>
        <w:tc>
          <w:tcPr>
            <w:tcW w:type="dxa" w:w="7300"/>
            <w:tcMar>
              <w:top w:type="dxa" w:w="80"/>
              <w:left w:type="dxa" w:w="100"/>
              <w:bottom w:type="dxa" w:w="80"/>
              <w:right w:type="dxa" w:w="100"/>
            </w:tcMar>
            <w:vAlign w:val="center"/>
          </w:tcPr>
          <w:p>
            <w:r>
              <w:rPr>
                <w:b w:val="false"/>
                <w:bCs w:val="false"/>
                <w:sz w:val="20"/>
                <w:szCs w:val="20"/>
              </w:rPr>
              <w:t xml:space="preserve">P0 — required for MVP</w:t>
            </w:r>
          </w:p>
        </w:tc>
      </w:tr>
      <w:tr>
        <w:tc>
          <w:tcPr>
            <w:shd w:fill="DCE6F1" w:val="clear"/>
            <w:tcMar>
              <w:top w:type="dxa" w:w="80"/>
              <w:left w:type="dxa" w:w="100"/>
              <w:bottom w:type="dxa" w:w="80"/>
              <w:right w:type="dxa" w:w="100"/>
            </w:tcMar>
            <w:vAlign w:val="center"/>
          </w:tcPr>
          <w:p>
            <w:r>
              <w:rPr>
                <w:b/>
                <w:bCs/>
                <w:sz w:val="20"/>
                <w:szCs w:val="20"/>
              </w:rPr>
              <w:t xml:space="preserve">Dependencies</w:t>
            </w:r>
          </w:p>
        </w:tc>
        <w:tc>
          <w:tcPr>
            <w:tcMar>
              <w:top w:type="dxa" w:w="80"/>
              <w:left w:type="dxa" w:w="100"/>
              <w:bottom w:type="dxa" w:w="80"/>
              <w:right w:type="dxa" w:w="100"/>
            </w:tcMar>
            <w:vAlign w:val="center"/>
          </w:tcPr>
          <w:p>
            <w:r>
              <w:rPr>
                <w:b w:val="false"/>
                <w:bCs w:val="false"/>
                <w:sz w:val="20"/>
                <w:szCs w:val="20"/>
              </w:rPr>
              <w:t xml:space="preserve">NLP/sentiment service; session storage</w:t>
            </w:r>
          </w:p>
        </w:tc>
      </w:tr>
    </w:tbl>
    <w:p>
      <w:pPr>
        <w:spacing w:after="120"/>
      </w:pPr>
      <w:r>
        <w:t xml:space="preserve"/>
      </w:r>
    </w:p>
    <w:p>
      <w:pPr>
        <w:pStyle w:val="Heading3"/>
        <w:spacing w:after="100" w:before="200"/>
      </w:pPr>
      <w:r>
        <w:rPr>
          <w:b/>
          <w:bCs/>
          <w:color w:val="333333"/>
        </w:rPr>
        <w:t xml:space="preserve">User Stories</w:t>
      </w:r>
    </w:p>
    <w:p>
      <w:pPr>
        <w:pStyle w:val="ListParagraph"/>
        <w:numPr>
          <w:ilvl w:val="0"/>
          <w:numId w:val="2"/>
        </w:numPr>
        <w:spacing w:after="60"/>
      </w:pPr>
      <w:r>
        <w:t xml:space="preserve">As a first-time user, I want contextual prompts so I don’t stare at a blank page.</w:t>
      </w:r>
    </w:p>
    <w:p>
      <w:pPr>
        <w:pStyle w:val="ListParagraph"/>
        <w:numPr>
          <w:ilvl w:val="0"/>
          <w:numId w:val="2"/>
        </w:numPr>
        <w:spacing w:after="60"/>
      </w:pPr>
      <w:r>
        <w:t xml:space="preserve">As a user, I want my free text automatically parsed for entities and sentiment so the AI can act on it without me filling out a form.</w:t>
      </w:r>
    </w:p>
    <w:p>
      <w:pPr>
        <w:pStyle w:val="Heading3"/>
        <w:spacing w:after="100" w:before="200"/>
      </w:pPr>
      <w:r>
        <w:rPr>
          <w:b/>
          <w:bCs/>
          <w:color w:val="333333"/>
        </w:rPr>
        <w:t xml:space="preserve">Acceptance Criteria</w:t>
      </w:r>
    </w:p>
    <w:p>
      <w:pPr>
        <w:pStyle w:val="ListParagraph"/>
        <w:numPr>
          <w:ilvl w:val="0"/>
          <w:numId w:val="3"/>
        </w:numPr>
        <w:spacing w:after="60"/>
      </w:pPr>
      <w:r>
        <w:t xml:space="preserve">Thought Triggers refresh within 2 seconds of a typing pause ≥ 3 seconds.</w:t>
      </w:r>
    </w:p>
    <w:p>
      <w:pPr>
        <w:pStyle w:val="ListParagraph"/>
        <w:numPr>
          <w:ilvl w:val="0"/>
          <w:numId w:val="3"/>
        </w:numPr>
        <w:spacing w:after="60"/>
      </w:pPr>
      <w:r>
        <w:t xml:space="preserve">Clicking a trigger inserts placeholder text at the cursor without discarding existing content.</w:t>
      </w:r>
    </w:p>
    <w:p>
      <w:pPr>
        <w:pStyle w:val="ListParagraph"/>
        <w:numPr>
          <w:ilvl w:val="0"/>
          <w:numId w:val="3"/>
        </w:numPr>
        <w:spacing w:after="60"/>
      </w:pPr>
      <w:r>
        <w:t xml:space="preserve">Sentiment/entity extraction runs on debounce (not per keystroke) to control API cost.</w:t>
      </w:r>
    </w:p>
    <w:p>
      <w:pPr>
        <w:pStyle w:val="ListParagraph"/>
        <w:numPr>
          <w:ilvl w:val="0"/>
          <w:numId w:val="3"/>
        </w:numPr>
        <w:spacing w:after="60"/>
      </w:pPr>
      <w:r>
        <w:t xml:space="preserve">If the NLP service errors or times out, the editor remains usable and queues the text for retry — it must never block typing.</w:t>
      </w:r>
    </w:p>
    <w:p>
      <w:pPr>
        <w:pStyle w:val="Heading3"/>
        <w:spacing w:after="100" w:before="200"/>
      </w:pPr>
      <w:r>
        <w:rPr>
          <w:b/>
          <w:bCs/>
          <w:color w:val="333333"/>
        </w:rPr>
        <w:t xml:space="preserve">Illustrative Scenario</w:t>
      </w:r>
    </w:p>
    <w:p>
      <w:pPr>
        <w:spacing w:after="120"/>
      </w:pPr>
      <w:r>
        <w:rPr>
          <w:i/>
          <w:iCs/>
          <w:color w:val="444444"/>
        </w:rPr>
        <w:t xml:space="preserve">Berkay writes: “I am designing a new product, but I feel like I’ve been running in circles.” The trigger “Do you have budget or resource constraints?” appears; clicking it inserts “My budget for the software development process is…” which he completes himself.</w:t>
      </w:r>
    </w:p>
    <w:p>
      <w:pPr>
        <w:pStyle w:val="Heading2"/>
        <w:spacing w:after="150" w:before="300"/>
      </w:pPr>
      <w:r>
        <w:rPr>
          <w:b/>
          <w:bCs/>
          <w:color w:val="2E74B5"/>
        </w:rPr>
        <w:t xml:space="preserve">6.2. Contextual Commenting on Canvas</w:t>
      </w:r>
    </w:p>
    <w:p>
      <w:pPr>
        <w:spacing w:after="120"/>
      </w:pPr>
      <w:r>
        <w:t xml:space="preserve">Figma-style highlight-and-comment interaction that attaches structured context and an industry tag to a specific phrase in the free text.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val="clear"/>
            <w:tcMar>
              <w:top w:type="dxa" w:w="80"/>
              <w:left w:type="dxa" w:w="100"/>
              <w:bottom w:type="dxa" w:w="80"/>
              <w:right w:type="dxa" w:w="100"/>
            </w:tcMar>
            <w:vAlign w:val="center"/>
          </w:tcPr>
          <w:p>
            <w:r>
              <w:rPr>
                <w:b/>
                <w:bCs/>
                <w:sz w:val="20"/>
                <w:szCs w:val="20"/>
              </w:rPr>
              <w:t xml:space="preserve">Priority</w:t>
            </w:r>
          </w:p>
        </w:tc>
        <w:tc>
          <w:tcPr>
            <w:tcW w:type="dxa" w:w="7300"/>
            <w:tcMar>
              <w:top w:type="dxa" w:w="80"/>
              <w:left w:type="dxa" w:w="100"/>
              <w:bottom w:type="dxa" w:w="80"/>
              <w:right w:type="dxa" w:w="100"/>
            </w:tcMar>
            <w:vAlign w:val="center"/>
          </w:tcPr>
          <w:p>
            <w:r>
              <w:rPr>
                <w:b w:val="false"/>
                <w:bCs w:val="false"/>
                <w:sz w:val="20"/>
                <w:szCs w:val="20"/>
              </w:rPr>
              <w:t xml:space="preserve">P0 — required for MVP</w:t>
            </w:r>
          </w:p>
        </w:tc>
      </w:tr>
      <w:tr>
        <w:tc>
          <w:tcPr>
            <w:shd w:fill="DCE6F1" w:val="clear"/>
            <w:tcMar>
              <w:top w:type="dxa" w:w="80"/>
              <w:left w:type="dxa" w:w="100"/>
              <w:bottom w:type="dxa" w:w="80"/>
              <w:right w:type="dxa" w:w="100"/>
            </w:tcMar>
            <w:vAlign w:val="center"/>
          </w:tcPr>
          <w:p>
            <w:r>
              <w:rPr>
                <w:b/>
                <w:bCs/>
                <w:sz w:val="20"/>
                <w:szCs w:val="20"/>
              </w:rPr>
              <w:t xml:space="preserve">Dependencies</w:t>
            </w:r>
          </w:p>
        </w:tc>
        <w:tc>
          <w:tcPr>
            <w:tcMar>
              <w:top w:type="dxa" w:w="80"/>
              <w:left w:type="dxa" w:w="100"/>
              <w:bottom w:type="dxa" w:w="80"/>
              <w:right w:type="dxa" w:w="100"/>
            </w:tcMar>
            <w:vAlign w:val="center"/>
          </w:tcPr>
          <w:p>
            <w:r>
              <w:rPr>
                <w:b w:val="false"/>
                <w:bCs w:val="false"/>
                <w:sz w:val="20"/>
                <w:szCs w:val="20"/>
              </w:rPr>
              <w:t xml:space="preserve">Feature 6.1 (text must exist to highlight); tag taxonomy</w:t>
            </w:r>
          </w:p>
        </w:tc>
      </w:tr>
    </w:tbl>
    <w:p>
      <w:pPr>
        <w:spacing w:after="120"/>
      </w:pPr>
      <w:r>
        <w:t xml:space="preserve"/>
      </w:r>
    </w:p>
    <w:p>
      <w:pPr>
        <w:pStyle w:val="Heading3"/>
        <w:spacing w:after="100" w:before="200"/>
      </w:pPr>
      <w:r>
        <w:rPr>
          <w:b/>
          <w:bCs/>
          <w:color w:val="333333"/>
        </w:rPr>
        <w:t xml:space="preserve">User Stories</w:t>
      </w:r>
    </w:p>
    <w:p>
      <w:pPr>
        <w:pStyle w:val="ListParagraph"/>
        <w:numPr>
          <w:ilvl w:val="0"/>
          <w:numId w:val="2"/>
        </w:numPr>
        <w:spacing w:after="60"/>
      </w:pPr>
      <w:r>
        <w:t xml:space="preserve">As a user, I want to highlight a phrase and explain it further so the AI doesn’t act on a vague generalization.</w:t>
      </w:r>
    </w:p>
    <w:p>
      <w:pPr>
        <w:pStyle w:val="ListParagraph"/>
        <w:numPr>
          <w:ilvl w:val="0"/>
          <w:numId w:val="2"/>
        </w:numPr>
        <w:spacing w:after="60"/>
      </w:pPr>
      <w:r>
        <w:t xml:space="preserve">As a user, I want to tag a comment by category so recommendations are scoped to the right domain.</w:t>
      </w:r>
    </w:p>
    <w:p>
      <w:pPr>
        <w:pStyle w:val="Heading3"/>
        <w:spacing w:after="100" w:before="200"/>
      </w:pPr>
      <w:r>
        <w:rPr>
          <w:b/>
          <w:bCs/>
          <w:color w:val="333333"/>
        </w:rPr>
        <w:t xml:space="preserve">Acceptance Criteria</w:t>
      </w:r>
    </w:p>
    <w:p>
      <w:pPr>
        <w:pStyle w:val="ListParagraph"/>
        <w:numPr>
          <w:ilvl w:val="0"/>
          <w:numId w:val="3"/>
        </w:numPr>
        <w:spacing w:after="60"/>
      </w:pPr>
      <w:r>
        <w:t xml:space="preserve">Highlighting a run of text shows an “Add Comment” affordance within 300ms.</w:t>
      </w:r>
    </w:p>
    <w:p>
      <w:pPr>
        <w:pStyle w:val="ListParagraph"/>
        <w:numPr>
          <w:ilvl w:val="0"/>
          <w:numId w:val="3"/>
        </w:numPr>
        <w:spacing w:after="60"/>
      </w:pPr>
      <w:r>
        <w:t xml:space="preserve">A visible connector line links the highlighted span to its comment card at all supported zoom levels.</w:t>
      </w:r>
    </w:p>
    <w:p>
      <w:pPr>
        <w:pStyle w:val="ListParagraph"/>
        <w:numPr>
          <w:ilvl w:val="0"/>
          <w:numId w:val="3"/>
        </w:numPr>
        <w:spacing w:after="60"/>
      </w:pPr>
      <w:r>
        <w:t xml:space="preserve">Each comment supports exactly one primary tag and up to two secondary tags from a fixed taxonomy.</w:t>
      </w:r>
    </w:p>
    <w:p>
      <w:pPr>
        <w:pStyle w:val="ListParagraph"/>
        <w:numPr>
          <w:ilvl w:val="0"/>
          <w:numId w:val="3"/>
        </w:numPr>
        <w:spacing w:after="60"/>
      </w:pPr>
      <w:r>
        <w:t xml:space="preserve">Deleting the underlying text prompts the user to confirm before the linked comment is orphaned/removed.</w:t>
      </w:r>
    </w:p>
    <w:p>
      <w:pPr>
        <w:pStyle w:val="Heading3"/>
        <w:spacing w:after="100" w:before="200"/>
      </w:pPr>
      <w:r>
        <w:rPr>
          <w:b/>
          <w:bCs/>
          <w:color w:val="333333"/>
        </w:rPr>
        <w:t xml:space="preserve">Illustrative Scenario</w:t>
      </w:r>
    </w:p>
    <w:p>
      <w:pPr>
        <w:spacing w:after="120"/>
      </w:pPr>
      <w:r>
        <w:rPr>
          <w:i/>
          <w:iCs/>
          <w:color w:val="444444"/>
        </w:rPr>
        <w:t xml:space="preserve">Berkay highlights “extremely tight budget” and writes: “I have $1000 total — should I spend it on ads or a no-code developer?” He tags it [Finance/Roadmap]. The AI now reasons over the specific $1000 constraint rather than a generic “tight budget” variable.</w:t>
      </w:r>
    </w:p>
    <w:p>
      <w:pPr>
        <w:pStyle w:val="Heading2"/>
        <w:spacing w:after="150" w:before="300"/>
      </w:pPr>
      <w:r>
        <w:rPr>
          <w:b/>
          <w:bCs/>
          <w:color w:val="2E74B5"/>
        </w:rPr>
        <w:t xml:space="preserve">6.3. Interactive Live Canvas (Node-Based)</w:t>
      </w:r>
    </w:p>
    <w:p>
      <w:pPr>
        <w:spacing w:after="120"/>
      </w:pPr>
      <w:r>
        <w:t xml:space="preserve">FigJam-style canvas rendering the AI’s recommendation chain as nodes and edges, with bidirectional editing: users can comment on any AI node to trigger a real-time alternative branch.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val="clear"/>
            <w:tcMar>
              <w:top w:type="dxa" w:w="80"/>
              <w:left w:type="dxa" w:w="100"/>
              <w:bottom w:type="dxa" w:w="80"/>
              <w:right w:type="dxa" w:w="100"/>
            </w:tcMar>
            <w:vAlign w:val="center"/>
          </w:tcPr>
          <w:p>
            <w:r>
              <w:rPr>
                <w:b/>
                <w:bCs/>
                <w:sz w:val="20"/>
                <w:szCs w:val="20"/>
              </w:rPr>
              <w:t xml:space="preserve">Priority</w:t>
            </w:r>
          </w:p>
        </w:tc>
        <w:tc>
          <w:tcPr>
            <w:tcW w:type="dxa" w:w="7300"/>
            <w:tcMar>
              <w:top w:type="dxa" w:w="80"/>
              <w:left w:type="dxa" w:w="100"/>
              <w:bottom w:type="dxa" w:w="80"/>
              <w:right w:type="dxa" w:w="100"/>
            </w:tcMar>
            <w:vAlign w:val="center"/>
          </w:tcPr>
          <w:p>
            <w:r>
              <w:rPr>
                <w:b w:val="false"/>
                <w:bCs w:val="false"/>
                <w:sz w:val="20"/>
                <w:szCs w:val="20"/>
              </w:rPr>
              <w:t xml:space="preserve">P0 — required for MVP</w:t>
            </w:r>
          </w:p>
        </w:tc>
      </w:tr>
      <w:tr>
        <w:tc>
          <w:tcPr>
            <w:shd w:fill="DCE6F1" w:val="clear"/>
            <w:tcMar>
              <w:top w:type="dxa" w:w="80"/>
              <w:left w:type="dxa" w:w="100"/>
              <w:bottom w:type="dxa" w:w="80"/>
              <w:right w:type="dxa" w:w="100"/>
            </w:tcMar>
            <w:vAlign w:val="center"/>
          </w:tcPr>
          <w:p>
            <w:r>
              <w:rPr>
                <w:b/>
                <w:bCs/>
                <w:sz w:val="20"/>
                <w:szCs w:val="20"/>
              </w:rPr>
              <w:t xml:space="preserve">Dependencies</w:t>
            </w:r>
          </w:p>
        </w:tc>
        <w:tc>
          <w:tcPr>
            <w:tcMar>
              <w:top w:type="dxa" w:w="80"/>
              <w:left w:type="dxa" w:w="100"/>
              <w:bottom w:type="dxa" w:w="80"/>
              <w:right w:type="dxa" w:w="100"/>
            </w:tcMar>
            <w:vAlign w:val="center"/>
          </w:tcPr>
          <w:p>
            <w:r>
              <w:rPr>
                <w:b w:val="false"/>
                <w:bCs w:val="false"/>
                <w:sz w:val="20"/>
                <w:szCs w:val="20"/>
              </w:rPr>
              <w:t xml:space="preserve">Recommendation engine (6.6 / Section 7.2); Features 6.1 and 6.2 for input context</w:t>
            </w:r>
          </w:p>
        </w:tc>
      </w:tr>
    </w:tbl>
    <w:p>
      <w:pPr>
        <w:spacing w:after="120"/>
      </w:pPr>
      <w:r>
        <w:t xml:space="preserve"/>
      </w:r>
    </w:p>
    <w:p>
      <w:pPr>
        <w:pStyle w:val="Heading3"/>
        <w:spacing w:after="100" w:before="200"/>
      </w:pPr>
      <w:r>
        <w:rPr>
          <w:b/>
          <w:bCs/>
          <w:color w:val="333333"/>
        </w:rPr>
        <w:t xml:space="preserve">User Stories</w:t>
      </w:r>
    </w:p>
    <w:p>
      <w:pPr>
        <w:pStyle w:val="ListParagraph"/>
        <w:numPr>
          <w:ilvl w:val="0"/>
          <w:numId w:val="2"/>
        </w:numPr>
        <w:spacing w:after="60"/>
      </w:pPr>
      <w:r>
        <w:t xml:space="preserve">As a user, I want to tell the AI a suggestion doesn’t work for me and get an alternative immediately, instead of restarting.</w:t>
      </w:r>
    </w:p>
    <w:p>
      <w:pPr>
        <w:pStyle w:val="ListParagraph"/>
        <w:numPr>
          <w:ilvl w:val="0"/>
          <w:numId w:val="2"/>
        </w:numPr>
        <w:spacing w:after="60"/>
      </w:pPr>
      <w:r>
        <w:t xml:space="preserve">As a user, I want to pan, zoom, and rearrange nodes without lag so the canvas feels like a real design tool.</w:t>
      </w:r>
    </w:p>
    <w:p>
      <w:pPr>
        <w:pStyle w:val="Heading3"/>
        <w:spacing w:after="100" w:before="200"/>
      </w:pPr>
      <w:r>
        <w:rPr>
          <w:b/>
          <w:bCs/>
          <w:color w:val="333333"/>
        </w:rPr>
        <w:t xml:space="preserve">Acceptance Criteria</w:t>
      </w:r>
    </w:p>
    <w:p>
      <w:pPr>
        <w:pStyle w:val="ListParagraph"/>
        <w:numPr>
          <w:ilvl w:val="0"/>
          <w:numId w:val="3"/>
        </w:numPr>
        <w:spacing w:after="60"/>
      </w:pPr>
      <w:r>
        <w:t xml:space="preserve">Canvas sustains 60fps pan/zoom with up to 50 nodes on a mid-tier laptop (defined in NFR-2).</w:t>
      </w:r>
    </w:p>
    <w:p>
      <w:pPr>
        <w:pStyle w:val="ListParagraph"/>
        <w:numPr>
          <w:ilvl w:val="0"/>
          <w:numId w:val="3"/>
        </w:numPr>
        <w:spacing w:after="60"/>
      </w:pPr>
      <w:r>
        <w:t xml:space="preserve">Double-clicking a node opens a comment input within 150ms.</w:t>
      </w:r>
    </w:p>
    <w:p>
      <w:pPr>
        <w:pStyle w:val="ListParagraph"/>
        <w:numPr>
          <w:ilvl w:val="0"/>
          <w:numId w:val="3"/>
        </w:numPr>
        <w:spacing w:after="60"/>
      </w:pPr>
      <w:r>
        <w:t xml:space="preserve">Submitting a node comment returns either a new fallback node or a clarifying question within 8 seconds (p95); a loading state is shown throughout.</w:t>
      </w:r>
    </w:p>
    <w:p>
      <w:pPr>
        <w:pStyle w:val="ListParagraph"/>
        <w:numPr>
          <w:ilvl w:val="0"/>
          <w:numId w:val="3"/>
        </w:numPr>
        <w:spacing w:after="60"/>
      </w:pPr>
      <w:r>
        <w:t xml:space="preserve">Every fallback node retains a visible edge to the node that triggered it, so the user can trace reasoning.</w:t>
      </w:r>
    </w:p>
    <w:p>
      <w:pPr>
        <w:pStyle w:val="ListParagraph"/>
        <w:numPr>
          <w:ilvl w:val="0"/>
          <w:numId w:val="3"/>
        </w:numPr>
        <w:spacing w:after="60"/>
      </w:pPr>
      <w:r>
        <w:t xml:space="preserve">A maximum branch depth (configurable, default 4) prevents runaway node trees; beyond that the AI must ask a clarifying question instead of branching further.</w:t>
      </w:r>
    </w:p>
    <w:p>
      <w:pPr>
        <w:pStyle w:val="Heading3"/>
        <w:spacing w:after="100" w:before="200"/>
      </w:pPr>
      <w:r>
        <w:rPr>
          <w:b/>
          <w:bCs/>
          <w:color w:val="333333"/>
        </w:rPr>
        <w:t xml:space="preserve">Illustrative Scenario</w:t>
      </w:r>
    </w:p>
    <w:p>
      <w:pPr>
        <w:spacing w:after="120"/>
      </w:pPr>
      <w:r>
        <w:rPr>
          <w:i/>
          <w:iCs/>
          <w:color w:val="444444"/>
        </w:rPr>
        <w:t xml:space="preserve">The AI suggests “Use Framer for MVP prototyping.” Berkay comments: “I tried Framer before — too complex, no time to learn it.” The AI adds a new node: “Alternative: Tilda or Ycode (1-day learning curve).”</w:t>
      </w:r>
    </w:p>
    <w:p>
      <w:pPr>
        <w:spacing w:after="120"/>
      </w:pPr>
      <w:r>
        <w:rPr>
          <w:b/>
          <w:bCs/>
          <w:color w:val="C00000"/>
          <w:sz w:val="20"/>
          <w:szCs w:val="20"/>
        </w:rPr>
        <w:t xml:space="preserve">Change from v1.0: Added an explicit branch-depth cap and a defined p95 latency target — the original brief said “instant” and “in seconds,” which is not testable as written.</w:t>
      </w:r>
    </w:p>
    <w:p>
      <w:pPr>
        <w:pStyle w:val="Heading2"/>
        <w:spacing w:after="150" w:before="300"/>
      </w:pPr>
      <w:r>
        <w:rPr>
          <w:b/>
          <w:bCs/>
          <w:color w:val="2E74B5"/>
        </w:rPr>
        <w:t xml:space="preserve">6.4. Data-Driven Verification Dashboard</w:t>
      </w:r>
    </w:p>
    <w:p>
      <w:pPr>
        <w:spacing w:after="120"/>
      </w:pPr>
      <w:r>
        <w:t xml:space="preserve">Final screen presenting each recommendation’s match score and supporting outcome data so the user can trust the prescription before acting on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val="clear"/>
            <w:tcMar>
              <w:top w:type="dxa" w:w="80"/>
              <w:left w:type="dxa" w:w="100"/>
              <w:bottom w:type="dxa" w:w="80"/>
              <w:right w:type="dxa" w:w="100"/>
            </w:tcMar>
            <w:vAlign w:val="center"/>
          </w:tcPr>
          <w:p>
            <w:r>
              <w:rPr>
                <w:b/>
                <w:bCs/>
                <w:sz w:val="20"/>
                <w:szCs w:val="20"/>
              </w:rPr>
              <w:t xml:space="preserve">Priority</w:t>
            </w:r>
          </w:p>
        </w:tc>
        <w:tc>
          <w:tcPr>
            <w:tcW w:type="dxa" w:w="7300"/>
            <w:tcMar>
              <w:top w:type="dxa" w:w="80"/>
              <w:left w:type="dxa" w:w="100"/>
              <w:bottom w:type="dxa" w:w="80"/>
              <w:right w:type="dxa" w:w="100"/>
            </w:tcMar>
            <w:vAlign w:val="center"/>
          </w:tcPr>
          <w:p>
            <w:r>
              <w:rPr>
                <w:b w:val="false"/>
                <w:bCs w:val="false"/>
                <w:sz w:val="20"/>
                <w:szCs w:val="20"/>
              </w:rPr>
              <w:t xml:space="preserve">P0 — required for MVP</w:t>
            </w:r>
          </w:p>
        </w:tc>
      </w:tr>
      <w:tr>
        <w:tc>
          <w:tcPr>
            <w:shd w:fill="DCE6F1" w:val="clear"/>
            <w:tcMar>
              <w:top w:type="dxa" w:w="80"/>
              <w:left w:type="dxa" w:w="100"/>
              <w:bottom w:type="dxa" w:w="80"/>
              <w:right w:type="dxa" w:w="100"/>
            </w:tcMar>
            <w:vAlign w:val="center"/>
          </w:tcPr>
          <w:p>
            <w:r>
              <w:rPr>
                <w:b/>
                <w:bCs/>
                <w:sz w:val="20"/>
                <w:szCs w:val="20"/>
              </w:rPr>
              <w:t xml:space="preserve">Dependencies</w:t>
            </w:r>
          </w:p>
        </w:tc>
        <w:tc>
          <w:tcPr>
            <w:tcMar>
              <w:top w:type="dxa" w:w="80"/>
              <w:left w:type="dxa" w:w="100"/>
              <w:bottom w:type="dxa" w:w="80"/>
              <w:right w:type="dxa" w:w="100"/>
            </w:tcMar>
            <w:vAlign w:val="center"/>
          </w:tcPr>
          <w:p>
            <w:r>
              <w:rPr>
                <w:b w:val="false"/>
                <w:bCs w:val="false"/>
                <w:sz w:val="20"/>
                <w:szCs w:val="20"/>
              </w:rPr>
              <w:t xml:space="preserve">Outcome-metrics data store (Section 7); Feature 6.3 output</w:t>
            </w:r>
          </w:p>
        </w:tc>
      </w:tr>
    </w:tbl>
    <w:p>
      <w:pPr>
        <w:spacing w:after="120"/>
      </w:pPr>
      <w:r>
        <w:t xml:space="preserve"/>
      </w:r>
    </w:p>
    <w:p>
      <w:pPr>
        <w:pStyle w:val="Heading3"/>
        <w:spacing w:after="100" w:before="200"/>
      </w:pPr>
      <w:r>
        <w:rPr>
          <w:b/>
          <w:bCs/>
          <w:color w:val="333333"/>
        </w:rPr>
        <w:t xml:space="preserve">User Stories</w:t>
      </w:r>
    </w:p>
    <w:p>
      <w:pPr>
        <w:pStyle w:val="ListParagraph"/>
        <w:numPr>
          <w:ilvl w:val="0"/>
          <w:numId w:val="2"/>
        </w:numPr>
        <w:spacing w:after="60"/>
      </w:pPr>
      <w:r>
        <w:t xml:space="preserve">As a user, I want to see why a tool was recommended, not just that it was.</w:t>
      </w:r>
    </w:p>
    <w:p>
      <w:pPr>
        <w:pStyle w:val="ListParagraph"/>
        <w:numPr>
          <w:ilvl w:val="0"/>
          <w:numId w:val="2"/>
        </w:numPr>
        <w:spacing w:after="60"/>
      </w:pPr>
      <w:r>
        <w:t xml:space="preserve">As a user, I want to know if a recommendation is sponsored so I can weigh it accordingly.</w:t>
      </w:r>
    </w:p>
    <w:p>
      <w:pPr>
        <w:pStyle w:val="Heading3"/>
        <w:spacing w:after="100" w:before="200"/>
      </w:pPr>
      <w:r>
        <w:rPr>
          <w:b/>
          <w:bCs/>
          <w:color w:val="333333"/>
        </w:rPr>
        <w:t xml:space="preserve">Acceptance Criteria</w:t>
      </w:r>
    </w:p>
    <w:p>
      <w:pPr>
        <w:pStyle w:val="ListParagraph"/>
        <w:numPr>
          <w:ilvl w:val="0"/>
          <w:numId w:val="3"/>
        </w:numPr>
        <w:spacing w:after="60"/>
      </w:pPr>
      <w:r>
        <w:t xml:space="preserve">Every recommendation card shows: Match Score (%), a peer-outcome chart, Active Retention Rate, and a Transparency Badge (Organic/Sponsored).</w:t>
      </w:r>
    </w:p>
    <w:p>
      <w:pPr>
        <w:pStyle w:val="ListParagraph"/>
        <w:numPr>
          <w:ilvl w:val="0"/>
          <w:numId w:val="3"/>
        </w:numPr>
        <w:spacing w:after="60"/>
      </w:pPr>
      <w:r>
        <w:t xml:space="preserve">Match Score displays its top contributing factors on hover/tap (e.g., “budget fit +12, timeline fit +9”) — not a black-box number.</w:t>
      </w:r>
    </w:p>
    <w:p>
      <w:pPr>
        <w:pStyle w:val="ListParagraph"/>
        <w:numPr>
          <w:ilvl w:val="0"/>
          <w:numId w:val="3"/>
        </w:numPr>
        <w:spacing w:after="60"/>
      </w:pPr>
      <w:r>
        <w:t xml:space="preserve">Peer-outcome charts state the cohort size and definition (e.g., “n=412 teams, 1–10 people, last 12 months”) directly on the chart.</w:t>
      </w:r>
    </w:p>
    <w:p>
      <w:pPr>
        <w:pStyle w:val="ListParagraph"/>
        <w:numPr>
          <w:ilvl w:val="0"/>
          <w:numId w:val="3"/>
        </w:numPr>
        <w:spacing w:after="60"/>
      </w:pPr>
      <w:r>
        <w:t xml:space="preserve">Sponsored recommendations are visually distinguished (not just labeled) and cannot outrank an organic result with a materially higher match score.</w:t>
      </w:r>
    </w:p>
    <w:p>
      <w:pPr>
        <w:pStyle w:val="ListParagraph"/>
        <w:numPr>
          <w:ilvl w:val="0"/>
          <w:numId w:val="3"/>
        </w:numPr>
        <w:spacing w:after="60"/>
      </w:pPr>
      <w:r>
        <w:t xml:space="preserve">Exit poll (“Does this prescription make you feel ready to take action?”) is shown exactly once per completed session.</w:t>
      </w:r>
    </w:p>
    <w:p>
      <w:pPr>
        <w:pStyle w:val="Heading3"/>
        <w:spacing w:after="100" w:before="200"/>
      </w:pPr>
      <w:r>
        <w:rPr>
          <w:b/>
          <w:bCs/>
          <w:color w:val="333333"/>
        </w:rPr>
        <w:t xml:space="preserve">Illustrative Scenario</w:t>
      </w:r>
    </w:p>
    <w:p>
      <w:pPr>
        <w:spacing w:after="120"/>
      </w:pPr>
      <w:r>
        <w:rPr>
          <w:i/>
          <w:iCs/>
          <w:color w:val="444444"/>
        </w:rPr>
        <w:t xml:space="preserve">Berkay’s blueprint recommends “Linear + Figma Integration,” showing “+38% productivity across 412 similar teams,” “88% 6-month retention,” and “94% integration stability,” each traceable to its cohort definition.</w:t>
      </w:r>
    </w:p>
    <w:p>
      <w:pPr>
        <w:spacing w:after="120"/>
      </w:pPr>
      <w:r>
        <w:rPr>
          <w:b/>
          <w:bCs/>
          <w:color w:val="C00000"/>
          <w:sz w:val="20"/>
          <w:szCs w:val="20"/>
        </w:rPr>
        <w:t xml:space="preserve">Change from v1.0: Added the anti-pay-to-rank rule and cohort-disclosure requirement — the original brief specified a transparency badge but not what stops sponsorship from silently overriding merit.</w:t>
      </w:r>
    </w:p>
    <w:p>
      <w:pPr>
        <w:pStyle w:val="Heading2"/>
        <w:spacing w:after="150" w:before="300"/>
      </w:pPr>
      <w:r>
        <w:rPr>
          <w:b/>
          <w:bCs/>
          <w:color w:val="2E74B5"/>
        </w:rPr>
        <w:t xml:space="preserve">6.5. Recommendation Rationale &amp; Sponsorship Governance (New)</w:t>
      </w:r>
    </w:p>
    <w:p>
      <w:pPr>
        <w:spacing w:after="120"/>
      </w:pPr>
      <w:r>
        <w:t xml:space="preserve">Not present in v1.0. Added because Feature 6.4’s “Transparency Badge” only labels sponsorship after the fact; it does not govern how sponsored and organic results are ranked against each other, which is a trust and, in some jurisdictions, a disclosure-law risk.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val="clear"/>
            <w:tcMar>
              <w:top w:type="dxa" w:w="80"/>
              <w:left w:type="dxa" w:w="100"/>
              <w:bottom w:type="dxa" w:w="80"/>
              <w:right w:type="dxa" w:w="100"/>
            </w:tcMar>
            <w:vAlign w:val="center"/>
          </w:tcPr>
          <w:p>
            <w:r>
              <w:rPr>
                <w:b/>
                <w:bCs/>
                <w:sz w:val="20"/>
                <w:szCs w:val="20"/>
              </w:rPr>
              <w:t xml:space="preserve">Priority</w:t>
            </w:r>
          </w:p>
        </w:tc>
        <w:tc>
          <w:tcPr>
            <w:tcW w:type="dxa" w:w="7300"/>
            <w:tcMar>
              <w:top w:type="dxa" w:w="80"/>
              <w:left w:type="dxa" w:w="100"/>
              <w:bottom w:type="dxa" w:w="80"/>
              <w:right w:type="dxa" w:w="100"/>
            </w:tcMar>
            <w:vAlign w:val="center"/>
          </w:tcPr>
          <w:p>
            <w:r>
              <w:rPr>
                <w:b w:val="false"/>
                <w:bCs w:val="false"/>
                <w:sz w:val="20"/>
                <w:szCs w:val="20"/>
              </w:rPr>
              <w:t xml:space="preserve">P1 — required before any monetized/sponsored listing ships</w:t>
            </w:r>
          </w:p>
        </w:tc>
      </w:tr>
      <w:tr>
        <w:tc>
          <w:tcPr>
            <w:shd w:fill="DCE6F1" w:val="clear"/>
            <w:tcMar>
              <w:top w:type="dxa" w:w="80"/>
              <w:left w:type="dxa" w:w="100"/>
              <w:bottom w:type="dxa" w:w="80"/>
              <w:right w:type="dxa" w:w="100"/>
            </w:tcMar>
            <w:vAlign w:val="center"/>
          </w:tcPr>
          <w:p>
            <w:r>
              <w:rPr>
                <w:b/>
                <w:bCs/>
                <w:sz w:val="20"/>
                <w:szCs w:val="20"/>
              </w:rPr>
              <w:t xml:space="preserve">Dependencies</w:t>
            </w:r>
          </w:p>
        </w:tc>
        <w:tc>
          <w:tcPr>
            <w:tcMar>
              <w:top w:type="dxa" w:w="80"/>
              <w:left w:type="dxa" w:w="100"/>
              <w:bottom w:type="dxa" w:w="80"/>
              <w:right w:type="dxa" w:w="100"/>
            </w:tcMar>
            <w:vAlign w:val="center"/>
          </w:tcPr>
          <w:p>
            <w:r>
              <w:rPr>
                <w:b w:val="false"/>
                <w:bCs w:val="false"/>
                <w:sz w:val="20"/>
                <w:szCs w:val="20"/>
              </w:rPr>
              <w:t xml:space="preserve">Feature 6.4; Legal review of applicable ad-disclosure regulations</w:t>
            </w:r>
          </w:p>
        </w:tc>
      </w:tr>
    </w:tbl>
    <w:p>
      <w:pPr>
        <w:spacing w:after="120"/>
      </w:pPr>
      <w:r>
        <w:t xml:space="preserve"/>
      </w:r>
    </w:p>
    <w:p>
      <w:pPr>
        <w:pStyle w:val="Heading3"/>
        <w:spacing w:after="100" w:before="200"/>
      </w:pPr>
      <w:r>
        <w:rPr>
          <w:b/>
          <w:bCs/>
          <w:color w:val="333333"/>
        </w:rPr>
        <w:t xml:space="preserve">Acceptance Criteria</w:t>
      </w:r>
    </w:p>
    <w:p>
      <w:pPr>
        <w:pStyle w:val="ListParagraph"/>
        <w:numPr>
          <w:ilvl w:val="0"/>
          <w:numId w:val="3"/>
        </w:numPr>
        <w:spacing w:after="60"/>
      </w:pPr>
      <w:r>
        <w:t xml:space="preserve">A documented, versioned ranking policy exists and is referenced (not just a UI label) whenever a sponsored item appears above an organic one.</w:t>
      </w:r>
    </w:p>
    <w:p>
      <w:pPr>
        <w:pStyle w:val="ListParagraph"/>
        <w:numPr>
          <w:ilvl w:val="0"/>
          <w:numId w:val="3"/>
        </w:numPr>
        <w:spacing w:after="60"/>
      </w:pPr>
      <w:r>
        <w:t xml:space="preserve">Sponsorship never changes the displayed Match Score — it may only affect position within a tied or near-tied score band, defined by product + legal.</w:t>
      </w:r>
    </w:p>
    <w:p>
      <w:pPr>
        <w:pStyle w:val="ListParagraph"/>
        <w:numPr>
          <w:ilvl w:val="0"/>
          <w:numId w:val="3"/>
        </w:numPr>
        <w:spacing w:after="60"/>
      </w:pPr>
      <w:r>
        <w:t xml:space="preserve">Users can filter the canvas/dashboard to “Organic only.”</w:t>
      </w:r>
    </w:p>
    <w:p>
      <w:r>
        <w:br w:type="page"/>
      </w:r>
    </w:p>
    <w:p>
      <w:pPr>
        <w:pStyle w:val="Heading1"/>
        <w:spacing w:after="200" w:before="400"/>
      </w:pPr>
      <w:r>
        <w:rPr>
          <w:b/>
          <w:bCs/>
          <w:color w:val="1F3864"/>
        </w:rPr>
        <w:t xml:space="preserve">7. Technical Requirements &amp; Data Architecture</w:t>
      </w:r>
    </w:p>
    <w:p>
      <w:pPr>
        <w:pStyle w:val="Heading2"/>
        <w:spacing w:after="150" w:before="300"/>
      </w:pPr>
      <w:r>
        <w:rPr>
          <w:b/>
          <w:bCs/>
          <w:color w:val="2E74B5"/>
        </w:rPr>
        <w:t xml:space="preserve">7.1 Ingestion &amp; NLP Pipeline</w:t>
      </w:r>
    </w:p>
    <w:p>
      <w:pPr>
        <w:spacing w:after="120"/>
      </w:pPr>
      <w:r>
        <w:t xml:space="preserve">Retained from v1.0: free-text and comment input is sent to an NLP service for Named Entity Recognition and sentiment analysis; highlighted spans and their comments are merged into a single JSON context object per session.</w:t>
      </w:r>
    </w:p>
    <w:p>
      <w:pPr>
        <w:spacing w:after="200"/>
      </w:pPr>
      <w:r>
        <w:rPr>
          <w:rFonts w:ascii="Courier New" w:cs="Courier New" w:eastAsia="Courier New" w:hAnsi="Courier New"/>
          <w:sz w:val="18"/>
          <w:szCs w:val="18"/>
        </w:rPr>
        <w:t xml:space="preserve">{
  "session_id": "usr_90821",
  "nodes": [
    {
      "id": "node_1",
      "text_segment": "tight budget",
      "category": "Finance",
      "user_comment": "I have a $1000 budget, how should I split it?",
      "ai_response_status": "recalibrated"
    }
  ]
}</w:t>
      </w:r>
    </w:p>
    <w:p>
      <w:pPr>
        <w:pStyle w:val="Heading3"/>
        <w:spacing w:after="100" w:before="200"/>
      </w:pPr>
      <w:r>
        <w:rPr>
          <w:b/>
          <w:bCs/>
          <w:color w:val="333333"/>
        </w:rPr>
        <w:t xml:space="preserve">Revision: PII handling</w:t>
      </w:r>
    </w:p>
    <w:p>
      <w:pPr>
        <w:spacing w:after="120"/>
      </w:pPr>
      <w:r>
        <w:rPr>
          <w:color w:val="C00000"/>
        </w:rPr>
        <w:t xml:space="preserve">Venting text is likely to contain sensitive business and sometimes personal financial information (as in the $1000-budget example). This revision requires: (a) the raw free-text payload is encrypted at rest and in transit, (b) it is excluded from any model fine-tuning or training pipeline unless the user opts in, and (c) users can delete a session and its derived context object entirely.</w:t>
      </w:r>
    </w:p>
    <w:p>
      <w:pPr>
        <w:pStyle w:val="Heading2"/>
        <w:spacing w:after="150" w:before="300"/>
      </w:pPr>
      <w:r>
        <w:rPr>
          <w:b/>
          <w:bCs/>
          <w:color w:val="2E74B5"/>
        </w:rPr>
        <w:t xml:space="preserve">7.2 Recommendation Engine</w:t>
      </w:r>
    </w:p>
    <w:p>
      <w:pPr>
        <w:spacing w:after="120"/>
      </w:pPr>
      <w:r>
        <w:t xml:space="preserve">Retained: a continuously updated vector database (e.g., Pinecone/Milvus) of tool documentation, pricing, and learning-curve data, plus verified expert portfolios, powers recommendation retrieval.</w:t>
      </w:r>
    </w:p>
    <w:p>
      <w:pPr>
        <w:pStyle w:val="Heading3"/>
        <w:spacing w:after="100" w:before="200"/>
      </w:pPr>
      <w:r>
        <w:rPr>
          <w:b/>
          <w:bCs/>
          <w:color w:val="333333"/>
        </w:rPr>
        <w:t xml:space="preserve">Revision: sourcing of “verified expert portfolios”</w:t>
      </w:r>
    </w:p>
    <w:p>
      <w:pPr>
        <w:spacing w:after="120"/>
      </w:pPr>
      <w:r>
        <w:rPr>
          <w:color w:val="C00000"/>
        </w:rPr>
        <w:t xml:space="preserve">v1.0 specified sourcing lookalike-project and expert data via “the LinkedIn API or custom scraping services.” Unauthorized scraping of LinkedIn (or most social/professional networks) typically violates their Terms of Service and carries legal and platform-ban risk, independent of technical feasibility. This revision replaces that approach:</w:t>
      </w:r>
    </w:p>
    <w:p>
      <w:pPr>
        <w:pStyle w:val="ListParagraph"/>
        <w:numPr>
          <w:ilvl w:val="0"/>
          <w:numId w:val="2"/>
        </w:numPr>
        <w:spacing w:after="60"/>
      </w:pPr>
      <w:r>
        <w:t xml:space="preserve">Use LinkedIn’s official partner APIs under a signed agreement, or</w:t>
      </w:r>
    </w:p>
    <w:p>
      <w:pPr>
        <w:pStyle w:val="ListParagraph"/>
        <w:numPr>
          <w:ilvl w:val="0"/>
          <w:numId w:val="2"/>
        </w:numPr>
        <w:spacing w:after="60"/>
      </w:pPr>
      <w:r>
        <w:t xml:space="preserve">Source expert/portfolio data via explicit opt-in from the experts themselves (a claimable profile flow), or</w:t>
      </w:r>
    </w:p>
    <w:p>
      <w:pPr>
        <w:pStyle w:val="ListParagraph"/>
        <w:numPr>
          <w:ilvl w:val="0"/>
          <w:numId w:val="2"/>
        </w:numPr>
        <w:spacing w:after="60"/>
      </w:pPr>
      <w:r>
        <w:t xml:space="preserve">Use licensed third-party data providers that warrant lawful sourcing.</w:t>
      </w:r>
    </w:p>
    <w:p>
      <w:pPr>
        <w:spacing w:after="120"/>
      </w:pPr>
      <w:r>
        <w:rPr>
          <w:color w:val="C00000"/>
        </w:rPr>
        <w:t xml:space="preserve">“Custom scraping services” is removed as an approved data-sourcing method pending legal review; see Risk R-3 in Section 9.</w:t>
      </w:r>
    </w:p>
    <w:p>
      <w:pPr>
        <w:pStyle w:val="Heading2"/>
        <w:spacing w:after="150" w:before="300"/>
      </w:pPr>
      <w:r>
        <w:rPr>
          <w:b/>
          <w:bCs/>
          <w:color w:val="2E74B5"/>
        </w:rPr>
        <w:t xml:space="preserve">7.3 System Architecture Overview</w:t>
      </w:r>
    </w:p>
    <w:p>
      <w:pPr>
        <w:pStyle w:val="ListParagraph"/>
        <w:numPr>
          <w:ilvl w:val="0"/>
          <w:numId w:val="2"/>
        </w:numPr>
        <w:spacing w:after="60"/>
      </w:pPr>
      <w:r>
        <w:t xml:space="preserve">Client: canvas rendering layer (WebGL/Canvas2D) + editor; communicates over WebSocket for low-latency node updates.</w:t>
      </w:r>
    </w:p>
    <w:p>
      <w:pPr>
        <w:pStyle w:val="ListParagraph"/>
        <w:numPr>
          <w:ilvl w:val="0"/>
          <w:numId w:val="2"/>
        </w:numPr>
        <w:spacing w:after="60"/>
      </w:pPr>
      <w:r>
        <w:t xml:space="preserve">API layer: session service, comment/context service, recommendation service, metrics service.</w:t>
      </w:r>
    </w:p>
    <w:p>
      <w:pPr>
        <w:pStyle w:val="ListParagraph"/>
        <w:numPr>
          <w:ilvl w:val="0"/>
          <w:numId w:val="2"/>
        </w:numPr>
        <w:spacing w:after="60"/>
      </w:pPr>
      <w:r>
        <w:t xml:space="preserve">AI layer: NLP pipeline (sentiment/NER) → context merger → LLM reasoning/branching → vector DB retrieval.</w:t>
      </w:r>
    </w:p>
    <w:p>
      <w:pPr>
        <w:pStyle w:val="ListParagraph"/>
        <w:numPr>
          <w:ilvl w:val="0"/>
          <w:numId w:val="2"/>
        </w:numPr>
        <w:spacing w:after="60"/>
      </w:pPr>
      <w:r>
        <w:t xml:space="preserve">Data layer: session store (encrypted), vector DB, outcome-metrics warehouse (for Match Score and cohort charts).</w:t>
      </w:r>
    </w:p>
    <w:p>
      <w:pPr>
        <w:pStyle w:val="Heading1"/>
        <w:spacing w:after="200" w:before="400"/>
      </w:pPr>
      <w:r>
        <w:rPr>
          <w:b/>
          <w:bCs/>
          <w:color w:val="1F3864"/>
        </w:rPr>
        <w:t xml:space="preserve">8. Non-Functional Requirements</w:t>
      </w:r>
    </w:p>
    <w:p>
      <w:pPr>
        <w:spacing w:after="120"/>
      </w:pPr>
      <w:r>
        <w:t xml:space="preserve">Not present in v1.0. Added so the product is buildable and testable beyond the four feature descriptions.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900"/>
      </w:tblGrid>
      <w:tr>
        <w:tc>
          <w:tcPr>
            <w:tcW w:type="dxa" w:w="1600"/>
            <w:shd w:fill="1F3864" w:val="clear"/>
            <w:tcMar>
              <w:top w:type="dxa" w:w="80"/>
              <w:left w:type="dxa" w:w="100"/>
              <w:bottom w:type="dxa" w:w="80"/>
              <w:right w:type="dxa" w:w="100"/>
            </w:tcMar>
            <w:vAlign w:val="center"/>
          </w:tcPr>
          <w:p>
            <w:r>
              <w:rPr>
                <w:b/>
                <w:bCs/>
                <w:color w:val="FFFFFF"/>
                <w:sz w:val="20"/>
                <w:szCs w:val="20"/>
              </w:rPr>
              <w:t xml:space="preserve">ID</w:t>
            </w:r>
          </w:p>
        </w:tc>
        <w:tc>
          <w:tcPr>
            <w:tcW w:type="dxa" w:w="30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4900"/>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Mar>
              <w:top w:type="dxa" w:w="80"/>
              <w:left w:type="dxa" w:w="100"/>
              <w:bottom w:type="dxa" w:w="80"/>
              <w:right w:type="dxa" w:w="100"/>
            </w:tcMar>
            <w:vAlign w:val="center"/>
          </w:tcPr>
          <w:p>
            <w:r>
              <w:rPr>
                <w:b w:val="false"/>
                <w:bCs w:val="false"/>
                <w:sz w:val="20"/>
                <w:szCs w:val="20"/>
              </w:rPr>
              <w:t xml:space="preserve">NFR-1</w:t>
            </w:r>
          </w:p>
        </w:tc>
        <w:tc>
          <w:tcPr>
            <w:tcMar>
              <w:top w:type="dxa" w:w="80"/>
              <w:left w:type="dxa" w:w="100"/>
              <w:bottom w:type="dxa" w:w="80"/>
              <w:right w:type="dxa" w:w="100"/>
            </w:tcMar>
            <w:vAlign w:val="center"/>
          </w:tcPr>
          <w:p>
            <w:r>
              <w:rPr>
                <w:b w:val="false"/>
                <w:bCs w:val="false"/>
                <w:sz w:val="20"/>
                <w:szCs w:val="20"/>
              </w:rPr>
              <w:t xml:space="preserve">Performance</w:t>
            </w:r>
          </w:p>
        </w:tc>
        <w:tc>
          <w:tcPr>
            <w:tcMar>
              <w:top w:type="dxa" w:w="80"/>
              <w:left w:type="dxa" w:w="100"/>
              <w:bottom w:type="dxa" w:w="80"/>
              <w:right w:type="dxa" w:w="100"/>
            </w:tcMar>
            <w:vAlign w:val="center"/>
          </w:tcPr>
          <w:p>
            <w:r>
              <w:rPr>
                <w:b w:val="false"/>
                <w:bCs w:val="false"/>
                <w:sz w:val="20"/>
                <w:szCs w:val="20"/>
              </w:rPr>
              <w:t xml:space="preserve">Node comment → AI response round trip: p95 ≤ 8s, p99 ≤ 15s, with a visible progress state throughout.</w:t>
            </w:r>
          </w:p>
        </w:tc>
      </w:tr>
      <w:tr>
        <w:tc>
          <w:tcPr>
            <w:tcMar>
              <w:top w:type="dxa" w:w="80"/>
              <w:left w:type="dxa" w:w="100"/>
              <w:bottom w:type="dxa" w:w="80"/>
              <w:right w:type="dxa" w:w="100"/>
            </w:tcMar>
            <w:vAlign w:val="center"/>
          </w:tcPr>
          <w:p>
            <w:r>
              <w:rPr>
                <w:b w:val="false"/>
                <w:bCs w:val="false"/>
                <w:sz w:val="20"/>
                <w:szCs w:val="20"/>
              </w:rPr>
              <w:t xml:space="preserve">NFR-2</w:t>
            </w:r>
          </w:p>
        </w:tc>
        <w:tc>
          <w:tcPr>
            <w:tcMar>
              <w:top w:type="dxa" w:w="80"/>
              <w:left w:type="dxa" w:w="100"/>
              <w:bottom w:type="dxa" w:w="80"/>
              <w:right w:type="dxa" w:w="100"/>
            </w:tcMar>
            <w:vAlign w:val="center"/>
          </w:tcPr>
          <w:p>
            <w:r>
              <w:rPr>
                <w:b w:val="false"/>
                <w:bCs w:val="false"/>
                <w:sz w:val="20"/>
                <w:szCs w:val="20"/>
              </w:rPr>
              <w:t xml:space="preserve">Performance</w:t>
            </w:r>
          </w:p>
        </w:tc>
        <w:tc>
          <w:tcPr>
            <w:tcMar>
              <w:top w:type="dxa" w:w="80"/>
              <w:left w:type="dxa" w:w="100"/>
              <w:bottom w:type="dxa" w:w="80"/>
              <w:right w:type="dxa" w:w="100"/>
            </w:tcMar>
            <w:vAlign w:val="center"/>
          </w:tcPr>
          <w:p>
            <w:r>
              <w:rPr>
                <w:b w:val="false"/>
                <w:bCs w:val="false"/>
                <w:sz w:val="20"/>
                <w:szCs w:val="20"/>
              </w:rPr>
              <w:t xml:space="preserve">Canvas maintains 60fps pan/zoom with ≤ 50 nodes on a 2020-era mid-tier laptop.</w:t>
            </w:r>
          </w:p>
        </w:tc>
      </w:tr>
      <w:tr>
        <w:tc>
          <w:tcPr>
            <w:tcMar>
              <w:top w:type="dxa" w:w="80"/>
              <w:left w:type="dxa" w:w="100"/>
              <w:bottom w:type="dxa" w:w="80"/>
              <w:right w:type="dxa" w:w="100"/>
            </w:tcMar>
            <w:vAlign w:val="center"/>
          </w:tcPr>
          <w:p>
            <w:r>
              <w:rPr>
                <w:b w:val="false"/>
                <w:bCs w:val="false"/>
                <w:sz w:val="20"/>
                <w:szCs w:val="20"/>
              </w:rPr>
              <w:t xml:space="preserve">NFR-3</w:t>
            </w:r>
          </w:p>
        </w:tc>
        <w:tc>
          <w:tcPr>
            <w:tcMar>
              <w:top w:type="dxa" w:w="80"/>
              <w:left w:type="dxa" w:w="100"/>
              <w:bottom w:type="dxa" w:w="80"/>
              <w:right w:type="dxa" w:w="100"/>
            </w:tcMar>
            <w:vAlign w:val="center"/>
          </w:tcPr>
          <w:p>
            <w:r>
              <w:rPr>
                <w:b w:val="false"/>
                <w:bCs w:val="false"/>
                <w:sz w:val="20"/>
                <w:szCs w:val="20"/>
              </w:rPr>
              <w:t xml:space="preserve">Availability</w:t>
            </w:r>
          </w:p>
        </w:tc>
        <w:tc>
          <w:tcPr>
            <w:tcMar>
              <w:top w:type="dxa" w:w="80"/>
              <w:left w:type="dxa" w:w="100"/>
              <w:bottom w:type="dxa" w:w="80"/>
              <w:right w:type="dxa" w:w="100"/>
            </w:tcMar>
            <w:vAlign w:val="center"/>
          </w:tcPr>
          <w:p>
            <w:r>
              <w:rPr>
                <w:b w:val="false"/>
                <w:bCs w:val="false"/>
                <w:sz w:val="20"/>
                <w:szCs w:val="20"/>
              </w:rPr>
              <w:t xml:space="preserve">Core editing/canvas flow: 99.5% monthly uptime target for V1.0.</w:t>
            </w:r>
          </w:p>
        </w:tc>
      </w:tr>
      <w:tr>
        <w:tc>
          <w:tcPr>
            <w:tcMar>
              <w:top w:type="dxa" w:w="80"/>
              <w:left w:type="dxa" w:w="100"/>
              <w:bottom w:type="dxa" w:w="80"/>
              <w:right w:type="dxa" w:w="100"/>
            </w:tcMar>
            <w:vAlign w:val="center"/>
          </w:tcPr>
          <w:p>
            <w:r>
              <w:rPr>
                <w:b w:val="false"/>
                <w:bCs w:val="false"/>
                <w:sz w:val="20"/>
                <w:szCs w:val="20"/>
              </w:rPr>
              <w:t xml:space="preserve">NFR-4</w:t>
            </w:r>
          </w:p>
        </w:tc>
        <w:tc>
          <w:tcPr>
            <w:tcMar>
              <w:top w:type="dxa" w:w="80"/>
              <w:left w:type="dxa" w:w="100"/>
              <w:bottom w:type="dxa" w:w="80"/>
              <w:right w:type="dxa" w:w="100"/>
            </w:tcMar>
            <w:vAlign w:val="center"/>
          </w:tcPr>
          <w:p>
            <w:r>
              <w:rPr>
                <w:b w:val="false"/>
                <w:bCs w:val="false"/>
                <w:sz w:val="20"/>
                <w:szCs w:val="20"/>
              </w:rPr>
              <w:t xml:space="preserve">Security</w:t>
            </w:r>
          </w:p>
        </w:tc>
        <w:tc>
          <w:tcPr>
            <w:tcMar>
              <w:top w:type="dxa" w:w="80"/>
              <w:left w:type="dxa" w:w="100"/>
              <w:bottom w:type="dxa" w:w="80"/>
              <w:right w:type="dxa" w:w="100"/>
            </w:tcMar>
            <w:vAlign w:val="center"/>
          </w:tcPr>
          <w:p>
            <w:r>
              <w:rPr>
                <w:b w:val="false"/>
                <w:bCs w:val="false"/>
                <w:sz w:val="20"/>
                <w:szCs w:val="20"/>
              </w:rPr>
              <w:t xml:space="preserve">All session content encrypted at rest (AES-256) and in transit (TLS 1.2+); session data deletable on user request within 30 days.</w:t>
            </w:r>
          </w:p>
        </w:tc>
      </w:tr>
      <w:tr>
        <w:tc>
          <w:tcPr>
            <w:tcMar>
              <w:top w:type="dxa" w:w="80"/>
              <w:left w:type="dxa" w:w="100"/>
              <w:bottom w:type="dxa" w:w="80"/>
              <w:right w:type="dxa" w:w="100"/>
            </w:tcMar>
            <w:vAlign w:val="center"/>
          </w:tcPr>
          <w:p>
            <w:r>
              <w:rPr>
                <w:b w:val="false"/>
                <w:bCs w:val="false"/>
                <w:sz w:val="20"/>
                <w:szCs w:val="20"/>
              </w:rPr>
              <w:t xml:space="preserve">NFR-5</w:t>
            </w:r>
          </w:p>
        </w:tc>
        <w:tc>
          <w:tcPr>
            <w:tcMar>
              <w:top w:type="dxa" w:w="80"/>
              <w:left w:type="dxa" w:w="100"/>
              <w:bottom w:type="dxa" w:w="80"/>
              <w:right w:type="dxa" w:w="100"/>
            </w:tcMar>
            <w:vAlign w:val="center"/>
          </w:tcPr>
          <w:p>
            <w:r>
              <w:rPr>
                <w:b w:val="false"/>
                <w:bCs w:val="false"/>
                <w:sz w:val="20"/>
                <w:szCs w:val="20"/>
              </w:rPr>
              <w:t xml:space="preserve">Privacy</w:t>
            </w:r>
          </w:p>
        </w:tc>
        <w:tc>
          <w:tcPr>
            <w:tcMar>
              <w:top w:type="dxa" w:w="80"/>
              <w:left w:type="dxa" w:w="100"/>
              <w:bottom w:type="dxa" w:w="80"/>
              <w:right w:type="dxa" w:w="100"/>
            </w:tcMar>
            <w:vAlign w:val="center"/>
          </w:tcPr>
          <w:p>
            <w:r>
              <w:rPr>
                <w:b w:val="false"/>
                <w:bCs w:val="false"/>
                <w:sz w:val="20"/>
                <w:szCs w:val="20"/>
              </w:rPr>
              <w:t xml:space="preserve">No free-text venting content is used for model training/fine-tuning without explicit opt-in.</w:t>
            </w:r>
          </w:p>
        </w:tc>
      </w:tr>
      <w:tr>
        <w:tc>
          <w:tcPr>
            <w:tcMar>
              <w:top w:type="dxa" w:w="80"/>
              <w:left w:type="dxa" w:w="100"/>
              <w:bottom w:type="dxa" w:w="80"/>
              <w:right w:type="dxa" w:w="100"/>
            </w:tcMar>
            <w:vAlign w:val="center"/>
          </w:tcPr>
          <w:p>
            <w:r>
              <w:rPr>
                <w:b w:val="false"/>
                <w:bCs w:val="false"/>
                <w:sz w:val="20"/>
                <w:szCs w:val="20"/>
              </w:rPr>
              <w:t xml:space="preserve">NFR-6</w:t>
            </w:r>
          </w:p>
        </w:tc>
        <w:tc>
          <w:tcPr>
            <w:tcMar>
              <w:top w:type="dxa" w:w="80"/>
              <w:left w:type="dxa" w:w="100"/>
              <w:bottom w:type="dxa" w:w="80"/>
              <w:right w:type="dxa" w:w="100"/>
            </w:tcMar>
            <w:vAlign w:val="center"/>
          </w:tcPr>
          <w:p>
            <w:r>
              <w:rPr>
                <w:b w:val="false"/>
                <w:bCs w:val="false"/>
                <w:sz w:val="20"/>
                <w:szCs w:val="20"/>
              </w:rPr>
              <w:t xml:space="preserve">Accessibility</w:t>
            </w:r>
          </w:p>
        </w:tc>
        <w:tc>
          <w:tcPr>
            <w:tcMar>
              <w:top w:type="dxa" w:w="80"/>
              <w:left w:type="dxa" w:w="100"/>
              <w:bottom w:type="dxa" w:w="80"/>
              <w:right w:type="dxa" w:w="100"/>
            </w:tcMar>
            <w:vAlign w:val="center"/>
          </w:tcPr>
          <w:p>
            <w:r>
              <w:rPr>
                <w:b w:val="false"/>
                <w:bCs w:val="false"/>
                <w:sz w:val="20"/>
                <w:szCs w:val="20"/>
              </w:rPr>
              <w:t xml:space="preserve">Editor and dashboard meet WCAG 2.1 AA; canvas provides a non-canvas (list-view) fallback for screen-reader users.</w:t>
            </w:r>
          </w:p>
        </w:tc>
      </w:tr>
      <w:tr>
        <w:tc>
          <w:tcPr>
            <w:tcMar>
              <w:top w:type="dxa" w:w="80"/>
              <w:left w:type="dxa" w:w="100"/>
              <w:bottom w:type="dxa" w:w="80"/>
              <w:right w:type="dxa" w:w="100"/>
            </w:tcMar>
            <w:vAlign w:val="center"/>
          </w:tcPr>
          <w:p>
            <w:r>
              <w:rPr>
                <w:b w:val="false"/>
                <w:bCs w:val="false"/>
                <w:sz w:val="20"/>
                <w:szCs w:val="20"/>
              </w:rPr>
              <w:t xml:space="preserve">NFR-7</w:t>
            </w:r>
          </w:p>
        </w:tc>
        <w:tc>
          <w:tcPr>
            <w:tcMar>
              <w:top w:type="dxa" w:w="80"/>
              <w:left w:type="dxa" w:w="100"/>
              <w:bottom w:type="dxa" w:w="80"/>
              <w:right w:type="dxa" w:w="100"/>
            </w:tcMar>
            <w:vAlign w:val="center"/>
          </w:tcPr>
          <w:p>
            <w:r>
              <w:rPr>
                <w:b w:val="false"/>
                <w:bCs w:val="false"/>
                <w:sz w:val="20"/>
                <w:szCs w:val="20"/>
              </w:rPr>
              <w:t xml:space="preserve">Scalability</w:t>
            </w:r>
          </w:p>
        </w:tc>
        <w:tc>
          <w:tcPr>
            <w:tcMar>
              <w:top w:type="dxa" w:w="80"/>
              <w:left w:type="dxa" w:w="100"/>
              <w:bottom w:type="dxa" w:w="80"/>
              <w:right w:type="dxa" w:w="100"/>
            </w:tcMar>
            <w:vAlign w:val="center"/>
          </w:tcPr>
          <w:p>
            <w:r>
              <w:rPr>
                <w:b w:val="false"/>
                <w:bCs w:val="false"/>
                <w:sz w:val="20"/>
                <w:szCs w:val="20"/>
              </w:rPr>
              <w:t xml:space="preserve">Recommendation engine and vector DB scale to 100k sessions/month without p95 latency regression beyond NFR-1.</w:t>
            </w:r>
          </w:p>
        </w:tc>
      </w:tr>
      <w:tr>
        <w:tc>
          <w:tcPr>
            <w:tcMar>
              <w:top w:type="dxa" w:w="80"/>
              <w:left w:type="dxa" w:w="100"/>
              <w:bottom w:type="dxa" w:w="80"/>
              <w:right w:type="dxa" w:w="100"/>
            </w:tcMar>
            <w:vAlign w:val="center"/>
          </w:tcPr>
          <w:p>
            <w:r>
              <w:rPr>
                <w:b w:val="false"/>
                <w:bCs w:val="false"/>
                <w:sz w:val="20"/>
                <w:szCs w:val="20"/>
              </w:rPr>
              <w:t xml:space="preserve">NFR-8</w:t>
            </w:r>
          </w:p>
        </w:tc>
        <w:tc>
          <w:tcPr>
            <w:tcMar>
              <w:top w:type="dxa" w:w="80"/>
              <w:left w:type="dxa" w:w="100"/>
              <w:bottom w:type="dxa" w:w="80"/>
              <w:right w:type="dxa" w:w="100"/>
            </w:tcMar>
            <w:vAlign w:val="center"/>
          </w:tcPr>
          <w:p>
            <w:r>
              <w:rPr>
                <w:b w:val="false"/>
                <w:bCs w:val="false"/>
                <w:sz w:val="20"/>
                <w:szCs w:val="20"/>
              </w:rPr>
              <w:t xml:space="preserve">Localization</w:t>
            </w:r>
          </w:p>
        </w:tc>
        <w:tc>
          <w:tcPr>
            <w:tcMar>
              <w:top w:type="dxa" w:w="80"/>
              <w:left w:type="dxa" w:w="100"/>
              <w:bottom w:type="dxa" w:w="80"/>
              <w:right w:type="dxa" w:w="100"/>
            </w:tcMar>
            <w:vAlign w:val="center"/>
          </w:tcPr>
          <w:p>
            <w:r>
              <w:rPr>
                <w:b w:val="false"/>
                <w:bCs w:val="false"/>
                <w:sz w:val="20"/>
                <w:szCs w:val="20"/>
              </w:rPr>
              <w:t xml:space="preserve">V1.0 ships English-only; UI strings externalized to support future localization.</w:t>
            </w:r>
          </w:p>
        </w:tc>
      </w:tr>
    </w:tbl>
    <w:p>
      <w:pPr>
        <w:pStyle w:val="Heading1"/>
        <w:spacing w:after="200" w:before="400"/>
      </w:pPr>
      <w:r>
        <w:rPr>
          <w:b/>
          <w:bCs/>
          <w:color w:val="1F3864"/>
        </w:rPr>
        <w:t xml:space="preserve">9. Key Performance Indicators</w:t>
      </w:r>
    </w:p>
    <w:p>
      <w:pPr>
        <w:spacing w:after="120"/>
      </w:pPr>
      <w:r>
        <w:t xml:space="preserve">Retained from v1.0, with baseline/measurement notes added so each target is auditable.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Target</w:t>
            </w:r>
          </w:p>
        </w:tc>
        <w:tc>
          <w:tcPr>
            <w:tcW w:type="dxa" w:w="5100"/>
            <w:shd w:fill="1F3864" w:val="clear"/>
            <w:tcMar>
              <w:top w:type="dxa" w:w="80"/>
              <w:left w:type="dxa" w:w="100"/>
              <w:bottom w:type="dxa" w:w="80"/>
              <w:right w:type="dxa" w:w="100"/>
            </w:tcMar>
            <w:vAlign w:val="center"/>
          </w:tcPr>
          <w:p>
            <w:r>
              <w:rPr>
                <w:b/>
                <w:bCs/>
                <w:color w:val="FFFFFF"/>
                <w:sz w:val="20"/>
                <w:szCs w:val="20"/>
              </w:rPr>
              <w:t xml:space="preserve">Measurement Notes</w:t>
            </w:r>
          </w:p>
        </w:tc>
      </w:tr>
      <w:tr>
        <w:tc>
          <w:tcPr>
            <w:tcMar>
              <w:top w:type="dxa" w:w="80"/>
              <w:left w:type="dxa" w:w="100"/>
              <w:bottom w:type="dxa" w:w="80"/>
              <w:right w:type="dxa" w:w="100"/>
            </w:tcMar>
            <w:vAlign w:val="center"/>
          </w:tcPr>
          <w:p>
            <w:r>
              <w:rPr>
                <w:b w:val="false"/>
                <w:bCs w:val="false"/>
                <w:sz w:val="20"/>
                <w:szCs w:val="20"/>
              </w:rPr>
              <w:t xml:space="preserve">Conversion to Blueprint</w:t>
            </w:r>
          </w:p>
        </w:tc>
        <w:tc>
          <w:tcPr>
            <w:tcMar>
              <w:top w:type="dxa" w:w="80"/>
              <w:left w:type="dxa" w:w="100"/>
              <w:bottom w:type="dxa" w:w="80"/>
              <w:right w:type="dxa" w:w="100"/>
            </w:tcMar>
            <w:vAlign w:val="center"/>
          </w:tcPr>
          <w:p>
            <w:r>
              <w:rPr>
                <w:b w:val="false"/>
                <w:bCs w:val="false"/>
                <w:sz w:val="20"/>
                <w:szCs w:val="20"/>
              </w:rPr>
              <w:t xml:space="preserve">&gt; 65%</w:t>
            </w:r>
          </w:p>
        </w:tc>
        <w:tc>
          <w:tcPr>
            <w:tcMar>
              <w:top w:type="dxa" w:w="80"/>
              <w:left w:type="dxa" w:w="100"/>
              <w:bottom w:type="dxa" w:w="80"/>
              <w:right w:type="dxa" w:w="100"/>
            </w:tcMar>
            <w:vAlign w:val="center"/>
          </w:tcPr>
          <w:p>
            <w:r>
              <w:rPr>
                <w:b w:val="false"/>
                <w:bCs w:val="false"/>
                <w:sz w:val="20"/>
                <w:szCs w:val="20"/>
              </w:rPr>
              <w:t xml:space="preserve">Sessions reaching Step 5 ÷ sessions starting Step 1, measured weekly, excluding sessions abandoned in &lt; 20 seconds (likely accidental entries).</w:t>
            </w:r>
          </w:p>
        </w:tc>
      </w:tr>
      <w:tr>
        <w:tc>
          <w:tcPr>
            <w:tcMar>
              <w:top w:type="dxa" w:w="80"/>
              <w:left w:type="dxa" w:w="100"/>
              <w:bottom w:type="dxa" w:w="80"/>
              <w:right w:type="dxa" w:w="100"/>
            </w:tcMar>
            <w:vAlign w:val="center"/>
          </w:tcPr>
          <w:p>
            <w:r>
              <w:rPr>
                <w:b w:val="false"/>
                <w:bCs w:val="false"/>
                <w:sz w:val="20"/>
                <w:szCs w:val="20"/>
              </w:rPr>
              <w:t xml:space="preserve">Interactive Depth</w:t>
            </w:r>
          </w:p>
        </w:tc>
        <w:tc>
          <w:tcPr>
            <w:tcMar>
              <w:top w:type="dxa" w:w="80"/>
              <w:left w:type="dxa" w:w="100"/>
              <w:bottom w:type="dxa" w:w="80"/>
              <w:right w:type="dxa" w:w="100"/>
            </w:tcMar>
            <w:vAlign w:val="center"/>
          </w:tcPr>
          <w:p>
            <w:r>
              <w:rPr>
                <w:b w:val="false"/>
                <w:bCs w:val="false"/>
                <w:sz w:val="20"/>
                <w:szCs w:val="20"/>
              </w:rPr>
              <w:t xml:space="preserve">≥ 3 comments/user</w:t>
            </w:r>
          </w:p>
        </w:tc>
        <w:tc>
          <w:tcPr>
            <w:tcMar>
              <w:top w:type="dxa" w:w="80"/>
              <w:left w:type="dxa" w:w="100"/>
              <w:bottom w:type="dxa" w:w="80"/>
              <w:right w:type="dxa" w:w="100"/>
            </w:tcMar>
            <w:vAlign w:val="center"/>
          </w:tcPr>
          <w:p>
            <w:r>
              <w:rPr>
                <w:b w:val="false"/>
                <w:bCs w:val="false"/>
                <w:sz w:val="20"/>
                <w:szCs w:val="20"/>
              </w:rPr>
              <w:t xml:space="preserve">Average of (Feature 6.2 comments + Feature 6.3 node comments) per completed session.</w:t>
            </w:r>
          </w:p>
        </w:tc>
      </w:tr>
      <w:tr>
        <w:tc>
          <w:tcPr>
            <w:tcMar>
              <w:top w:type="dxa" w:w="80"/>
              <w:left w:type="dxa" w:w="100"/>
              <w:bottom w:type="dxa" w:w="80"/>
              <w:right w:type="dxa" w:w="100"/>
            </w:tcMar>
            <w:vAlign w:val="center"/>
          </w:tcPr>
          <w:p>
            <w:r>
              <w:rPr>
                <w:b w:val="false"/>
                <w:bCs w:val="false"/>
                <w:sz w:val="20"/>
                <w:szCs w:val="20"/>
              </w:rPr>
              <w:t xml:space="preserve">Actionable CTR</w:t>
            </w:r>
          </w:p>
        </w:tc>
        <w:tc>
          <w:tcPr>
            <w:tcMar>
              <w:top w:type="dxa" w:w="80"/>
              <w:left w:type="dxa" w:w="100"/>
              <w:bottom w:type="dxa" w:w="80"/>
              <w:right w:type="dxa" w:w="100"/>
            </w:tcMar>
            <w:vAlign w:val="center"/>
          </w:tcPr>
          <w:p>
            <w:r>
              <w:rPr>
                <w:b w:val="false"/>
                <w:bCs w:val="false"/>
                <w:sz w:val="20"/>
                <w:szCs w:val="20"/>
              </w:rPr>
              <w:t xml:space="preserve">&gt; 45%</w:t>
            </w:r>
          </w:p>
        </w:tc>
        <w:tc>
          <w:tcPr>
            <w:tcMar>
              <w:top w:type="dxa" w:w="80"/>
              <w:left w:type="dxa" w:w="100"/>
              <w:bottom w:type="dxa" w:w="80"/>
              <w:right w:type="dxa" w:w="100"/>
            </w:tcMar>
            <w:vAlign w:val="center"/>
          </w:tcPr>
          <w:p>
            <w:r>
              <w:rPr>
                <w:b w:val="false"/>
                <w:bCs w:val="false"/>
                <w:sz w:val="20"/>
                <w:szCs w:val="20"/>
              </w:rPr>
              <w:t xml:space="preserve">Clicks on recommended tool/expert links ÷ dashboard views; tracked separately for organic vs. sponsored to detect skew (see Risk R-2).</w:t>
            </w:r>
          </w:p>
        </w:tc>
      </w:tr>
      <w:tr>
        <w:tc>
          <w:tcPr>
            <w:tcMar>
              <w:top w:type="dxa" w:w="80"/>
              <w:left w:type="dxa" w:w="100"/>
              <w:bottom w:type="dxa" w:w="80"/>
              <w:right w:type="dxa" w:w="100"/>
            </w:tcMar>
            <w:vAlign w:val="center"/>
          </w:tcPr>
          <w:p>
            <w:r>
              <w:rPr>
                <w:b w:val="false"/>
                <w:bCs w:val="false"/>
                <w:sz w:val="20"/>
                <w:szCs w:val="20"/>
              </w:rPr>
              <w:t xml:space="preserve">System Trust Score</w:t>
            </w:r>
          </w:p>
        </w:tc>
        <w:tc>
          <w:tcPr>
            <w:tcMar>
              <w:top w:type="dxa" w:w="80"/>
              <w:left w:type="dxa" w:w="100"/>
              <w:bottom w:type="dxa" w:w="80"/>
              <w:right w:type="dxa" w:w="100"/>
            </w:tcMar>
            <w:vAlign w:val="center"/>
          </w:tcPr>
          <w:p>
            <w:r>
              <w:rPr>
                <w:b w:val="false"/>
                <w:bCs w:val="false"/>
                <w:sz w:val="20"/>
                <w:szCs w:val="20"/>
              </w:rPr>
              <w:t xml:space="preserve">&gt; 85%</w:t>
            </w:r>
          </w:p>
        </w:tc>
        <w:tc>
          <w:tcPr>
            <w:tcMar>
              <w:top w:type="dxa" w:w="80"/>
              <w:left w:type="dxa" w:w="100"/>
              <w:bottom w:type="dxa" w:w="80"/>
              <w:right w:type="dxa" w:w="100"/>
            </w:tcMar>
            <w:vAlign w:val="center"/>
          </w:tcPr>
          <w:p>
            <w:r>
              <w:rPr>
                <w:b w:val="false"/>
                <w:bCs w:val="false"/>
                <w:sz w:val="20"/>
                <w:szCs w:val="20"/>
              </w:rPr>
              <w:t xml:space="preserve">Positive responses to the exit poll ÷ total poll responses; poll response rate itself should be tracked to catch non-response bias.</w:t>
            </w:r>
          </w:p>
        </w:tc>
      </w:tr>
    </w:tbl>
    <w:p>
      <w:pPr>
        <w:pStyle w:val="Heading1"/>
        <w:spacing w:after="200" w:before="400"/>
      </w:pPr>
      <w:r>
        <w:rPr>
          <w:b/>
          <w:bCs/>
          <w:color w:val="1F3864"/>
        </w:rPr>
        <w:t xml:space="preserve">10. Risk Register</w:t>
      </w:r>
    </w:p>
    <w:p>
      <w:pPr>
        <w:spacing w:after="120"/>
      </w:pPr>
      <w:r>
        <w:t xml:space="preserve">Not present in v1.0. Highest-priority risks identified during this review: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3000"/>
      </w:tblGrid>
      <w:tr>
        <w:tc>
          <w:tcPr>
            <w:tcW w:type="dxa" w:w="9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Risk</w:t>
            </w:r>
          </w:p>
        </w:tc>
        <w:tc>
          <w:tcPr>
            <w:tcW w:type="dxa" w:w="3000"/>
            <w:shd w:fill="1F3864" w:val="clear"/>
            <w:tcMar>
              <w:top w:type="dxa" w:w="80"/>
              <w:left w:type="dxa" w:w="100"/>
              <w:bottom w:type="dxa" w:w="80"/>
              <w:right w:type="dxa" w:w="100"/>
            </w:tcMar>
            <w:vAlign w:val="center"/>
          </w:tcPr>
          <w:p>
            <w:r>
              <w:rPr>
                <w:b/>
                <w:bCs/>
                <w:color w:val="FFFFFF"/>
                <w:sz w:val="20"/>
                <w:szCs w:val="20"/>
              </w:rPr>
              <w:t xml:space="preserve">Impact</w:t>
            </w:r>
          </w:p>
        </w:tc>
        <w:tc>
          <w:tcPr>
            <w:tcW w:type="dxa" w:w="3000"/>
            <w:shd w:fill="1F3864" w:val="clear"/>
            <w:tcMar>
              <w:top w:type="dxa" w:w="80"/>
              <w:left w:type="dxa" w:w="100"/>
              <w:bottom w:type="dxa" w:w="80"/>
              <w:right w:type="dxa" w:w="100"/>
            </w:tcMar>
            <w:vAlign w:val="center"/>
          </w:tcPr>
          <w:p>
            <w:r>
              <w:rPr>
                <w:b/>
                <w:bCs/>
                <w:color w:val="FFFFFF"/>
                <w:sz w:val="20"/>
                <w:szCs w:val="20"/>
              </w:rPr>
              <w:t xml:space="preserve">Mitigation</w:t>
            </w:r>
          </w:p>
        </w:tc>
      </w:tr>
      <w:tr>
        <w:tc>
          <w:tcPr>
            <w:tcMar>
              <w:top w:type="dxa" w:w="80"/>
              <w:left w:type="dxa" w:w="100"/>
              <w:bottom w:type="dxa" w:w="80"/>
              <w:right w:type="dxa" w:w="100"/>
            </w:tcMar>
            <w:vAlign w:val="center"/>
          </w:tcPr>
          <w:p>
            <w:r>
              <w:rPr>
                <w:b w:val="false"/>
                <w:bCs w:val="false"/>
                <w:sz w:val="20"/>
                <w:szCs w:val="20"/>
              </w:rPr>
              <w:t xml:space="preserve">R-1</w:t>
            </w:r>
          </w:p>
        </w:tc>
        <w:tc>
          <w:tcPr>
            <w:tcMar>
              <w:top w:type="dxa" w:w="80"/>
              <w:left w:type="dxa" w:w="100"/>
              <w:bottom w:type="dxa" w:w="80"/>
              <w:right w:type="dxa" w:w="100"/>
            </w:tcMar>
            <w:vAlign w:val="center"/>
          </w:tcPr>
          <w:p>
            <w:r>
              <w:rPr>
                <w:b w:val="false"/>
                <w:bCs w:val="false"/>
                <w:sz w:val="20"/>
                <w:szCs w:val="20"/>
              </w:rPr>
              <w:t xml:space="preserve">AI branching loops or produces low-quality fallback nodes on ambiguous comments.</w:t>
            </w:r>
          </w:p>
        </w:tc>
        <w:tc>
          <w:tcPr>
            <w:tcMar>
              <w:top w:type="dxa" w:w="80"/>
              <w:left w:type="dxa" w:w="100"/>
              <w:bottom w:type="dxa" w:w="80"/>
              <w:right w:type="dxa" w:w="100"/>
            </w:tcMar>
            <w:vAlign w:val="center"/>
          </w:tcPr>
          <w:p>
            <w:r>
              <w:rPr>
                <w:b w:val="false"/>
                <w:bCs w:val="false"/>
                <w:sz w:val="20"/>
                <w:szCs w:val="20"/>
              </w:rPr>
              <w:t xml:space="preserve">User trust loss; abandoned sessions.</w:t>
            </w:r>
          </w:p>
        </w:tc>
        <w:tc>
          <w:tcPr>
            <w:tcMar>
              <w:top w:type="dxa" w:w="80"/>
              <w:left w:type="dxa" w:w="100"/>
              <w:bottom w:type="dxa" w:w="80"/>
              <w:right w:type="dxa" w:w="100"/>
            </w:tcMar>
            <w:vAlign w:val="center"/>
          </w:tcPr>
          <w:p>
            <w:r>
              <w:rPr>
                <w:b w:val="false"/>
                <w:bCs w:val="false"/>
                <w:sz w:val="20"/>
                <w:szCs w:val="20"/>
              </w:rPr>
              <w:t xml:space="preserve">Branch-depth cap (6.3); clarifying-question fallback instead of forced branching.</w:t>
            </w:r>
          </w:p>
        </w:tc>
      </w:tr>
      <w:tr>
        <w:tc>
          <w:tcPr>
            <w:tcMar>
              <w:top w:type="dxa" w:w="80"/>
              <w:left w:type="dxa" w:w="100"/>
              <w:bottom w:type="dxa" w:w="80"/>
              <w:right w:type="dxa" w:w="100"/>
            </w:tcMar>
            <w:vAlign w:val="center"/>
          </w:tcPr>
          <w:p>
            <w:r>
              <w:rPr>
                <w:b w:val="false"/>
                <w:bCs w:val="false"/>
                <w:sz w:val="20"/>
                <w:szCs w:val="20"/>
              </w:rPr>
              <w:t xml:space="preserve">R-2</w:t>
            </w:r>
          </w:p>
        </w:tc>
        <w:tc>
          <w:tcPr>
            <w:tcMar>
              <w:top w:type="dxa" w:w="80"/>
              <w:left w:type="dxa" w:w="100"/>
              <w:bottom w:type="dxa" w:w="80"/>
              <w:right w:type="dxa" w:w="100"/>
            </w:tcMar>
            <w:vAlign w:val="center"/>
          </w:tcPr>
          <w:p>
            <w:r>
              <w:rPr>
                <w:b w:val="false"/>
                <w:bCs w:val="false"/>
                <w:sz w:val="20"/>
                <w:szCs w:val="20"/>
              </w:rPr>
              <w:t xml:space="preserve">Sponsored recommendations crowd out better organic ones, undermining Trust Score KPI.</w:t>
            </w:r>
          </w:p>
        </w:tc>
        <w:tc>
          <w:tcPr>
            <w:tcMar>
              <w:top w:type="dxa" w:w="80"/>
              <w:left w:type="dxa" w:w="100"/>
              <w:bottom w:type="dxa" w:w="80"/>
              <w:right w:type="dxa" w:w="100"/>
            </w:tcMar>
            <w:vAlign w:val="center"/>
          </w:tcPr>
          <w:p>
            <w:r>
              <w:rPr>
                <w:b w:val="false"/>
                <w:bCs w:val="false"/>
                <w:sz w:val="20"/>
                <w:szCs w:val="20"/>
              </w:rPr>
              <w:t xml:space="preserve">Regulatory/disclosure risk; erodes core value prop.</w:t>
            </w:r>
          </w:p>
        </w:tc>
        <w:tc>
          <w:tcPr>
            <w:tcMar>
              <w:top w:type="dxa" w:w="80"/>
              <w:left w:type="dxa" w:w="100"/>
              <w:bottom w:type="dxa" w:w="80"/>
              <w:right w:type="dxa" w:w="100"/>
            </w:tcMar>
            <w:vAlign w:val="center"/>
          </w:tcPr>
          <w:p>
            <w:r>
              <w:rPr>
                <w:b w:val="false"/>
                <w:bCs w:val="false"/>
                <w:sz w:val="20"/>
                <w:szCs w:val="20"/>
              </w:rPr>
              <w:t xml:space="preserve">Feature 6.5 ranking governance; track organic vs. sponsored CTR separately.</w:t>
            </w:r>
          </w:p>
        </w:tc>
      </w:tr>
      <w:tr>
        <w:tc>
          <w:tcPr>
            <w:tcMar>
              <w:top w:type="dxa" w:w="80"/>
              <w:left w:type="dxa" w:w="100"/>
              <w:bottom w:type="dxa" w:w="80"/>
              <w:right w:type="dxa" w:w="100"/>
            </w:tcMar>
            <w:vAlign w:val="center"/>
          </w:tcPr>
          <w:p>
            <w:r>
              <w:rPr>
                <w:b w:val="false"/>
                <w:bCs w:val="false"/>
                <w:sz w:val="20"/>
                <w:szCs w:val="20"/>
              </w:rPr>
              <w:t xml:space="preserve">R-3</w:t>
            </w:r>
          </w:p>
        </w:tc>
        <w:tc>
          <w:tcPr>
            <w:tcMar>
              <w:top w:type="dxa" w:w="80"/>
              <w:left w:type="dxa" w:w="100"/>
              <w:bottom w:type="dxa" w:w="80"/>
              <w:right w:type="dxa" w:w="100"/>
            </w:tcMar>
            <w:vAlign w:val="center"/>
          </w:tcPr>
          <w:p>
            <w:r>
              <w:rPr>
                <w:b w:val="false"/>
                <w:bCs w:val="false"/>
                <w:sz w:val="20"/>
                <w:szCs w:val="20"/>
              </w:rPr>
              <w:t xml:space="preserve">Unauthorized scraping of LinkedIn/GitHub for expert data violates platform ToS.</w:t>
            </w:r>
          </w:p>
        </w:tc>
        <w:tc>
          <w:tcPr>
            <w:tcMar>
              <w:top w:type="dxa" w:w="80"/>
              <w:left w:type="dxa" w:w="100"/>
              <w:bottom w:type="dxa" w:w="80"/>
              <w:right w:type="dxa" w:w="100"/>
            </w:tcMar>
            <w:vAlign w:val="center"/>
          </w:tcPr>
          <w:p>
            <w:r>
              <w:rPr>
                <w:b w:val="false"/>
                <w:bCs w:val="false"/>
                <w:sz w:val="20"/>
                <w:szCs w:val="20"/>
              </w:rPr>
              <w:t xml:space="preserve">Legal exposure; API access revocation.</w:t>
            </w:r>
          </w:p>
        </w:tc>
        <w:tc>
          <w:tcPr>
            <w:tcMar>
              <w:top w:type="dxa" w:w="80"/>
              <w:left w:type="dxa" w:w="100"/>
              <w:bottom w:type="dxa" w:w="80"/>
              <w:right w:type="dxa" w:w="100"/>
            </w:tcMar>
            <w:vAlign w:val="center"/>
          </w:tcPr>
          <w:p>
            <w:r>
              <w:rPr>
                <w:b w:val="false"/>
                <w:bCs w:val="false"/>
                <w:sz w:val="20"/>
                <w:szCs w:val="20"/>
              </w:rPr>
              <w:t xml:space="preserve">Switch to official/partner APIs or opt-in expert data per Section 7.2; legal sign-off before launch.</w:t>
            </w:r>
          </w:p>
        </w:tc>
      </w:tr>
      <w:tr>
        <w:tc>
          <w:tcPr>
            <w:tcMar>
              <w:top w:type="dxa" w:w="80"/>
              <w:left w:type="dxa" w:w="100"/>
              <w:bottom w:type="dxa" w:w="80"/>
              <w:right w:type="dxa" w:w="100"/>
            </w:tcMar>
            <w:vAlign w:val="center"/>
          </w:tcPr>
          <w:p>
            <w:r>
              <w:rPr>
                <w:b w:val="false"/>
                <w:bCs w:val="false"/>
                <w:sz w:val="20"/>
                <w:szCs w:val="20"/>
              </w:rPr>
              <w:t xml:space="preserve">R-4</w:t>
            </w:r>
          </w:p>
        </w:tc>
        <w:tc>
          <w:tcPr>
            <w:tcMar>
              <w:top w:type="dxa" w:w="80"/>
              <w:left w:type="dxa" w:w="100"/>
              <w:bottom w:type="dxa" w:w="80"/>
              <w:right w:type="dxa" w:w="100"/>
            </w:tcMar>
            <w:vAlign w:val="center"/>
          </w:tcPr>
          <w:p>
            <w:r>
              <w:rPr>
                <w:b w:val="false"/>
                <w:bCs w:val="false"/>
                <w:sz w:val="20"/>
                <w:szCs w:val="20"/>
              </w:rPr>
              <w:t xml:space="preserve">Venting text contains sensitive financial/personal data.</w:t>
            </w:r>
          </w:p>
        </w:tc>
        <w:tc>
          <w:tcPr>
            <w:tcMar>
              <w:top w:type="dxa" w:w="80"/>
              <w:left w:type="dxa" w:w="100"/>
              <w:bottom w:type="dxa" w:w="80"/>
              <w:right w:type="dxa" w:w="100"/>
            </w:tcMar>
            <w:vAlign w:val="center"/>
          </w:tcPr>
          <w:p>
            <w:r>
              <w:rPr>
                <w:b w:val="false"/>
                <w:bCs w:val="false"/>
                <w:sz w:val="20"/>
                <w:szCs w:val="20"/>
              </w:rPr>
              <w:t xml:space="preserve">Privacy breach; regulatory exposure (e.g., GDPR/KVKK).</w:t>
            </w:r>
          </w:p>
        </w:tc>
        <w:tc>
          <w:tcPr>
            <w:tcMar>
              <w:top w:type="dxa" w:w="80"/>
              <w:left w:type="dxa" w:w="100"/>
              <w:bottom w:type="dxa" w:w="80"/>
              <w:right w:type="dxa" w:w="100"/>
            </w:tcMar>
            <w:vAlign w:val="center"/>
          </w:tcPr>
          <w:p>
            <w:r>
              <w:rPr>
                <w:b w:val="false"/>
                <w:bCs w:val="false"/>
                <w:sz w:val="20"/>
                <w:szCs w:val="20"/>
              </w:rPr>
              <w:t xml:space="preserve">Encryption, no-training-by-default, user-initiated deletion per NFR-4/NFR-5.</w:t>
            </w:r>
          </w:p>
        </w:tc>
      </w:tr>
      <w:tr>
        <w:tc>
          <w:tcPr>
            <w:tcMar>
              <w:top w:type="dxa" w:w="80"/>
              <w:left w:type="dxa" w:w="100"/>
              <w:bottom w:type="dxa" w:w="80"/>
              <w:right w:type="dxa" w:w="100"/>
            </w:tcMar>
            <w:vAlign w:val="center"/>
          </w:tcPr>
          <w:p>
            <w:r>
              <w:rPr>
                <w:b w:val="false"/>
                <w:bCs w:val="false"/>
                <w:sz w:val="20"/>
                <w:szCs w:val="20"/>
              </w:rPr>
              <w:t xml:space="preserve">R-5</w:t>
            </w:r>
          </w:p>
        </w:tc>
        <w:tc>
          <w:tcPr>
            <w:tcMar>
              <w:top w:type="dxa" w:w="80"/>
              <w:left w:type="dxa" w:w="100"/>
              <w:bottom w:type="dxa" w:w="80"/>
              <w:right w:type="dxa" w:w="100"/>
            </w:tcMar>
            <w:vAlign w:val="center"/>
          </w:tcPr>
          <w:p>
            <w:r>
              <w:rPr>
                <w:b w:val="false"/>
                <w:bCs w:val="false"/>
                <w:sz w:val="20"/>
                <w:szCs w:val="20"/>
              </w:rPr>
              <w:t xml:space="preserve">Cold-start: no outcome data for new/niche tools shown on the dashboard.</w:t>
            </w:r>
          </w:p>
        </w:tc>
        <w:tc>
          <w:tcPr>
            <w:tcMar>
              <w:top w:type="dxa" w:w="80"/>
              <w:left w:type="dxa" w:w="100"/>
              <w:bottom w:type="dxa" w:w="80"/>
              <w:right w:type="dxa" w:w="100"/>
            </w:tcMar>
            <w:vAlign w:val="center"/>
          </w:tcPr>
          <w:p>
            <w:r>
              <w:rPr>
                <w:b w:val="false"/>
                <w:bCs w:val="false"/>
                <w:sz w:val="20"/>
                <w:szCs w:val="20"/>
              </w:rPr>
              <w:t xml:space="preserve">Match Score and charts look empty or unconvincing for new recommendations.</w:t>
            </w:r>
          </w:p>
        </w:tc>
        <w:tc>
          <w:tcPr>
            <w:tcMar>
              <w:top w:type="dxa" w:w="80"/>
              <w:left w:type="dxa" w:w="100"/>
              <w:bottom w:type="dxa" w:w="80"/>
              <w:right w:type="dxa" w:w="100"/>
            </w:tcMar>
            <w:vAlign w:val="center"/>
          </w:tcPr>
          <w:p>
            <w:r>
              <w:rPr>
                <w:b w:val="false"/>
                <w:bCs w:val="false"/>
                <w:sz w:val="20"/>
                <w:szCs w:val="20"/>
              </w:rPr>
              <w:t xml:space="preserve">Explicit “limited data” state on cards instead of hiding or fabricating a score; backfill via pilot cohorts pre-launch.</w:t>
            </w:r>
          </w:p>
        </w:tc>
      </w:tr>
      <w:tr>
        <w:tc>
          <w:tcPr>
            <w:tcMar>
              <w:top w:type="dxa" w:w="80"/>
              <w:left w:type="dxa" w:w="100"/>
              <w:bottom w:type="dxa" w:w="80"/>
              <w:right w:type="dxa" w:w="100"/>
            </w:tcMar>
            <w:vAlign w:val="center"/>
          </w:tcPr>
          <w:p>
            <w:r>
              <w:rPr>
                <w:b w:val="false"/>
                <w:bCs w:val="false"/>
                <w:sz w:val="20"/>
                <w:szCs w:val="20"/>
              </w:rPr>
              <w:t xml:space="preserve">R-6</w:t>
            </w:r>
          </w:p>
        </w:tc>
        <w:tc>
          <w:tcPr>
            <w:tcMar>
              <w:top w:type="dxa" w:w="80"/>
              <w:left w:type="dxa" w:w="100"/>
              <w:bottom w:type="dxa" w:w="80"/>
              <w:right w:type="dxa" w:w="100"/>
            </w:tcMar>
            <w:vAlign w:val="center"/>
          </w:tcPr>
          <w:p>
            <w:r>
              <w:rPr>
                <w:b w:val="false"/>
                <w:bCs w:val="false"/>
                <w:sz w:val="20"/>
                <w:szCs w:val="20"/>
              </w:rPr>
              <w:t xml:space="preserve">Real-time AI latency (NFR-1) not met at scale, breaking the “instant” interaction feel core to Feature 6.3.</w:t>
            </w:r>
          </w:p>
        </w:tc>
        <w:tc>
          <w:tcPr>
            <w:tcMar>
              <w:top w:type="dxa" w:w="80"/>
              <w:left w:type="dxa" w:w="100"/>
              <w:bottom w:type="dxa" w:w="80"/>
              <w:right w:type="dxa" w:w="100"/>
            </w:tcMar>
            <w:vAlign w:val="center"/>
          </w:tcPr>
          <w:p>
            <w:r>
              <w:rPr>
                <w:b w:val="false"/>
                <w:bCs w:val="false"/>
                <w:sz w:val="20"/>
                <w:szCs w:val="20"/>
              </w:rPr>
              <w:t xml:space="preserve">Canvas feels broken; usage drop-off.</w:t>
            </w:r>
          </w:p>
        </w:tc>
        <w:tc>
          <w:tcPr>
            <w:tcMar>
              <w:top w:type="dxa" w:w="80"/>
              <w:left w:type="dxa" w:w="100"/>
              <w:bottom w:type="dxa" w:w="80"/>
              <w:right w:type="dxa" w:w="100"/>
            </w:tcMar>
            <w:vAlign w:val="center"/>
          </w:tcPr>
          <w:p>
            <w:r>
              <w:rPr>
                <w:b w:val="false"/>
                <w:bCs w:val="false"/>
                <w:sz w:val="20"/>
                <w:szCs w:val="20"/>
              </w:rPr>
              <w:t xml:space="preserve">Progressive loading states; async notification if p95 target is missed rather than a silent hang.</w:t>
            </w:r>
          </w:p>
        </w:tc>
      </w:tr>
    </w:tbl>
    <w:p>
      <w:pPr>
        <w:pStyle w:val="Heading1"/>
        <w:spacing w:after="200" w:before="400"/>
      </w:pPr>
      <w:r>
        <w:rPr>
          <w:b/>
          <w:bCs/>
          <w:color w:val="1F3864"/>
        </w:rPr>
        <w:t xml:space="preserve">11. Open Questions</w:t>
      </w:r>
    </w:p>
    <w:p>
      <w:pPr>
        <w:pStyle w:val="ListParagraph"/>
        <w:numPr>
          <w:ilvl w:val="0"/>
          <w:numId w:val="3"/>
        </w:numPr>
        <w:spacing w:after="60"/>
      </w:pPr>
      <w:r>
        <w:t xml:space="preserve">Which jurisdictions’ ad-disclosure rules govern the sponsorship ranking policy in Feature 6.5?</w:t>
      </w:r>
    </w:p>
    <w:p>
      <w:pPr>
        <w:pStyle w:val="ListParagraph"/>
        <w:numPr>
          <w:ilvl w:val="0"/>
          <w:numId w:val="3"/>
        </w:numPr>
        <w:spacing w:after="60"/>
      </w:pPr>
      <w:r>
        <w:t xml:space="preserve">What is the data-retention default for session content if a user neither deletes nor returns — 30/90/365 days?</w:t>
      </w:r>
    </w:p>
    <w:p>
      <w:pPr>
        <w:pStyle w:val="ListParagraph"/>
        <w:numPr>
          <w:ilvl w:val="0"/>
          <w:numId w:val="3"/>
        </w:numPr>
        <w:spacing w:after="60"/>
      </w:pPr>
      <w:r>
        <w:t xml:space="preserve">Is a list-view (non-canvas) fallback (NFR-6) a V1.0 requirement or can it ship in a fast-follow?</w:t>
      </w:r>
    </w:p>
    <w:p>
      <w:pPr>
        <w:pStyle w:val="ListParagraph"/>
        <w:numPr>
          <w:ilvl w:val="0"/>
          <w:numId w:val="3"/>
        </w:numPr>
        <w:spacing w:after="60"/>
      </w:pPr>
      <w:r>
        <w:t xml:space="preserve">Who owns sourcing/legal agreements for expert-portfolio data under the revised Section 7.2 approach?</w:t>
      </w:r>
    </w:p>
    <w:p>
      <w:pPr>
        <w:pStyle w:val="Heading1"/>
        <w:spacing w:after="200" w:before="400"/>
      </w:pPr>
      <w:r>
        <w:rPr>
          <w:b/>
          <w:bCs/>
          <w:color w:val="1F3864"/>
        </w:rPr>
        <w:t xml:space="preserve">12. Phased Release Plan</w:t>
      </w:r>
    </w:p>
    <w:p>
      <w:pPr>
        <w:spacing w:after="120"/>
      </w:pPr>
      <w:r>
        <w:t xml:space="preserve">Not present in v1.0 as a single, sequenced brief covered everything at once. Phasing below reflects dependency order: the editor and comments must exist before the canvas has input, and the canvas must exist before the dashboard has anything to summarize.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00"/>
      </w:tblGrid>
      <w:tr>
        <w:tc>
          <w:tcPr>
            <w:tcW w:type="dxa" w:w="1600"/>
            <w:shd w:fill="1F3864" w:val="clear"/>
            <w:tcMar>
              <w:top w:type="dxa" w:w="80"/>
              <w:left w:type="dxa" w:w="100"/>
              <w:bottom w:type="dxa" w:w="80"/>
              <w:right w:type="dxa" w:w="100"/>
            </w:tcMar>
            <w:vAlign w:val="center"/>
          </w:tcPr>
          <w:p>
            <w:r>
              <w:rPr>
                <w:b/>
                <w:bCs/>
                <w:color w:val="FFFFFF"/>
                <w:sz w:val="20"/>
                <w:szCs w:val="20"/>
              </w:rPr>
              <w:t xml:space="preserve">Phase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Scope</w:t>
            </w:r>
          </w:p>
        </w:tc>
        <w:tc>
          <w:tcPr>
            <w:tcW w:type="dxa" w:w="5500"/>
            <w:shd w:fill="1F3864" w:val="clear"/>
            <w:tcMar>
              <w:top w:type="dxa" w:w="80"/>
              <w:left w:type="dxa" w:w="100"/>
              <w:bottom w:type="dxa" w:w="80"/>
              <w:right w:type="dxa" w:w="100"/>
            </w:tcMar>
            <w:vAlign w:val="center"/>
          </w:tcPr>
          <w:p>
            <w:r>
              <w:rPr>
                <w:b/>
                <w:bCs/>
                <w:color w:val="FFFFFF"/>
                <w:sz w:val="20"/>
                <w:szCs w:val="20"/>
              </w:rPr>
              <w:t xml:space="preserve">Exit Criteria</w:t>
            </w:r>
          </w:p>
        </w:tc>
      </w:tr>
      <w:tr>
        <w:tc>
          <w:tcPr>
            <w:tcMar>
              <w:top w:type="dxa" w:w="80"/>
              <w:left w:type="dxa" w:w="100"/>
              <w:bottom w:type="dxa" w:w="80"/>
              <w:right w:type="dxa" w:w="100"/>
            </w:tcMar>
            <w:vAlign w:val="center"/>
          </w:tcPr>
          <w:p>
            <w:r>
              <w:rPr>
                <w:b w:val="false"/>
                <w:bCs w:val="false"/>
                <w:sz w:val="20"/>
                <w:szCs w:val="20"/>
              </w:rPr>
              <w:t xml:space="preserve">Phase 1 (MVP)</w:t>
            </w:r>
          </w:p>
        </w:tc>
        <w:tc>
          <w:tcPr>
            <w:tcMar>
              <w:top w:type="dxa" w:w="80"/>
              <w:left w:type="dxa" w:w="100"/>
              <w:bottom w:type="dxa" w:w="80"/>
              <w:right w:type="dxa" w:w="100"/>
            </w:tcMar>
            <w:vAlign w:val="center"/>
          </w:tcPr>
          <w:p>
            <w:r>
              <w:rPr>
                <w:b w:val="false"/>
                <w:bCs w:val="false"/>
                <w:sz w:val="20"/>
                <w:szCs w:val="20"/>
              </w:rPr>
              <w:t xml:space="preserve">Features 6.1, 6.2, static canvas (no live re-rerouting yet)</w:t>
            </w:r>
          </w:p>
        </w:tc>
        <w:tc>
          <w:tcPr>
            <w:tcMar>
              <w:top w:type="dxa" w:w="80"/>
              <w:left w:type="dxa" w:w="100"/>
              <w:bottom w:type="dxa" w:w="80"/>
              <w:right w:type="dxa" w:w="100"/>
            </w:tcMar>
            <w:vAlign w:val="center"/>
          </w:tcPr>
          <w:p>
            <w:r>
              <w:rPr>
                <w:b w:val="false"/>
                <w:bCs w:val="false"/>
                <w:sz w:val="20"/>
                <w:szCs w:val="20"/>
              </w:rPr>
              <w:t xml:space="preserve">A user can vent, comment, and see a first-pass AI canvas end-to-end internally (dogfood).</w:t>
            </w:r>
          </w:p>
        </w:tc>
      </w:tr>
      <w:tr>
        <w:tc>
          <w:tcPr>
            <w:tcMar>
              <w:top w:type="dxa" w:w="80"/>
              <w:left w:type="dxa" w:w="100"/>
              <w:bottom w:type="dxa" w:w="80"/>
              <w:right w:type="dxa" w:w="100"/>
            </w:tcMar>
            <w:vAlign w:val="center"/>
          </w:tcPr>
          <w:p>
            <w:r>
              <w:rPr>
                <w:b w:val="false"/>
                <w:bCs w:val="false"/>
                <w:sz w:val="20"/>
                <w:szCs w:val="20"/>
              </w:rPr>
              <w:t xml:space="preserve">Phase 2</w:t>
            </w:r>
          </w:p>
        </w:tc>
        <w:tc>
          <w:tcPr>
            <w:tcMar>
              <w:top w:type="dxa" w:w="80"/>
              <w:left w:type="dxa" w:w="100"/>
              <w:bottom w:type="dxa" w:w="80"/>
              <w:right w:type="dxa" w:w="100"/>
            </w:tcMar>
            <w:vAlign w:val="center"/>
          </w:tcPr>
          <w:p>
            <w:r>
              <w:rPr>
                <w:b w:val="false"/>
                <w:bCs w:val="false"/>
                <w:sz w:val="20"/>
                <w:szCs w:val="20"/>
              </w:rPr>
              <w:t xml:space="preserve">Feature 6.3 live node rerouting; NFR-1/NFR-2 performance work</w:t>
            </w:r>
          </w:p>
        </w:tc>
        <w:tc>
          <w:tcPr>
            <w:tcMar>
              <w:top w:type="dxa" w:w="80"/>
              <w:left w:type="dxa" w:w="100"/>
              <w:bottom w:type="dxa" w:w="80"/>
              <w:right w:type="dxa" w:w="100"/>
            </w:tcMar>
            <w:vAlign w:val="center"/>
          </w:tcPr>
          <w:p>
            <w:r>
              <w:rPr>
                <w:b w:val="false"/>
                <w:bCs w:val="false"/>
                <w:sz w:val="20"/>
                <w:szCs w:val="20"/>
              </w:rPr>
              <w:t xml:space="preserve">p95 branch-response latency ≤ 8s in staging with 50-node canvases.</w:t>
            </w:r>
          </w:p>
        </w:tc>
      </w:tr>
      <w:tr>
        <w:tc>
          <w:tcPr>
            <w:tcMar>
              <w:top w:type="dxa" w:w="80"/>
              <w:left w:type="dxa" w:w="100"/>
              <w:bottom w:type="dxa" w:w="80"/>
              <w:right w:type="dxa" w:w="100"/>
            </w:tcMar>
            <w:vAlign w:val="center"/>
          </w:tcPr>
          <w:p>
            <w:r>
              <w:rPr>
                <w:b w:val="false"/>
                <w:bCs w:val="false"/>
                <w:sz w:val="20"/>
                <w:szCs w:val="20"/>
              </w:rPr>
              <w:t xml:space="preserve">Phase 3</w:t>
            </w:r>
          </w:p>
        </w:tc>
        <w:tc>
          <w:tcPr>
            <w:tcMar>
              <w:top w:type="dxa" w:w="80"/>
              <w:left w:type="dxa" w:w="100"/>
              <w:bottom w:type="dxa" w:w="80"/>
              <w:right w:type="dxa" w:w="100"/>
            </w:tcMar>
            <w:vAlign w:val="center"/>
          </w:tcPr>
          <w:p>
            <w:r>
              <w:rPr>
                <w:b w:val="false"/>
                <w:bCs w:val="false"/>
                <w:sz w:val="20"/>
                <w:szCs w:val="20"/>
              </w:rPr>
              <w:t xml:space="preserve">Feature 6.4 dashboard, Feature 6.5 sponsorship governance</w:t>
            </w:r>
          </w:p>
        </w:tc>
        <w:tc>
          <w:tcPr>
            <w:tcMar>
              <w:top w:type="dxa" w:w="80"/>
              <w:left w:type="dxa" w:w="100"/>
              <w:bottom w:type="dxa" w:w="80"/>
              <w:right w:type="dxa" w:w="100"/>
            </w:tcMar>
            <w:vAlign w:val="center"/>
          </w:tcPr>
          <w:p>
            <w:r>
              <w:rPr>
                <w:b w:val="false"/>
                <w:bCs w:val="false"/>
                <w:sz w:val="20"/>
                <w:szCs w:val="20"/>
              </w:rPr>
              <w:t xml:space="preserve">Legal sign-off on sponsorship ranking policy and expert-data sourcing (R-2, R-3) obtained before public launch.</w:t>
            </w:r>
          </w:p>
        </w:tc>
      </w:tr>
      <w:tr>
        <w:tc>
          <w:tcPr>
            <w:tcMar>
              <w:top w:type="dxa" w:w="80"/>
              <w:left w:type="dxa" w:w="100"/>
              <w:bottom w:type="dxa" w:w="80"/>
              <w:right w:type="dxa" w:w="100"/>
            </w:tcMar>
            <w:vAlign w:val="center"/>
          </w:tcPr>
          <w:p>
            <w:r>
              <w:rPr>
                <w:b w:val="false"/>
                <w:bCs w:val="false"/>
                <w:sz w:val="20"/>
                <w:szCs w:val="20"/>
              </w:rPr>
              <w:t xml:space="preserve">Phase 4 (GA)</w:t>
            </w:r>
          </w:p>
        </w:tc>
        <w:tc>
          <w:tcPr>
            <w:tcMar>
              <w:top w:type="dxa" w:w="80"/>
              <w:left w:type="dxa" w:w="100"/>
              <w:bottom w:type="dxa" w:w="80"/>
              <w:right w:type="dxa" w:w="100"/>
            </w:tcMar>
            <w:vAlign w:val="center"/>
          </w:tcPr>
          <w:p>
            <w:r>
              <w:rPr>
                <w:b w:val="false"/>
                <w:bCs w:val="false"/>
                <w:sz w:val="20"/>
                <w:szCs w:val="20"/>
              </w:rPr>
              <w:t xml:space="preserve">Public launch; KPI dashboards live</w:t>
            </w:r>
          </w:p>
        </w:tc>
        <w:tc>
          <w:tcPr>
            <w:tcMar>
              <w:top w:type="dxa" w:w="80"/>
              <w:left w:type="dxa" w:w="100"/>
              <w:bottom w:type="dxa" w:w="80"/>
              <w:right w:type="dxa" w:w="100"/>
            </w:tcMar>
            <w:vAlign w:val="center"/>
          </w:tcPr>
          <w:p>
            <w:r>
              <w:rPr>
                <w:b w:val="false"/>
                <w:bCs w:val="false"/>
                <w:sz w:val="20"/>
                <w:szCs w:val="20"/>
              </w:rPr>
              <w:t xml:space="preserve">Section 9 KPIs instrumented and reporting for at least one full week pre-launch (soft launch).</w:t>
            </w:r>
          </w:p>
        </w:tc>
      </w:tr>
    </w:tbl>
    <w:p>
      <w:pPr>
        <w:pStyle w:val="Heading1"/>
        <w:spacing w:after="200" w:before="400"/>
      </w:pPr>
      <w:r>
        <w:rPr>
          <w:b/>
          <w:bCs/>
          <w:color w:val="1F3864"/>
        </w:rPr>
        <w:t xml:space="preserve">13. Appendix</w:t>
      </w:r>
    </w:p>
    <w:p>
      <w:pPr>
        <w:pStyle w:val="Heading2"/>
        <w:spacing w:after="150" w:before="300"/>
      </w:pPr>
      <w:r>
        <w:rPr>
          <w:b/>
          <w:bCs/>
          <w:color w:val="2E74B5"/>
        </w:rPr>
        <w:t xml:space="preserve">13.1 Context JSON Schema (reference)</w:t>
      </w:r>
    </w:p>
    <w:p>
      <w:pPr>
        <w:spacing w:after="120"/>
      </w:pPr>
      <w:r>
        <w:t xml:space="preserve">See Section 7.1 for the canonical example. Fields are session-scoped and must validate against a shared schema before being passed to the recommendation engine.</w:t>
      </w:r>
    </w:p>
    <w:p>
      <w:pPr>
        <w:pStyle w:val="Heading2"/>
        <w:spacing w:after="150" w:before="300"/>
      </w:pPr>
      <w:r>
        <w:rPr>
          <w:b/>
          <w:bCs/>
          <w:color w:val="2E74B5"/>
        </w:rPr>
        <w:t xml:space="preserve">13.2 Glossary</w:t>
      </w:r>
    </w:p>
    <w:p>
      <w:pPr>
        <w:pStyle w:val="ListParagraph"/>
        <w:numPr>
          <w:ilvl w:val="0"/>
          <w:numId w:val="2"/>
        </w:numPr>
        <w:spacing w:after="60"/>
      </w:pPr>
      <w:r>
        <w:t xml:space="preserve">Blueprint: the final, data-backed recommendation set shown on the dashboard (Feature 6.4).</w:t>
      </w:r>
    </w:p>
    <w:p>
      <w:pPr>
        <w:pStyle w:val="ListParagraph"/>
        <w:numPr>
          <w:ilvl w:val="0"/>
          <w:numId w:val="2"/>
        </w:numPr>
        <w:spacing w:after="60"/>
      </w:pPr>
      <w:r>
        <w:t xml:space="preserve">Node: a single AI-generated recommendation or clarifying step on the canvas (Feature 6.3).</w:t>
      </w:r>
    </w:p>
    <w:p>
      <w:pPr>
        <w:pStyle w:val="ListParagraph"/>
        <w:numPr>
          <w:ilvl w:val="0"/>
          <w:numId w:val="2"/>
        </w:numPr>
        <w:spacing w:after="60"/>
      </w:pPr>
      <w:r>
        <w:t xml:space="preserve">Match Score: algorithmic fit score between a recommendation and the user’s stated constraints.</w:t>
      </w:r>
    </w:p>
    <w:p>
      <w:pPr>
        <w:pStyle w:val="ListParagraph"/>
        <w:numPr>
          <w:ilvl w:val="0"/>
          <w:numId w:val="2"/>
        </w:numPr>
        <w:spacing w:after="60"/>
      </w:pPr>
      <w:r>
        <w:t xml:space="preserve">Lookalike cohort: prior users/teams with similar scale/constraints, used to compute peer-outcome charts.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CanvasRx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2026-07-14T16:40:31.592Z</dcterms:created>
  <dcterms:modified xsi:type="dcterms:W3CDTF">2026-07-14T16:40:31.608Z</dcterms:modified>
</cp:coreProperties>
</file>

<file path=docProps/custom.xml><?xml version="1.0" encoding="utf-8"?>
<Properties xmlns="http://schemas.openxmlformats.org/officeDocument/2006/custom-properties" xmlns:vt="http://schemas.openxmlformats.org/officeDocument/2006/docPropsVTypes"/>
</file>