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F4E79"/>
          <w:sz w:val="34"/>
        </w:rPr>
        <w:t>2020年高教社杯全国大学生数学建模竞赛</w:t>
        <w:br/>
        <w:t>B题《穿越沙漠》</w:t>
      </w:r>
    </w:p>
    <w:p>
      <w:pPr>
        <w:spacing w:before="600"/>
        <w:jc w:val="center"/>
      </w:pPr>
      <w:r>
        <w:rPr>
          <w:rFonts w:ascii="Noto Sans CJK SC" w:hAnsi="Noto Sans CJK SC" w:eastAsia="Noto Sans CJK SC"/>
          <w:b/>
          <w:color w:val="17365D"/>
          <w:sz w:val="52"/>
        </w:rPr>
        <w:t>第二问建模与求解修正说明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color w:val="44546A"/>
          <w:sz w:val="26"/>
        </w:rPr>
        <w:t>给论文手使用：原方案—编码问题—最终修改—论文替换口径</w:t>
      </w:r>
    </w:p>
    <w:p>
      <w:pPr>
        <w:spacing w:before="1000"/>
        <w:jc w:val="center"/>
      </w:pPr>
      <w:r>
        <w:rPr>
          <w:rFonts w:ascii="Noto Sans CJK SC" w:hAnsi="Noto Sans CJK SC" w:eastAsia="Noto Sans CJK SC"/>
          <w:sz w:val="21"/>
        </w:rPr>
        <w:t>V1.0｜2026-08-17</w:t>
      </w:r>
    </w:p>
    <w:p>
      <w:pPr>
        <w:pStyle w:val="NoteBox"/>
        <w:jc w:val="center"/>
        <w:shd w:fill="FFF2CC"/>
      </w:pPr>
      <w:r>
        <w:rPr>
          <w:color w:val="6E2D14"/>
        </w:rPr>
        <w:t>本文件不是第二问全文，而是“论文手必须同步修改”的差异清单。优先级：第四关求解口径 &gt; 第三关主求解器 &gt; Q4 Regret/名义MDP表述 &gt; 灵敏度与对比结果。</w:t>
      </w:r>
    </w:p>
    <w:p>
      <w:r>
        <w:br w:type="page"/>
      </w:r>
    </w:p>
    <w:p>
      <w:pPr>
        <w:pStyle w:val="Heading1"/>
      </w:pPr>
      <w:r>
        <w:t>1. 一页总览：哪些地方发生了实质变化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6"/>
        <w:gridCol w:w="3296"/>
        <w:gridCol w:w="3296"/>
      </w:tblGrid>
      <w:tr>
        <w:trPr>
          <w:tblHeader w:val="true"/>
        </w:trPr>
        <w:tc>
          <w:tcPr>
            <w:tcW w:type="dxa" w:w="311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原建模手册表述</w:t>
            </w:r>
          </w:p>
        </w:tc>
        <w:tc>
          <w:tcPr>
            <w:tcW w:type="dxa" w:w="3515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编码后最终状态</w:t>
            </w:r>
          </w:p>
        </w:tc>
        <w:tc>
          <w:tcPr>
            <w:tcW w:type="dxa" w:w="3515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论文必须怎样改</w:t>
            </w:r>
          </w:p>
        </w:tc>
      </w:tr>
      <w:tr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第三关以自适应鲁棒DP为主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主求解改为非前视天气情景树MILP；DP用于独立验证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正文“求解方法”写MILP/HiGHS；DP放模型检验</w:t>
            </w:r>
          </w:p>
        </w:tc>
      </w:tr>
      <w:tr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第四关完整带Γ鲁棒DP直接求策略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完整求解器已实现但全规模初购搜索过慢，未进入最终run.py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把完整鲁棒DP写为理论扩展/实现；最终数值结果明确来自Γ安全下界策略</w:t>
            </w:r>
          </w:p>
        </w:tc>
      </w:tr>
      <w:tr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第四关计划对名义MDP做对比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NominalMDP已实现和单测，但最终主流程未调用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删除“已完成名义MDP数值对比”的结果表述</w:t>
            </w:r>
          </w:p>
        </w:tc>
      </w:tr>
      <w:tr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第四关计划用含村庄Oracle算Regret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Q4 Oracle已实现但run.py未调用；现有_Regret基准是简化上界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Q4的Regret改称“参考Regret/相对简化全信息上界差距”</w:t>
            </w:r>
          </w:p>
        </w:tc>
      </w:tr>
      <w:tr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灵敏度只强调Γ/天气概率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新增M、C0、R、T共16个扰动点及稳定区识别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论文增加参数灵敏度小节，并解释“不敏感”的结构原因</w:t>
            </w:r>
          </w:p>
        </w:tc>
      </w:tr>
      <w:tr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基线较少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最终4策略：Γ=6安全下界、高安全、Q1固定、Γ=2低保护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对比表以这4类为准</w:t>
            </w:r>
          </w:p>
        </w:tc>
      </w:tr>
    </w:tbl>
    <w:p>
      <w:pPr>
        <w:spacing w:after="40"/>
      </w:pPr>
    </w:p>
    <w:p>
      <w:pPr>
        <w:pStyle w:val="Heading1"/>
      </w:pPr>
      <w:r>
        <w:t>2. 第三关修正：主求解器从“DP主模型”改为“情景树MILP主模型 + DP验证”</w:t>
      </w:r>
    </w:p>
    <w:p>
      <w:pPr>
        <w:pStyle w:val="Heading2"/>
      </w:pPr>
      <w:r>
        <w:t>2.1 为什么改</w:t>
      </w:r>
    </w:p>
    <w:p>
      <w:pPr>
        <w:ind w:firstLine="420"/>
      </w:pPr>
      <w:r>
        <w:t>第三关只有10天且无沙暴，完整天气情景仅1024条。将情景树整体展开后，非前视约束可以直接写成线性等式，SciPy/HiGHS能够给出MIP gap=0的全局最优结果；这比只依赖递归DP更容易向评委展示“全局最优 + 独立交叉验证”的证据链。</w:t>
      </w:r>
    </w:p>
    <w:p>
      <w:pPr>
        <w:pStyle w:val="Heading2"/>
      </w:pPr>
      <w:r>
        <w:t>2.2 论文中的核心公式</w:t>
      </w:r>
    </w:p>
    <w:p>
      <w:pPr>
        <w:pStyle w:val="Formula"/>
        <w:jc w:val="center"/>
        <w:shd w:fill="F7F9FC"/>
      </w:pPr>
      <w:r>
        <w:rPr>
          <w:rFonts w:ascii="Cambria Math" w:hAnsi="Cambria Math"/>
          <w:sz w:val="21"/>
        </w:rPr>
        <w:t>max z,    z ≤ Z_ξ  (∀ξ∈Ω₃),    Ω₃={S,H}^{10}</w:t>
      </w:r>
    </w:p>
    <w:p>
      <w:pPr>
        <w:pStyle w:val="Formula"/>
        <w:jc w:val="center"/>
        <w:shd w:fill="F7F9FC"/>
      </w:pPr>
      <w:r>
        <w:rPr>
          <w:rFonts w:ascii="Cambria Math" w:hAnsi="Cambria Math"/>
          <w:sz w:val="21"/>
        </w:rPr>
        <w:t>history_t(ξ)=history_t(ξ′) ⇒ a_t^ξ=a_t^{ξ′}</w:t>
      </w:r>
    </w:p>
    <w:p>
      <w:pPr>
        <w:ind w:firstLine="420"/>
      </w:pPr>
      <w:r>
        <w:t>上述第一式把最坏情景终端财富作为目标，第二式保证同一可见历史下动作相同，从根本上避免“代码偷看未来天气”。</w:t>
      </w:r>
    </w:p>
    <w:p>
      <w:pPr>
        <w:pStyle w:val="Heading2"/>
      </w:pPr>
      <w:r>
        <w:t>2.3 最终真实结果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3"/>
        <w:gridCol w:w="4943"/>
      </w:tblGrid>
      <w:tr>
        <w:trPr>
          <w:tblHeader w:val="true"/>
        </w:trPr>
        <w:tc>
          <w:tcPr>
            <w:tcW w:type="dxa" w:w="2835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指标</w:t>
            </w:r>
          </w:p>
        </w:tc>
        <w:tc>
          <w:tcPr>
            <w:tcW w:type="dxa" w:w="623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结果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初购</w:t>
            </w:r>
          </w:p>
        </w:tc>
        <w:tc>
          <w:tcPr>
            <w:tcW w:type="dxa" w:w="62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水54、食物54；初购后现金9190元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情景</w:t>
            </w:r>
          </w:p>
        </w:tc>
        <w:tc>
          <w:tcPr>
            <w:tcW w:type="dxa" w:w="62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1024/1024成功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最坏财富</w:t>
            </w:r>
          </w:p>
        </w:tc>
        <w:tc>
          <w:tcPr>
            <w:tcW w:type="dxa" w:w="62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9190元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平均财富</w:t>
            </w:r>
          </w:p>
        </w:tc>
        <w:tc>
          <w:tcPr>
            <w:tcW w:type="dxa" w:w="62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9310元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Q05</w:t>
            </w:r>
          </w:p>
        </w:tc>
        <w:tc>
          <w:tcPr>
            <w:tcW w:type="dxa" w:w="62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9190元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平均Regret</w:t>
            </w:r>
          </w:p>
        </w:tc>
        <w:tc>
          <w:tcPr>
            <w:tcW w:type="dxa" w:w="62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134.45元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最大Regret</w:t>
            </w:r>
          </w:p>
        </w:tc>
        <w:tc>
          <w:tcPr>
            <w:tcW w:type="dxa" w:w="62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240元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MIP gap</w:t>
            </w:r>
          </w:p>
        </w:tc>
        <w:tc>
          <w:tcPr>
            <w:tcW w:type="dxa" w:w="62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0.0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DP交叉验证</w:t>
            </w:r>
          </w:p>
        </w:tc>
        <w:tc>
          <w:tcPr>
            <w:tcW w:type="dxa" w:w="62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9190=9190，差异0</w:t>
            </w:r>
          </w:p>
        </w:tc>
      </w:tr>
    </w:tbl>
    <w:p>
      <w:pPr>
        <w:spacing w:after="40"/>
      </w:pPr>
    </w:p>
    <w:p>
      <w:pPr>
        <w:pStyle w:val="NoteBox"/>
        <w:shd w:fill="FFF2CC"/>
      </w:pPr>
      <w:r>
        <w:t>注意：改造说明中“最坏情景”的手工逐日示例存在核算矛盾，正式论文不要引用该示例；只使用求解摘要、1024情景CSV和策略树自动输出。</w:t>
      </w:r>
    </w:p>
    <w:p>
      <w:pPr>
        <w:pStyle w:val="Heading1"/>
      </w:pPr>
      <w:r>
        <w:t>3. 第四关修正：最重要的论文口径变化</w:t>
      </w:r>
    </w:p>
    <w:p>
      <w:pPr>
        <w:pStyle w:val="Heading2"/>
      </w:pPr>
      <w:r>
        <w:t>3.1 理论模型没有被否定，但最终数值求解口径改变</w:t>
      </w:r>
    </w:p>
    <w:p>
      <w:pPr>
        <w:ind w:firstLine="420"/>
      </w:pPr>
      <w:r>
        <w:t>原方案的带Γ鲁棒Bellman仍然合理，而且AdaptiveBudgetRobustSolver已完成实现、加入Pareto/时间下界/收益上界并通过测试。问题出在全规模初购搜索：源码估算step=10约14小时、step=1约58天，因此它没有进入最终run.py主流程。比赛论文必须忠实写成“理论上建立完整鲁棒DP；最终大规模算例采用可证明的Γ安全下界策略进行数值求解与验证”。</w:t>
      </w:r>
    </w:p>
    <w:p>
      <w:pPr>
        <w:pStyle w:val="Formula"/>
        <w:jc w:val="center"/>
        <w:shd w:fill="F7F9FC"/>
      </w:pPr>
      <w:r>
        <w:rPr>
          <w:rFonts w:ascii="Cambria Math" w:hAnsi="Cambria Math"/>
          <w:sz w:val="21"/>
        </w:rPr>
        <w:t>V_t(s,ω,b)=max_a min_{ω'∈W(b)} V_{t+1}(T(s,a,ω),ω',b-1[ω'=X])</w:t>
      </w:r>
    </w:p>
    <w:p>
      <w:pPr>
        <w:pStyle w:val="NoteBox"/>
        <w:shd w:fill="FFF2CC"/>
      </w:pPr>
      <w:r>
        <w:t>这条公式可以保留在“模型建立”中；但其后的数值结果表不能写成“由该完整DP求得的全局最优值”。</w:t>
      </w:r>
    </w:p>
    <w:p>
      <w:pPr>
        <w:pStyle w:val="Heading2"/>
      </w:pPr>
      <w:r>
        <w:t>3.2 最终数值主策略是什么</w:t>
      </w:r>
    </w:p>
    <w:p>
      <w:pPr>
        <w:ind w:firstLine="420"/>
      </w:pPr>
      <w:r>
        <w:t>对每个Γ构造安全下界：起点购买足以覆盖最短路线移动消耗和Γ次沙暴停留的资源；沙暴日停留，非沙暴沿BFS最短路推进。另加入更保守的HighSafetyPlan作为对照。该策略给出的是“保证可行与保证财富下界”，而不是完整决策空间的全局最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</w:tblGrid>
      <w:tr>
        <w:trPr>
          <w:tblHeader w:val="true"/>
        </w:trPr>
        <w:tc>
          <w:tcPr>
            <w:tcW w:type="dxa" w:w="113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Γ</w:t>
            </w:r>
          </w:p>
        </w:tc>
        <w:tc>
          <w:tcPr>
            <w:tcW w:type="dxa" w:w="226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初购水/食</w:t>
            </w:r>
          </w:p>
        </w:tc>
        <w:tc>
          <w:tcPr>
            <w:tcW w:type="dxa" w:w="2835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保证财富下界</w:t>
            </w:r>
          </w:p>
        </w:tc>
        <w:tc>
          <w:tcPr>
            <w:tcW w:type="dxa" w:w="2835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最迟保证到达日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144/144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7840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8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154/154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7690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9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164/164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7540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10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3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174/174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7390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11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4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184/184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7240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12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5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194/194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7090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13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6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204/204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6940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14</w:t>
            </w:r>
          </w:p>
        </w:tc>
      </w:tr>
    </w:tbl>
    <w:p>
      <w:pPr>
        <w:spacing w:after="40"/>
      </w:pPr>
    </w:p>
    <w:p>
      <w:pPr>
        <w:ind w:firstLine="420"/>
      </w:pPr>
      <w:r>
        <w:t>稳定区识别：Γ=0~6每个区间长度均为1，即初购随Γ逐级变化，说明当前安全下界对Γ敏感。论文应报告这一现象，而不是强行写“策略在较宽区间稳定”。</w:t>
      </w:r>
    </w:p>
    <w:p>
      <w:pPr>
        <w:pStyle w:val="Heading1"/>
      </w:pPr>
      <w:r>
        <w:t>4. 第四关模型检验与对比：最终可以写哪些结果</w:t>
      </w:r>
    </w:p>
    <w:p>
      <w:pPr>
        <w:ind w:firstLine="420"/>
      </w:pPr>
      <w:r>
        <w:t>最终Monte Carlo使用题内30日天气估计的Markov转移矩阵，仅作为评价分布；样本数10000，随机种子20200816。四个实际运行策略如下。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2"/>
        <w:gridCol w:w="1412"/>
        <w:gridCol w:w="1412"/>
        <w:gridCol w:w="1412"/>
        <w:gridCol w:w="1412"/>
        <w:gridCol w:w="1412"/>
        <w:gridCol w:w="1412"/>
      </w:tblGrid>
      <w:tr>
        <w:trPr>
          <w:tblHeader w:val="true"/>
        </w:trPr>
        <w:tc>
          <w:tcPr>
            <w:tcW w:type="dxa" w:w="226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策略</w:t>
            </w:r>
          </w:p>
        </w:tc>
        <w:tc>
          <w:tcPr>
            <w:tcW w:type="dxa" w:w="1247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成功率</w:t>
            </w:r>
          </w:p>
        </w:tc>
        <w:tc>
          <w:tcPr>
            <w:tcW w:type="dxa" w:w="170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平均财富</w:t>
            </w:r>
          </w:p>
        </w:tc>
        <w:tc>
          <w:tcPr>
            <w:tcW w:type="dxa" w:w="1247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Q05</w:t>
            </w:r>
          </w:p>
        </w:tc>
        <w:tc>
          <w:tcPr>
            <w:tcW w:type="dxa" w:w="1417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最坏财富</w:t>
            </w:r>
          </w:p>
        </w:tc>
        <w:tc>
          <w:tcPr>
            <w:tcW w:type="dxa" w:w="181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参考Regret均值</w:t>
            </w:r>
          </w:p>
        </w:tc>
        <w:tc>
          <w:tcPr>
            <w:tcW w:type="dxa" w:w="1417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平均到达日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Γ=6安全下界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98.84%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7489.81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7250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6940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549.81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10.01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Γ=6高安全基线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98.84%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7264.81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7025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6715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774.81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10.01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第一问固定方案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56.87%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8127.39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8020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8020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107.39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9.38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Γ=2低保护方案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66.38%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7850.86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7695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7540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310.86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9.17</w:t>
            </w:r>
          </w:p>
        </w:tc>
      </w:tr>
    </w:tbl>
    <w:p>
      <w:pPr>
        <w:spacing w:after="40"/>
      </w:pPr>
    </w:p>
    <w:p>
      <w:pPr>
        <w:ind w:left="312" w:hanging="159"/>
      </w:pPr>
      <w:r>
        <w:rPr>
          <w:b/>
        </w:rPr>
        <w:t xml:space="preserve">• </w:t>
      </w:r>
      <w:r>
        <w:t>安全下界相对第一问固定：成功率+约42个百分点，平均财富-约640元，典型“安全换收益”。</w:t>
      </w:r>
    </w:p>
    <w:p>
      <w:pPr>
        <w:ind w:left="312" w:hanging="159"/>
      </w:pPr>
      <w:r>
        <w:rPr>
          <w:b/>
        </w:rPr>
        <w:t xml:space="preserve">• </w:t>
      </w:r>
      <w:r>
        <w:t>安全下界相对高安全：成功率相同，平均财富高约225元，证明不是简单“买得越多越好”。</w:t>
      </w:r>
    </w:p>
    <w:p>
      <w:pPr>
        <w:ind w:left="312" w:hanging="159"/>
      </w:pPr>
      <w:r>
        <w:rPr>
          <w:b/>
        </w:rPr>
        <w:t xml:space="preserve">• </w:t>
      </w:r>
      <w:r>
        <w:t>低保护成功率66.38%高于第一问固定56.87%，但远低于安全下界98.84%。源说明中的“66.38%更低于56.87%”是文字错误，论文以表格数值为准。</w:t>
      </w:r>
    </w:p>
    <w:p>
      <w:pPr>
        <w:pStyle w:val="NoteBox"/>
        <w:shd w:fill="FFF2CC"/>
      </w:pPr>
      <w:r>
        <w:t>Q4 Regret口径：当前run.py没有调用含村庄solve_oracle_q4，故现有“Regret”实际基于简化全信息上界。论文建议改名为“参考Regret”或“与简化全信息上界的收益差距”。如果要写“严格Oracle Regret”，必须先把Q4完整Oracle实际接入并重跑。</w:t>
      </w:r>
    </w:p>
    <w:p>
      <w:pPr>
        <w:pStyle w:val="Heading1"/>
      </w:pPr>
      <w:r>
        <w:t>5. 编码过程中发现并修复的四个关键逻辑问题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</w:tblGrid>
      <w:tr>
        <w:trPr>
          <w:tblHeader w:val="true"/>
        </w:trPr>
        <w:tc>
          <w:tcPr>
            <w:tcW w:type="dxa" w:w="243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问题</w:t>
            </w:r>
          </w:p>
        </w:tc>
        <w:tc>
          <w:tcPr>
            <w:tcW w:type="dxa" w:w="243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错误后果</w:t>
            </w:r>
          </w:p>
        </w:tc>
        <w:tc>
          <w:tcPr>
            <w:tcW w:type="dxa" w:w="306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最终修复</w:t>
            </w:r>
          </w:p>
        </w:tc>
        <w:tc>
          <w:tcPr>
            <w:tcW w:type="dxa" w:w="226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论文是否需要写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时间下界未区分今天能否移动</w:t>
            </w:r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沙暴日可能误删可行状态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today_can_move + future_moves分开计算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可写为算法剪枝改进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storm_budget含义在递归前后混淆</w:t>
            </w:r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预算传递错误、路径不可达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区分当前预算和future_storm_budget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可在算法实现说明中简述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b=0仍允许当前沙暴</w:t>
            </w:r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非法状态导致NEG_INF传播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入口一致性检查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无需正文展开，可放附录/代码验证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Markov权重在b=0未条件化</w:t>
            </w:r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名义值出现数学反常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在{晴,高}子集重新归一化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建议写，说明概率处理严谨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6. 灵敏度分析：最终实际完成的内容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</w:tblGrid>
      <w:tr>
        <w:trPr>
          <w:tblHeader w:val="true"/>
        </w:trPr>
        <w:tc>
          <w:tcPr>
            <w:tcW w:type="dxa" w:w="1247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因素</w:t>
            </w:r>
          </w:p>
        </w:tc>
        <w:tc>
          <w:tcPr>
            <w:tcW w:type="dxa" w:w="170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扫描</w:t>
            </w:r>
          </w:p>
        </w:tc>
        <w:tc>
          <w:tcPr>
            <w:tcW w:type="dxa" w:w="2835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实际结论</w:t>
            </w:r>
          </w:p>
        </w:tc>
        <w:tc>
          <w:tcPr>
            <w:tcW w:type="dxa" w:w="3969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论文写法边界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Γ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0~6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每+1Γ，初购+10水/+10食，财富下界-150，最迟到达+1天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说明当前安全下界对Γ敏感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M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±5%、±10%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结果不变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仅说明当前库存未触发容量阈值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C0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±5%、±10%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成功率不变，财富线性平移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额外资金未改变策略结构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±5%、±10%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结果不变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因为最终安全基线不挖矿，不能推广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±1、±2天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成功率/财富轻微变化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T=30附近有一定时间冗余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沙暴概率倍率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0.7~1.3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成功率99.76%降至96.70%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属于评价分布敏感性，不是主模型概率参数</w:t>
            </w:r>
          </w:p>
        </w:tc>
      </w:tr>
    </w:tbl>
    <w:p>
      <w:pPr>
        <w:spacing w:after="40"/>
      </w:pPr>
    </w:p>
    <w:p>
      <w:pPr>
        <w:pStyle w:val="Heading1"/>
      </w:pPr>
      <w:r>
        <w:t>7. 论文手“替换句”清单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3"/>
        <w:gridCol w:w="4943"/>
      </w:tblGrid>
      <w:tr>
        <w:trPr>
          <w:tblHeader w:val="true"/>
        </w:trPr>
        <w:tc>
          <w:tcPr>
            <w:tcW w:type="dxa" w:w="3969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若原稿中出现</w:t>
            </w:r>
          </w:p>
        </w:tc>
        <w:tc>
          <w:tcPr>
            <w:tcW w:type="dxa" w:w="5669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请替换为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“第三关采用自适应鲁棒动态规划求得全局最优策略。”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“第三关将1024种允许天气展开为非前视情景树MILP，以最坏终端财富最大为目标，通过HiGHS得到MIP gap=0的全局最优解，并用独立鲁棒DP交叉验证。”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“第四关采用带Γ的鲁棒动态规划得到最优策略。”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“第四关建立带Γ的预算鲁棒动态规划作为理论决策框架；考虑全规模初购搜索的计算复杂度，算例求解采用同一Γ语义下的安全下界策略，并通过随机情景、基线对比和灵敏度分析评价其性能。”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“第四关与Markov-MDP对比验证。”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“第四关采用题内天气估计的一阶Markov模型生成Monte Carlo评价样本，并与高安全库存、第一问固定方案和低保护方案进行对比。”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“第四关平均Oracle Regret为549.81元。”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“第四关相对当前简化全信息上界的平均参考差距为549.81元；严格含村庄Oracle尚未接入最终主流程。”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“R变化对结果无影响，说明挖矿收益不重要。”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“在当前不挖矿的安全下界策略下，R的局部扰动不改变结果，因此该灵敏度反映的是策略结构而非矿山收益的一般无关性。”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8. 最终可信数字 vs 暂不能写的数字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3"/>
        <w:gridCol w:w="4943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可以直接写入论文</w:t>
            </w:r>
          </w:p>
        </w:tc>
        <w:tc>
          <w:tcPr>
            <w:tcW w:type="dxa" w:w="4819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暂不能这样写</w:t>
            </w:r>
          </w:p>
        </w:tc>
      </w:tr>
      <w:t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Q3：54/54；9190；1024/1024；Mean=9310；Mean Regret=134.45；MILP=DP=9190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不要引用改造说明中那段自相矛盾的“最坏情景逐日手算”</w:t>
            </w:r>
          </w:p>
        </w:tc>
      </w:tr>
      <w:t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Q4：Γ安全下界表0~6；Γ=6 Success=98.84%，Mean=7489.81，Q05=7250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不要称这些数值为“完整AdaptiveBudgetRobustSolver全局最优结果”</w:t>
            </w:r>
          </w:p>
        </w:tc>
      </w:tr>
      <w:t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Q4：四策略对比表、高安全基线、M/C0/R/T灵敏度、沙暴概率倍率灵敏度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不要写“NominalMDP数值结果”——实现了但未集成</w:t>
            </w:r>
          </w:p>
        </w:tc>
      </w:tr>
      <w:t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51个单元测试通过；Q3 MIP gap=0；Q3 DP交叉差异0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不要写“Q4严格Oracle Regret已完成”——Q4完整Oracle未接入主流程</w:t>
            </w:r>
          </w:p>
        </w:tc>
      </w:tr>
    </w:tbl>
    <w:p>
      <w:pPr>
        <w:spacing w:after="40"/>
      </w:pPr>
    </w:p>
    <w:p>
      <w:pPr>
        <w:pStyle w:val="Heading1"/>
      </w:pPr>
      <w:r>
        <w:t>9. 建议论文结构（第二问部分）</w:t>
      </w:r>
    </w:p>
    <w:p>
      <w:pPr>
        <w:ind w:left="312" w:hanging="312"/>
      </w:pPr>
      <w:r>
        <w:rPr>
          <w:b/>
        </w:rPr>
        <w:t xml:space="preserve">1. </w:t>
      </w:r>
      <w:r>
        <w:t>问题分析：强调非前视信息约束；第三关可完整情景展开，第四关存在“较少沙暴”的不可辨识性。</w:t>
      </w:r>
    </w:p>
    <w:p>
      <w:pPr>
        <w:ind w:left="312" w:hanging="312"/>
      </w:pPr>
      <w:r>
        <w:rPr>
          <w:b/>
        </w:rPr>
        <w:t xml:space="preserve">2. </w:t>
      </w:r>
      <w:r>
        <w:t>第三关模型：情景树MILP、非前视约束、max-min目标、资源与行动约束。</w:t>
      </w:r>
    </w:p>
    <w:p>
      <w:pPr>
        <w:ind w:left="312" w:hanging="312"/>
      </w:pPr>
      <w:r>
        <w:rPr>
          <w:b/>
        </w:rPr>
        <w:t xml:space="preserve">3. </w:t>
      </w:r>
      <w:r>
        <w:t>第三关求解与验证：HiGHS、1024全情景、DP交叉、Oracle Regret。</w:t>
      </w:r>
    </w:p>
    <w:p>
      <w:pPr>
        <w:ind w:left="312" w:hanging="312"/>
      </w:pPr>
      <w:r>
        <w:rPr>
          <w:b/>
        </w:rPr>
        <w:t xml:space="preserve">4. </w:t>
      </w:r>
      <w:r>
        <w:t>第四关模型：Γ预算不确定集与完整鲁棒Bellman作为理论框架。</w:t>
      </w:r>
    </w:p>
    <w:p>
      <w:pPr>
        <w:ind w:left="312" w:hanging="312"/>
      </w:pPr>
      <w:r>
        <w:rPr>
          <w:b/>
        </w:rPr>
        <w:t xml:space="preserve">5. </w:t>
      </w:r>
      <w:r>
        <w:t>第四关实际求解：解释计算复杂度，给出Γ安全下界策略与高安全基线。</w:t>
      </w:r>
    </w:p>
    <w:p>
      <w:pPr>
        <w:ind w:left="312" w:hanging="312"/>
      </w:pPr>
      <w:r>
        <w:rPr>
          <w:b/>
        </w:rPr>
        <w:t xml:space="preserve">6. </w:t>
      </w:r>
      <w:r>
        <w:t>第四关随机评价：Markov天气生成、10000 Monte Carlo、四策略对比。</w:t>
      </w:r>
    </w:p>
    <w:p>
      <w:pPr>
        <w:ind w:left="312" w:hanging="312"/>
      </w:pPr>
      <w:r>
        <w:rPr>
          <w:b/>
        </w:rPr>
        <w:t xml:space="preserve">7. </w:t>
      </w:r>
      <w:r>
        <w:t>灵敏度与模型评价：Γ、M、C0、R、T、沙暴概率倍率；明确每个不敏感结论的适用边界。</w:t>
      </w:r>
    </w:p>
    <w:p>
      <w:pPr>
        <w:pStyle w:val="NoteBox"/>
        <w:shd w:fill="FFF2CC"/>
      </w:pPr>
      <w:r>
        <w:t>资料依据：《第二问代码改造详细说明 V1.0》。修正说明的目的不是“美化结果”，而是保证论文陈述与最终实际运行代码一致。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134" w:bottom="1020" w:left="121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E6E6E"/>
        <w:sz w:val="16"/>
      </w:rPr>
      <w:t>2020 B题《穿越沙漠》｜第二问修正部分·论文撰写用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546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8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44546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60" w:after="60"/>
      <w:ind w:left="454" w:right="283"/>
    </w:pPr>
    <w:rPr>
      <w:rFonts w:ascii="Cambria Math" w:hAnsi="Cambria Math"/>
      <w:sz w:val="21"/>
    </w:rPr>
  </w:style>
  <w:style w:type="paragraph" w:customStyle="1" w:styleId="NoteBox">
    <w:name w:val="NoteBox"/>
    <w:pPr>
      <w:spacing w:before="80" w:after="100"/>
      <w:ind w:left="227" w:right="227"/>
    </w:pPr>
    <w:rPr>
      <w:rFonts w:ascii="Noto Sans CJK SC" w:hAnsi="Noto Sans CJK SC" w:eastAsia="Noto Sans CJK S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