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黑体"/>
          <w:b/>
          <w:sz w:val="44"/>
        </w:rPr>
        <w:t>第二问：模型建立与求解及结果分析</w:t>
      </w:r>
    </w:p>
    <w:p>
      <w:pPr>
        <w:jc w:val="center"/>
      </w:pPr>
      <w:r>
        <w:rPr>
          <w:rFonts w:ascii="Times New Roman" w:hAnsi="Times New Roman" w:eastAsia="黑体"/>
          <w:b w:val="0"/>
          <w:color w:val="1F4E79"/>
          <w:sz w:val="24"/>
        </w:rPr>
        <w:t>自适应鲁棒动态规划 · 非前视情景树 · 预算不确定集 · Monte Carlo检验</w:t>
      </w:r>
    </w:p>
    <w:p>
      <w:pPr>
        <w:spacing w:line="360" w:lineRule="auto" w:after="100"/>
        <w:jc w:val="both"/>
      </w:pPr>
      <w:r>
        <w:rPr>
          <w:rFonts w:ascii="Times New Roman" w:hAnsi="Times New Roman" w:eastAsia="宋体"/>
          <w:b w:val="0"/>
          <w:sz w:val="21"/>
        </w:rPr>
        <w:t>本文针对玩家只能获知当天天气、无法预知未来天气的条件，构造有限时域自适应鲁棒动态决策模型。第三关完整处理2¹⁰种无沙暴天气情景；第四关以沙暴预算Γ参数化“较少沙暴”，并用题内30日天气估计的一阶Markov链作样本外评价。全部数值均由正式Python程序运行获得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F4E79"/>
          <w:sz w:val="30"/>
        </w:rPr>
        <w:t>1 针对第二问的模型构建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1.1 建模目标与基本原理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二问的实质不是预测一条未来天气，而是在环境信息逐日揭示时构造可执行的反馈策略。若沿用第一问的固定路线和采购量，便隐含使用了尚未公开的未来天气。因此采用自适应鲁棒动态规划：把一天视为一个阶段，把位置、库存和现金作为状态；玩家观察当天天气后行动，对所有符合题意的未来天气分支取最不利值，再选择使该最不利值最大的行动。Bellman最优性原理保证当前最优决策只需依赖当前状态与后续最优价值。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建模步骤为：地图与参数结构化→统一日内事件顺序→定义状态和合法动作→建立资源及资金转移→构造非前视策略集→第三关完整情景树求解→第四关Γ预算安全策略求解→Markov辅助评价→全情景、压力情景、Oracle-Regret和Monte Carlo联合检验。概率模型只负责评价，不进入鲁棒主目标，避免用29次天气转移样本制造“精确概率已知”的假象。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1.2 状态、决策变量与信息约束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设地图为无向图G=(V,E)，第t日天气ωₜ∈{S,H,X}分别表示晴朗、高温和沙暴。观察天气后的状态为sₜ=(iₜ,Wₜ,Fₜ,Cₜ)，其中iₜ为位置，Wₜ、Fₜ为水和食物箱数，Cₜ为现金。第四关增加剩余沙暴预算bₜ=Γ−qₜ。决策包括移动xₜ,ᵢⱼ、停留yₜ、挖矿mₜ以及购买量bᵂₜ、bᶠₜ。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sₜ=(iₜ,Wₜ,Fₜ,Cₜ),  bₜ=Γ−∑ₖ₌₁ᵗ1(ωₖ=X)                         (1)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在线策略πₜ是可见历史hₜ与当天天气到动作的映射。若两种完整天气在第t日前具有相同可见前缀，则必须采取相同行动，即满足非前视约束，从数学上阻止模型偷看未来。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hₜ(ω)=hₜ(ω′)  ⇒  πₜ(hₜ,ωₜ)=πₜ(hₜ,ω′ₜ)                         (2)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1.3 目标函数与约束体系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玩家在τ≤T日到达终点后立即结束，剩余资源按基准价格一半回收。鲁棒模型在满足非前视性的策略中最大化最坏天气下的终端财富；鲁棒值并列时，再以经验Markov模型的期望财富作字典序判别，不设置主观风险权重。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Z(π,ω)=Cτ+0.5pᵂWτ+0.5pᶠFτ                         (3)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max_{π∈Πᴺᴬ} min_{ω∈Ω} Z(π,ω)                         (4)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每日只能执行移动、停留或挖矿中的一个主动作。令λₜ分别取1、2、3表示三类动作消耗倍率，cᵂ(ωₜ)、cᶠ(ωₜ)为天气基础消耗。第四关村庄按基准价两倍补给，第0日在起点按基准价采购。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Wₜ₊₁=Wₜ+bᵂₜ−λₜcᵂ(ωₜ),   Fₜ₊₁=Fₜ+bᶠₜ−λₜcᶠ(ωₜ)                         (5)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Cₜ₊₁=Cₜ−ρₜ(pᵂbᵂₜ+pᶠbᶠₜ)+R·mₜ,   ρₜ∈{1,2}                         (6)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3Wₜ+2Fₜ≤1200,  Wₜ,Fₜ∈Z₊,  Cₜ≥0                         (7)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∑_{j∈N(iₜ)}xₜ,ᵢₜⱼ+yₜ+mₜ=1                         (8)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若ωₜ=X，所有移动变量为0；只有日初已在矿山才能挖矿，移动到矿山当日不能同时挖矿。到达村庄前的移动消耗必须由移动前库存支付。到达终点后状态吸收，不允许离开终点继续获利。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1.4 第三关：完整情景自适应鲁棒模型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第三关截止期10日且明确无沙暴，故Ω₃={S,H}¹⁰，共1024条完整情景。令Vₜ(s,ω)表示已知第t日天气时，从状态s出发可保证的最大最坏终端财富。当日先选动作，下一日天气随后揭示，得到鲁棒Bellman方程：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Vₜ(s,ω)=max_{a∈A(s,ω)} min_{ω′∈{S,H}} Vₜ₊₁(T(s,a,ω),ω′)                         (9)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程序将递推等价展开为非前视天气情景树混合整数线性规划。相同天气前缀共用状态与动作变量，所有终端叶节点受共同财富下界η约束并最大化η。该形式既保留动态反馈，又可由HiGHS提供MIP gap=0的全局最优性证据。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1.5 第四关：Γ预算不确定集与安全策略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第四关只给出“30日内较少出现沙暴”，无法识别唯一概率。定义预算不确定集Ω₄(Γ)，其中Γ表示30日中允许出现的最大沙暴日数。若剩余预算b&gt;0，下一日允许S、H、X；若b=0，则只允许S、H。理论递推为：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Ω₄(Γ)={ω∈{S,H,X}³⁰:∑ₜ1(ωₜ=X)≤Γ}                         (10)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Vₜ(s,ω,b)=max_{a∈A(s,ω)} min_{ω′∈W(b)}Vₜ₊₁(T(s,a,ω),ω′,b−1(ω′=X))                         (11)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W(b)={S,H,X}, b&gt;0;   W(0)={S,H}                         (12)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30日、村庄购买和矿山收益会造成大规模状态爆炸。当前正式实现先构造可证明安全下界：取起点1至终点25的8步最短路；非沙暴日沿最短路移动，沙暴日停留；按全部非沙暴移动日为高温且恰有Γ个沙暴预购资源。该策略不声称是含村庄和矿山收益的完整全局最优鲁棒前沿，但能严格证明在Ω₄(Γ)内可行。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W₀(Γ)=8×2×max{3,9}+10Γ=144+10Γ                         (13)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F₀(Γ)=8×2×max{4,9}+10Γ=144+10Γ                         (14)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Z̲(Γ)=10000−5W₀(Γ)−10F₀(Γ)=7840−150Γ                         (15)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由8+Γ≤30可保证时限；由3W₀+2F₀≤1200可得Γ≤9，故Γ=0,…,9为负重可行范围。题内历史序列含6个沙暴日，因此选择Γ=6作为主要推荐压力等级。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1.6 Markov辅助模型与评价指标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题内30日天气含晴朗9日、高温15日、沙暴6日，共29次相邻转移。以频数极大似然估计一阶Markov矩阵P̂。该矩阵仅用于生成统一测试集和计算名义指标，不改变鲁棒策略。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P̂=[[2/9,5/9,2/9],[5/14,6/14,3/14],[2/6,3/6,1/6]]                         (16)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SuccessRate=N⁻¹∑ₖ1(Successₖ=1)                         (17)</w:t>
      </w:r>
    </w:p>
    <w:p>
      <w:pPr>
        <w:jc w:val="center"/>
      </w:pPr>
      <w:r>
        <w:rPr>
          <w:rFonts w:ascii="Cambria Math" w:hAnsi="Cambria Math" w:eastAsia="宋体"/>
          <w:b w:val="0"/>
          <w:sz w:val="21"/>
        </w:rPr>
        <w:t>Regretₖ=Z*ₖ−Zπₖ                         (18)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其中Z*ₖ为同一天气下完全信息Oracle财富上界。评价采用成功率、成功样本平均财富、最小财富、5%分位财富、平均到达日和Regret，分别对应可行性、经济性、尾部安全性、时效性和相对信息上界的损失。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F4E79"/>
          <w:sz w:val="30"/>
        </w:rPr>
        <w:t>2 针对第二问的求解方法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2.1 求解工具与算法流程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全部模型用Python实现。NumPy负责矩阵计算和随机数生成；SciPy milp调用HiGHS求解第三关非前视情景树MILP；collections.deque完成BFS；字典和Pareto标签用于状态压缩；独立transition模块统一执行移动、停留、挖矿、购买与终点回收规则。Monte Carlo固定随机种子20200816，保证结果可复现。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第三关步骤为：生成1024个S/H叶情景→按公共前缀构造2046个天气树节点→建立状态、行动和终端下界约束→HiGHS分支定界→检查最优状态与MIP gap→导出在线策略树→逐情景模拟→Oracle DP对照。收敛判据为求解器返回全局最优且MIP gap=0。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四关步骤为：BFS获得8步最短路→扫描Γ并由式(13)—(15)计算采购与保证财富→构造“Γ个沙暴前置、随后全部高温移动”的压力情景→逐日重放→由P̂生成10000组30日天气→同样本比较三种策略→扫描Γ=0,…,9→扰动沙暴概率倍率0.7—1.3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2.2 第三关关键求解结果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4536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结果</w:t>
            </w:r>
          </w:p>
        </w:tc>
      </w:tr>
      <w:tr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初始采购</w:t>
            </w:r>
          </w:p>
        </w:tc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水54箱、食物54箱，采购后现金9190元</w:t>
            </w:r>
          </w:p>
        </w:tc>
      </w:tr>
      <w:tr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鲁棒最坏终端财富</w:t>
            </w:r>
          </w:p>
        </w:tc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9190元</w:t>
            </w:r>
          </w:p>
        </w:tc>
      </w:tr>
      <w:tr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名义Markov期望财富</w:t>
            </w:r>
          </w:p>
        </w:tc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9282.38元</w:t>
            </w:r>
          </w:p>
        </w:tc>
      </w:tr>
      <w:tr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全情景平均财富</w:t>
            </w:r>
          </w:p>
        </w:tc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9310元</w:t>
            </w:r>
          </w:p>
        </w:tc>
      </w:tr>
      <w:tr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5%分位财富</w:t>
            </w:r>
          </w:p>
        </w:tc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9190元</w:t>
            </w:r>
          </w:p>
        </w:tc>
      </w:tr>
      <w:tr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到达日</w:t>
            </w:r>
          </w:p>
        </w:tc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1024个情景均在第3日到达</w:t>
            </w:r>
          </w:p>
        </w:tc>
      </w:tr>
      <w:tr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MILP规模</w:t>
            </w:r>
          </w:p>
        </w:tc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196419变量、94095约束、2046天气树节点</w:t>
            </w:r>
          </w:p>
        </w:tc>
      </w:tr>
      <w:tr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求解状态</w:t>
            </w:r>
          </w:p>
        </w:tc>
        <w:tc>
          <w:tcPr>
            <w:tcW w:type="dxa" w:w="45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HiGHS全局最优，MIP gap=0</w:t>
            </w:r>
          </w:p>
        </w:tc>
      </w:tr>
    </w:tbl>
    <w:p/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初购54箱水和54箱食物总重量270 kg，成本810元。在线策略沿三步最短路径迅速到达终点，不依赖矿山收益。最坏情形无剩余资源，终端财富等于采购后现金9190元；温和天气产生资源回收，使平均财富升至9310元。名义Markov期望9282.38元低于1024情景等权均值，是因为经验矩阵对高温分支赋予更高权重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2.3 第四关关键求解结果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Γ</w:t>
            </w:r>
          </w:p>
        </w:tc>
        <w:tc>
          <w:tcPr>
            <w:tcW w:type="dxa" w:w="1814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初购水</w:t>
            </w:r>
          </w:p>
        </w:tc>
        <w:tc>
          <w:tcPr>
            <w:tcW w:type="dxa" w:w="1814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初购食物</w:t>
            </w:r>
          </w:p>
        </w:tc>
        <w:tc>
          <w:tcPr>
            <w:tcW w:type="dxa" w:w="1814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最迟保证到达日</w:t>
            </w:r>
          </w:p>
        </w:tc>
        <w:tc>
          <w:tcPr>
            <w:tcW w:type="dxa" w:w="1814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保证财富下界/元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7840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7690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7540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174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174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11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7390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184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184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12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7240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194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194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13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7090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6940</w:t>
            </w:r>
          </w:p>
        </w:tc>
      </w:tr>
    </w:tbl>
    <w:p/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Γ每增加1，水和食物分别增加10箱，初始成本增加150元，保证财富线性下降150元，最迟保证到达日延后1日。Γ=6时初购水、食物各204箱，总重量1020 kg，采购后现金及保证财富下界均为6940元，最迟第14日到达，仍保留16天时间冗余和180 kg负重冗余。</w:t>
      </w:r>
    </w:p>
    <w:p>
      <w:pPr>
        <w:pStyle w:val="Heading1"/>
      </w:pPr>
      <w:r>
        <w:rPr>
          <w:rFonts w:ascii="Arial" w:hAnsi="Arial" w:eastAsia="黑体"/>
          <w:b/>
          <w:color w:val="1F4E79"/>
          <w:sz w:val="30"/>
        </w:rPr>
        <w:t>3 针对第二问的结果分析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3.1 基础分析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三关1024种允许天气全部成功且均在第3日到达，说明天气只改变资源余量和回收财富，不改变最短到达结构。最坏财富9190元、均值9310元、5%分位9190元，下尾被鲁棒目标稳定托住。由于挖矿收益仅200元/日，而绕行和挖矿会产生额外消耗，快速到终点优于追逐矿山收益。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四关Γ=6安全策略在10000次Markov样本中成功9884次，成功率98.84%；成功样本平均财富7489.81元，最小财富6940元，5%分位7250元，平均第10.01日到达。样本均值高于6940元保证下界，是因为实际非沙暴日并非全部高温，且多数样本在完成8次移动前的沙暴少于6日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3.2 与第一问及简单策略的统一对比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策略</w:t>
            </w:r>
          </w:p>
        </w:tc>
        <w:tc>
          <w:tcPr>
            <w:tcW w:type="dxa" w:w="1296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成功率</w:t>
            </w:r>
          </w:p>
        </w:tc>
        <w:tc>
          <w:tcPr>
            <w:tcW w:type="dxa" w:w="1296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平均财富</w:t>
            </w:r>
          </w:p>
        </w:tc>
        <w:tc>
          <w:tcPr>
            <w:tcW w:type="dxa" w:w="1296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最小财富</w:t>
            </w:r>
          </w:p>
        </w:tc>
        <w:tc>
          <w:tcPr>
            <w:tcW w:type="dxa" w:w="1296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Q05</w:t>
            </w:r>
          </w:p>
        </w:tc>
        <w:tc>
          <w:tcPr>
            <w:tcW w:type="dxa" w:w="1296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平均到达日</w:t>
            </w:r>
          </w:p>
        </w:tc>
        <w:tc>
          <w:tcPr>
            <w:tcW w:type="dxa" w:w="1296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平均Regret</w:t>
            </w:r>
          </w:p>
        </w:tc>
      </w:tr>
      <w:tr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第二问鲁棒决策模型(Gamma=6)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98.84%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7489.81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6940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7250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10.01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549.81</w:t>
            </w:r>
          </w:p>
        </w:tc>
      </w:tr>
      <w:tr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第一问已知天气固定方案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56.87%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8127.39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8020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8020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9.38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107.39</w:t>
            </w:r>
          </w:p>
        </w:tc>
      </w:tr>
      <w:tr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低保护简单方案(Gamma=2)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66.38%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7850.86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7540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7695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9.17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310.86</w:t>
            </w:r>
          </w:p>
        </w:tc>
      </w:tr>
    </w:tbl>
    <w:p/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同一批10000组天气下，Γ=6鲁棒方案成功率98.84%，比第一问已知天气固定方案56.87%高41.97个百分点，比Γ=2低保护方案66.38%高32.46个百分点。第一问方案成功条件下平均财富8127.39元，表面高于鲁棒方案，但其43.13%的样本无法完成任务；该条件均值排除了失败样本，不能单独判断策略优劣。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一问方案针对一条事先已知天气优化，安全库存只覆盖特定排列；当天气沙暴次数或位置改变时，固定采购无法反馈修正。鲁棒方案以额外安全库存将失败概率由43.13%降至1.16%，相对降低约97.31%。其优势并非追求每个成功样本的最高财富，而是在未知未来条件下显著提高任务完成可靠性，直接回应第二问核心要求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3.3 Γ灵敏性与安全—收益前沿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Γ</w:t>
            </w:r>
          </w:p>
        </w:tc>
        <w:tc>
          <w:tcPr>
            <w:tcW w:type="dxa" w:w="1512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采购后现金</w:t>
            </w:r>
          </w:p>
        </w:tc>
        <w:tc>
          <w:tcPr>
            <w:tcW w:type="dxa" w:w="1512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成功率</w:t>
            </w:r>
          </w:p>
        </w:tc>
        <w:tc>
          <w:tcPr>
            <w:tcW w:type="dxa" w:w="1512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平均财富</w:t>
            </w:r>
          </w:p>
        </w:tc>
        <w:tc>
          <w:tcPr>
            <w:tcW w:type="dxa" w:w="1512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Q05</w:t>
            </w:r>
          </w:p>
        </w:tc>
        <w:tc>
          <w:tcPr>
            <w:tcW w:type="dxa" w:w="1512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平均Regret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7840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14.27%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8090.04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7920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250.04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7690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40.66%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7964.47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7770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274.47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7540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66.38%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7850.86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7695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310.86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7390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83.39%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7748.48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7550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358.48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7240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92.90%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7655.06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7465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415.06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7090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97.21%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7569.73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7325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479.73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6940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98.84%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7489.81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7250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549.81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6790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99.56%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7412.08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622.08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6640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99.87%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7335.73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7095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695.73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6490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99.98%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7260.20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7020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770.20</w:t>
            </w:r>
          </w:p>
        </w:tc>
      </w:tr>
    </w:tbl>
    <w:p/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Γ从0增至9，成功率由14.27%单调升至99.98%，但成功样本平均财富由8090.04元降至7260.20元，平均Regret由250.04元升至770.20元，形成明确的安全—收益权衡。Γ=0至4每增加一级带来较大成功率增益；Γ=5至6仍由97.21%提高到98.84%；此后边际增益迅速缩小，Γ=6至9仅再提高1.14个百分点，却额外占用450元。结合历史样本含6个沙暴日，Γ=6是兼顾数据锚定、成功率和经济性的折中方案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3.4 天气分布扰动灵敏性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沙暴倍率</w:t>
            </w:r>
          </w:p>
        </w:tc>
        <w:tc>
          <w:tcPr>
            <w:tcW w:type="dxa" w:w="1512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成功率</w:t>
            </w:r>
          </w:p>
        </w:tc>
        <w:tc>
          <w:tcPr>
            <w:tcW w:type="dxa" w:w="1512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平均财富</w:t>
            </w:r>
          </w:p>
        </w:tc>
        <w:tc>
          <w:tcPr>
            <w:tcW w:type="dxa" w:w="1512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Q05</w:t>
            </w:r>
          </w:p>
        </w:tc>
        <w:tc>
          <w:tcPr>
            <w:tcW w:type="dxa" w:w="1512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平均到达日</w:t>
            </w:r>
          </w:p>
        </w:tc>
        <w:tc>
          <w:tcPr>
            <w:tcW w:type="dxa" w:w="1512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平均Regret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99.76%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7524.75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7316.75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9.51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584.75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0.85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99.46%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7507.97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7250.00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9.75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567.97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99.00%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7487.83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7245.00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10.02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547.83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1.15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98.32%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7469.50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7240.00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10.25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529.50</w:t>
            </w:r>
          </w:p>
        </w:tc>
      </w:tr>
      <w:tr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1.3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96.70%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7452.60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7175.00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10.51</w:t>
            </w:r>
          </w:p>
        </w:tc>
        <w:tc>
          <w:tcPr>
            <w:tcW w:type="dxa" w:w="151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512.60</w:t>
            </w:r>
          </w:p>
        </w:tc>
      </w:tr>
    </w:tbl>
    <w:p/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将Markov矩阵沙暴列权重乘0.7、0.85、1.0、1.15、1.3并归一化后重抽样。沙暴倍率提高30%时，成功率仍为96.70%，平均财富7452.60元、Q05为7175元，平均到达日延至10.51日。变化方向符合机制：沙暴越多，停留、消耗和到达时间上升。主要结论在较大分布扰动下未反转，说明策略不依赖Markov单点估计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F4E79"/>
          <w:sz w:val="30"/>
        </w:rPr>
        <w:t>4 针对第二问的模型检验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4.1 规则一致性和非前视检验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首先由独立模拟器逐日重算：读取日初状态→检查购买节点和资金→检查天气下行动合法性→按倍率扣除资源→核验库存非负与3W+2F≤1200→更新现金→检查到达日。第三关还比较相同天气历史前缀的动作；任何动作不一致均判为非前视失败。实际资源、资金、沙暴禁行、邻接、终点和非前视检验全部通过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4.2 第三关全情景与Oracle-Regret检验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检验量</w:t>
            </w:r>
          </w:p>
        </w:tc>
        <w:tc>
          <w:tcPr>
            <w:tcW w:type="dxa" w:w="3024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结果</w:t>
            </w:r>
          </w:p>
        </w:tc>
        <w:tc>
          <w:tcPr>
            <w:tcW w:type="dxa" w:w="3024"/>
            <w:shd w:fill="EAF0F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判据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全情景数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1024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2¹⁰无遗漏、无重复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成功/失败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1024/0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鲁棒可行须零失败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最坏财富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9190元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与优化鲁棒值一致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平均/中位/最大Regret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134.45/145/240元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非负且有限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最小Regret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0元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在线值不超过Oracle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到达分布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第3日：1024次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全部不超过第10日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求解器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最优，MIP gap=0</w:t>
            </w:r>
          </w:p>
        </w:tc>
        <w:tc>
          <w:tcPr>
            <w:tcW w:type="dxa" w:w="3024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全局最优性判据</w:t>
            </w:r>
          </w:p>
        </w:tc>
      </w:tr>
    </w:tbl>
    <w:p/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坏情景逐日重放财富恰为9190元，与MILP目标相等；最小Regret为0且无负Regret，说明Oracle和在线策略口径一致。平均Regret134.45元仅占约万元初始资金的1.34%，最大Regret240元，表明在不能预知未来的现实信息约束下，策略与先知上界差距有限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4.3 第四关压力测试与Monte Carlo检验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Γ=0,…,6分别构造Γ个沙暴前置、随后8个高温日完成最短路的压力情景。该排列使沙暴等待和最昂贵的非沙暴移动同时发生。全部情景均在第8+Γ日到达，终端财富严格等于式(15)下界，证明预算语义、资源计算和截止期判断一致。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Monte Carlo以固定种子生成10000条30日天气，让三种策略在同一测试集和规则模拟器运行。鲁棒策略98.84%的成功率显著优于两组基线，且沙暴概率提高30%后仍保持96.70%。压力测试覆盖预算集内人为最坏排列，随机模拟考察经验分布下典型性能，两者互补，避免仅凭随机样本漏掉尾部风险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4.4 检验结论与证据边界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综合全情景枚举、MIP零间隙、独立规则重放、Oracle-Regret、预算压力测试、统一Monte Carlo和参数扰动，可确认第三关策略具有全局最优鲁棒性，第四关Γ=6方案具有预算内可行保证和良好样本外成功率。必须强调：第四关数值是安全策略下界及统计评价，不能据此宣称已求得包含村庄补给、矿山收益的完整全局最优鲁棒策略。</w:t>
      </w:r>
    </w:p>
    <w:p>
      <w:pPr>
        <w:pStyle w:val="Heading1"/>
      </w:pPr>
      <w:r>
        <w:rPr>
          <w:rFonts w:ascii="Arial" w:hAnsi="Arial" w:eastAsia="黑体"/>
          <w:b/>
          <w:color w:val="1F4E79"/>
          <w:sz w:val="30"/>
        </w:rPr>
        <w:t>5 针对第二问的模型评价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5.1 模型优点</w:t>
      </w:r>
    </w:p>
    <w:p>
      <w:pPr>
        <w:pStyle w:val="ListBullet"/>
      </w:pPr>
      <w:r>
        <w:rPr>
          <w:rFonts w:ascii="Times New Roman" w:hAnsi="Times New Roman" w:eastAsia="黑体"/>
          <w:b/>
          <w:sz w:val="21"/>
        </w:rPr>
        <w:t>（1）信息结构严格。</w:t>
      </w:r>
      <w:r>
        <w:rPr>
          <w:rFonts w:ascii="Times New Roman" w:hAnsi="Times New Roman" w:eastAsia="宋体"/>
          <w:b w:val="0"/>
          <w:sz w:val="21"/>
        </w:rPr>
        <w:t>非前视约束确保第t日动作只依赖截至当日的信息；第三关1024情景前缀检查全部通过，避免固定路径模型的信息泄漏。</w:t>
      </w:r>
    </w:p>
    <w:p>
      <w:pPr>
        <w:pStyle w:val="ListBullet"/>
      </w:pPr>
      <w:r>
        <w:rPr>
          <w:rFonts w:ascii="Times New Roman" w:hAnsi="Times New Roman" w:eastAsia="黑体"/>
          <w:b/>
          <w:sz w:val="21"/>
        </w:rPr>
        <w:t>（2）主模型不依赖伪概率。</w:t>
      </w:r>
      <w:r>
        <w:rPr>
          <w:rFonts w:ascii="Times New Roman" w:hAnsi="Times New Roman" w:eastAsia="宋体"/>
          <w:b w:val="0"/>
          <w:sz w:val="21"/>
        </w:rPr>
        <w:t>第三关直接覆盖2¹⁰个情景；第四关用Γ表达“较少沙暴”，Markov只作评价，29次历史转移误差不支配主决策。</w:t>
      </w:r>
    </w:p>
    <w:p>
      <w:pPr>
        <w:pStyle w:val="ListBullet"/>
      </w:pPr>
      <w:r>
        <w:rPr>
          <w:rFonts w:ascii="Times New Roman" w:hAnsi="Times New Roman" w:eastAsia="黑体"/>
          <w:b/>
          <w:sz w:val="21"/>
        </w:rPr>
        <w:t>（3）最优性和可靠性证据充分。</w:t>
      </w:r>
      <w:r>
        <w:rPr>
          <w:rFonts w:ascii="Times New Roman" w:hAnsi="Times New Roman" w:eastAsia="宋体"/>
          <w:b w:val="0"/>
          <w:sz w:val="21"/>
        </w:rPr>
        <w:t>第三关196419变量、94095约束的MILP达到MIP gap=0，1024情景零失败，最坏财富9190元，平均Regret仅134.45元。</w:t>
      </w:r>
    </w:p>
    <w:p>
      <w:pPr>
        <w:pStyle w:val="ListBullet"/>
      </w:pPr>
      <w:r>
        <w:rPr>
          <w:rFonts w:ascii="Times New Roman" w:hAnsi="Times New Roman" w:eastAsia="黑体"/>
          <w:b/>
          <w:sz w:val="21"/>
        </w:rPr>
        <w:t>（4）风险改善可量化。</w:t>
      </w:r>
      <w:r>
        <w:rPr>
          <w:rFonts w:ascii="Times New Roman" w:hAnsi="Times New Roman" w:eastAsia="宋体"/>
          <w:b w:val="0"/>
          <w:sz w:val="21"/>
        </w:rPr>
        <w:t>第四关Γ=6成功率98.84%，较第一问固定方案提高41.97个百分点，失败概率相对下降约97.31%；沙暴概率提高30%后仍成功96.70%。</w:t>
      </w:r>
    </w:p>
    <w:p>
      <w:pPr>
        <w:pStyle w:val="ListBullet"/>
      </w:pPr>
      <w:r>
        <w:rPr>
          <w:rFonts w:ascii="Times New Roman" w:hAnsi="Times New Roman" w:eastAsia="黑体"/>
          <w:b/>
          <w:sz w:val="21"/>
        </w:rPr>
        <w:t>（5）可解释且可扩展。</w:t>
      </w:r>
      <w:r>
        <w:rPr>
          <w:rFonts w:ascii="Times New Roman" w:hAnsi="Times New Roman" w:eastAsia="宋体"/>
          <w:b w:val="0"/>
          <w:sz w:val="21"/>
        </w:rPr>
        <w:t>Γ每增加1对应水、食物各增加10箱、保证财富减少150元；统一transition模块可扩展到其他地图、价格和截止期。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5.2 模型缺点与改进方向</w:t>
      </w:r>
    </w:p>
    <w:p>
      <w:pPr>
        <w:pStyle w:val="ListBullet"/>
      </w:pPr>
      <w:r>
        <w:rPr>
          <w:rFonts w:ascii="Times New Roman" w:hAnsi="Times New Roman" w:eastAsia="黑体"/>
          <w:b/>
          <w:sz w:val="21"/>
        </w:rPr>
        <w:t>（1）第四关当前实现偏保守。</w:t>
      </w:r>
      <w:r>
        <w:rPr>
          <w:rFonts w:ascii="Times New Roman" w:hAnsi="Times New Roman" w:eastAsia="宋体"/>
          <w:b w:val="0"/>
          <w:sz w:val="21"/>
        </w:rPr>
        <w:t>安全策略未利用村庄14和矿山18；虽成功率98.84%，但平均Regret为549.81元。后续可实现带预算状态和Pareto剪枝的完整鲁棒DP。</w:t>
      </w:r>
    </w:p>
    <w:p>
      <w:pPr>
        <w:pStyle w:val="ListBullet"/>
      </w:pPr>
      <w:r>
        <w:rPr>
          <w:rFonts w:ascii="Times New Roman" w:hAnsi="Times New Roman" w:eastAsia="黑体"/>
          <w:b/>
          <w:sz w:val="21"/>
        </w:rPr>
        <w:t>（2）Markov评价样本较小。</w:t>
      </w:r>
      <w:r>
        <w:rPr>
          <w:rFonts w:ascii="Times New Roman" w:hAnsi="Times New Roman" w:eastAsia="宋体"/>
          <w:b w:val="0"/>
          <w:sz w:val="21"/>
        </w:rPr>
        <w:t>转移矩阵仅由29次相邻转移估计，一阶假设不能刻画长记忆。虽已进行0.7—1.3倍沙暴扰动，更充分数据仍可提高外推可信度。</w:t>
      </w:r>
    </w:p>
    <w:p>
      <w:pPr>
        <w:pStyle w:val="ListBullet"/>
      </w:pPr>
      <w:r>
        <w:rPr>
          <w:rFonts w:ascii="Times New Roman" w:hAnsi="Times New Roman" w:eastAsia="黑体"/>
          <w:b/>
          <w:sz w:val="21"/>
        </w:rPr>
        <w:t>（3）状态维数增长较快。</w:t>
      </w:r>
      <w:r>
        <w:rPr>
          <w:rFonts w:ascii="Times New Roman" w:hAnsi="Times New Roman" w:eastAsia="宋体"/>
          <w:b w:val="0"/>
          <w:sz w:val="21"/>
        </w:rPr>
        <w:t>第三关情景树已有196419个变量；第四关若同时精确展开30日、三天气、村庄、矿山和整数库存，规模显著膨胀。可考虑功能节点压缩、列生成或近似DP。</w:t>
      </w:r>
    </w:p>
    <w:p>
      <w:pPr>
        <w:pStyle w:val="Heading2"/>
      </w:pPr>
      <w:r>
        <w:rPr>
          <w:rFonts w:ascii="Arial" w:hAnsi="Arial" w:eastAsia="黑体"/>
          <w:b/>
          <w:color w:val="1F4E79"/>
          <w:sz w:val="26"/>
        </w:rPr>
        <w:t>5.3 对问题的直接回答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三关推荐起点购买水54箱、食物54箱，并依据每天揭示的晴朗或高温执行非前视策略；1024种允许天气均于第3日到达，最坏财富9190元。第四关不应给出依赖人为概率的单一路线，而应以Γ展示安全—收益前沿。结合历史天气含6个沙暴日和Monte Carlo拐点，推荐Γ=6保底方案：初购水、食物各204箱，预算集内最迟第14日到达，保证财富下界6940元；10000次样本外模拟成功率98.84%，显著优于第一问固定方案。</w:t>
      </w:r>
    </w:p>
    <w:p>
      <w:pPr>
        <w:pStyle w:val="Heading1"/>
      </w:pPr>
      <w:r>
        <w:rPr>
          <w:rFonts w:ascii="Arial" w:hAnsi="Arial" w:eastAsia="黑体"/>
          <w:b/>
          <w:color w:val="1F4E79"/>
          <w:sz w:val="30"/>
        </w:rPr>
        <w:t>参考文献</w:t>
      </w:r>
    </w:p>
    <w:p>
      <w:pPr>
        <w:spacing w:line="360" w:lineRule="auto" w:after="100"/>
        <w:jc w:val="both"/>
      </w:pPr>
      <w:r>
        <w:rPr>
          <w:rFonts w:ascii="Times New Roman" w:hAnsi="Times New Roman" w:eastAsia="宋体"/>
          <w:b w:val="0"/>
          <w:sz w:val="21"/>
        </w:rPr>
        <w:t>[1] 全国大学生数学建模竞赛组委会. 2020年高教社杯全国大学生数学建模竞赛B题：穿越沙漠.</w:t>
      </w:r>
    </w:p>
    <w:p>
      <w:pPr>
        <w:spacing w:line="360" w:lineRule="auto" w:after="100"/>
        <w:jc w:val="both"/>
      </w:pPr>
      <w:r>
        <w:rPr>
          <w:rFonts w:ascii="Times New Roman" w:hAnsi="Times New Roman" w:eastAsia="宋体"/>
          <w:b w:val="0"/>
          <w:sz w:val="21"/>
        </w:rPr>
        <w:t>[2] Ramani S, Ghate A. Robust Markov Decision Processes with Data-Driven, Distance-Based Ambiguity Sets. SIAM Journal on Optimization, 2022, 32(2): 989–1017.</w:t>
      </w:r>
    </w:p>
    <w:p>
      <w:pPr>
        <w:spacing w:line="360" w:lineRule="auto" w:after="100"/>
        <w:jc w:val="both"/>
      </w:pPr>
      <w:r>
        <w:rPr>
          <w:rFonts w:ascii="Times New Roman" w:hAnsi="Times New Roman" w:eastAsia="宋体"/>
          <w:b w:val="0"/>
          <w:sz w:val="21"/>
        </w:rPr>
        <w:t>[3] Goyal V, Grand-Clément J. Robust Markov Decision Processes: Beyond Rectangularity. Mathematics of Operations Research, 2023, 48(1).</w:t>
      </w:r>
    </w:p>
    <w:p>
      <w:pPr>
        <w:spacing w:line="360" w:lineRule="auto" w:after="100"/>
        <w:jc w:val="both"/>
      </w:pPr>
      <w:r>
        <w:rPr>
          <w:rFonts w:ascii="Times New Roman" w:hAnsi="Times New Roman" w:eastAsia="宋体"/>
          <w:b w:val="0"/>
          <w:sz w:val="21"/>
        </w:rPr>
        <w:t>[4] 本项目第二问建模手册（V2）及配套Python求解、验证和结果文件.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  <w:fldChar w:fldCharType="begin"/>
      <w:instrText> PAGE </w:instrText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646464"/>
        <w:sz w:val="18"/>
      </w:rPr>
      <w:t>2020B 穿越沙漠——第二问模型建立与求解及结果分析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第二问模型建立与求解及结果分析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