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Calibri" w:hAnsi="Calibri" w:eastAsia="黑体"/>
          <w:b/>
          <w:color w:val="2E74B5"/>
          <w:sz w:val="24"/>
        </w:rPr>
        <w:t>数学建模求解报告</w:t>
      </w:r>
    </w:p>
    <w:p>
      <w:pPr>
        <w:spacing w:after="200"/>
        <w:jc w:val="center"/>
      </w:pPr>
      <w:r>
        <w:rPr>
          <w:rFonts w:ascii="Calibri" w:hAnsi="Calibri" w:eastAsia="黑体"/>
          <w:b/>
          <w:color w:val="0B2545"/>
          <w:sz w:val="50"/>
        </w:rPr>
        <w:t>穿越沙漠：已知天气条件下的单玩家最优策略</w:t>
      </w:r>
    </w:p>
    <w:p>
      <w:pPr>
        <w:spacing w:after="560"/>
        <w:jc w:val="center"/>
      </w:pPr>
      <w:r>
        <w:rPr>
          <w:rFonts w:ascii="Calibri" w:hAnsi="Calibri" w:eastAsia="黑体"/>
          <w:color w:val="1F4D78"/>
          <w:sz w:val="30"/>
        </w:rPr>
        <w:t>第一问建模、求解、结果分析与模型检验</w:t>
      </w:r>
    </w:p>
    <w:p>
      <w:pPr>
        <w:spacing w:after="1400"/>
        <w:jc w:val="center"/>
      </w:pPr>
      <w:r>
        <w:rPr>
          <w:rFonts w:ascii="Calibri" w:hAnsi="Calibri" w:eastAsia="宋体"/>
          <w:i/>
          <w:color w:val="5A626C"/>
          <w:sz w:val="21"/>
        </w:rPr>
        <w:t>完整原图｜确定性有限期资源约束优化｜独立逐日复算</w:t>
      </w:r>
    </w:p>
    <w:p>
      <w:pPr>
        <w:spacing w:after="100"/>
        <w:jc w:val="center"/>
      </w:pPr>
      <w:r>
        <w:rPr>
          <w:rFonts w:ascii="Calibri" w:hAnsi="Calibri" w:eastAsia="黑体"/>
          <w:b/>
          <w:color w:val="0B2545"/>
          <w:sz w:val="21"/>
        </w:rPr>
        <w:t>覆盖关卡：</w:t>
      </w:r>
      <w:r>
        <w:rPr>
          <w:rFonts w:ascii="Calibri" w:hAnsi="Calibri" w:eastAsia="宋体"/>
          <w:sz w:val="21"/>
        </w:rPr>
        <w:t>第一关（27 节点）与第二关（64 节点）</w:t>
      </w:r>
    </w:p>
    <w:p>
      <w:pPr>
        <w:spacing w:after="100"/>
        <w:jc w:val="center"/>
      </w:pPr>
      <w:r>
        <w:rPr>
          <w:rFonts w:ascii="Calibri" w:hAnsi="Calibri" w:eastAsia="黑体"/>
          <w:b/>
          <w:color w:val="0B2545"/>
          <w:sz w:val="21"/>
        </w:rPr>
        <w:t>求解目标：</w:t>
      </w:r>
      <w:r>
        <w:rPr>
          <w:rFonts w:ascii="Calibri" w:hAnsi="Calibri" w:eastAsia="宋体"/>
          <w:sz w:val="21"/>
        </w:rPr>
        <w:t>在第 30 天或之前到达终点并最大化终端总财富</w:t>
      </w:r>
    </w:p>
    <w:p>
      <w:pPr>
        <w:spacing w:after="100"/>
        <w:jc w:val="center"/>
      </w:pPr>
      <w:r>
        <w:rPr>
          <w:rFonts w:ascii="Calibri" w:hAnsi="Calibri" w:eastAsia="黑体"/>
          <w:b/>
          <w:color w:val="0B2545"/>
          <w:sz w:val="21"/>
        </w:rPr>
        <w:t>结果：</w:t>
      </w:r>
      <w:r>
        <w:rPr>
          <w:rFonts w:ascii="Calibri" w:hAnsi="Calibri" w:eastAsia="宋体"/>
          <w:sz w:val="21"/>
        </w:rPr>
        <w:t>第一关 10470 元；第二关 12730 元</w:t>
      </w:r>
    </w:p>
    <w:p>
      <w:pPr>
        <w:spacing w:after="100"/>
        <w:jc w:val="center"/>
      </w:pPr>
      <w:r>
        <w:rPr>
          <w:rFonts w:ascii="Calibri" w:hAnsi="Calibri" w:eastAsia="黑体"/>
          <w:b/>
          <w:color w:val="0B2545"/>
          <w:sz w:val="21"/>
        </w:rPr>
        <w:t>生成日期：</w:t>
      </w:r>
      <w:r>
        <w:rPr>
          <w:rFonts w:ascii="Calibri" w:hAnsi="Calibri" w:eastAsia="宋体"/>
          <w:sz w:val="21"/>
        </w:rPr>
        <w:t>2026 年 8 月 15 日</w:t>
      </w:r>
    </w:p>
    <w:p>
      <w:r>
        <w:br w:type="page"/>
      </w:r>
    </w:p>
    <w:p>
      <w:pPr>
        <w:pStyle w:val="Heading1"/>
      </w:pPr>
      <w:r>
        <w:rPr>
          <w:rFonts w:ascii="Calibri" w:hAnsi="Calibri" w:eastAsia="黑体"/>
          <w:b/>
          <w:color w:val="2E74B5"/>
          <w:sz w:val="32"/>
        </w:rPr>
        <w:t>1 问题重述</w:t>
      </w:r>
    </w:p>
    <w:p>
      <w:pPr>
        <w:jc w:val="both"/>
      </w:pPr>
      <w:r>
        <w:rPr>
          <w:rFonts w:ascii="Calibri" w:hAnsi="Calibri" w:eastAsia="宋体"/>
          <w:sz w:val="22"/>
        </w:rPr>
        <w:t>在应急物流、极端环境运输、野外作业与移动能源管理中，决策者常常需要在有限载荷和有限资金下，穿越具有时间变化风险的区域。此类任务的现实痛点并不只是“怎样走得最短”，而是要同时回答何时移动、何时等待、携带多少补给、是否绕行获取收益以及何时再次采购。若忽略天气造成的日际消耗差异，最短路线可能因库存不足而不可行；若只追求矿山收益，又可能因额外停留和三倍资源消耗使净财富下降。因此，该问题属于典型的时间依赖、多资源耦合的序贯决策问题。</w:t>
      </w:r>
    </w:p>
    <w:p>
      <w:pPr>
        <w:jc w:val="both"/>
      </w:pPr>
      <w:r>
        <w:rPr>
          <w:rFonts w:ascii="Calibri" w:hAnsi="Calibri" w:eastAsia="宋体"/>
          <w:sz w:val="22"/>
        </w:rPr>
        <w:t>本问给定单个玩家、两类离散资源和完全已知的 30 天天气序列。玩家第 0 天以初始资金在起点采购水和食物，之后在地图上逐日选择行走、停留或在矿山挖矿；经过村庄时可以按两倍基准价补给，到达终点后剩余资源按半价回收。核心目标是在不晚于截止日期到达终点的前提下，使现金与终点回收价值之和最大。约束包括地图邻接、沙暴禁行、库存非负、负重不超过 1200 kg、现金非负、起点只采购一次、到矿当日不能挖矿以及到达终点立即结束。</w:t>
      </w:r>
    </w:p>
    <w:p>
      <w:pPr>
        <w:pStyle w:val="Heading2"/>
      </w:pPr>
      <w:r>
        <w:rPr>
          <w:rFonts w:ascii="Calibri" w:hAnsi="Calibri" w:eastAsia="黑体"/>
          <w:b/>
          <w:color w:val="2E74B5"/>
          <w:sz w:val="26"/>
        </w:rPr>
        <w:t>1.1 子问题一：题目规则与地图的可计算化</w:t>
      </w:r>
    </w:p>
    <w:p>
      <w:pPr>
        <w:jc w:val="both"/>
      </w:pPr>
      <w:r>
        <w:rPr>
          <w:rFonts w:ascii="Calibri" w:hAnsi="Calibri" w:eastAsia="宋体"/>
          <w:sz w:val="22"/>
        </w:rPr>
        <w:t>首先需要把地图图形、功能节点、天气序列和资源参数转换为统一的数据结构，并验证邻接表对称、节点编号合法、起终点连通以及天气长度正确。第一关采用经人工核对的 27 节点邻接表；第二关采用 8×8 错位六邻域网格。该步骤决定了后续所有路线是否真实合法，是求解可靠性的输入基础。</w:t>
      </w:r>
    </w:p>
    <w:p>
      <w:pPr>
        <w:pStyle w:val="Heading2"/>
      </w:pPr>
      <w:r>
        <w:rPr>
          <w:rFonts w:ascii="Calibri" w:hAnsi="Calibri" w:eastAsia="黑体"/>
          <w:b/>
          <w:color w:val="2E74B5"/>
          <w:sz w:val="26"/>
        </w:rPr>
        <w:t>1.2 子问题二：已知天气下的全局最优决策</w:t>
      </w:r>
    </w:p>
    <w:p>
      <w:pPr>
        <w:jc w:val="both"/>
      </w:pPr>
      <w:r>
        <w:rPr>
          <w:rFonts w:ascii="Calibri" w:hAnsi="Calibri" w:eastAsia="宋体"/>
          <w:sz w:val="22"/>
        </w:rPr>
        <w:t>在完整天气信息下，需要联合优化每日位置、行动、库存、采购量和挖矿安排。问题兼具资源约束最短路、途中补给和收益节点三个特征。Himmich、El Hallaoui 与 Soumis（2024）指出，多阶段动态规划能够通过状态空间划分提升资源约束最短路的精确求解效率；Davatgari 等（2024）进一步表明，在途中允许资源补给的约束路径问题中，Bellman 框架下的标签修正方法仍具有良好的适配性。这些研究说明，本题应优先利用最优子结构与状态支配，而非采用缺乏最优性保证的黑箱启发式算法。</w:t>
      </w:r>
    </w:p>
    <w:p>
      <w:pPr>
        <w:pStyle w:val="Heading2"/>
      </w:pPr>
      <w:r>
        <w:rPr>
          <w:rFonts w:ascii="Calibri" w:hAnsi="Calibri" w:eastAsia="黑体"/>
          <w:b/>
          <w:color w:val="2E74B5"/>
          <w:sz w:val="26"/>
        </w:rPr>
        <w:t>1.3 子问题三：最优性、规则一致性与稳健性验证</w:t>
      </w:r>
    </w:p>
    <w:p>
      <w:pPr>
        <w:jc w:val="both"/>
      </w:pPr>
      <w:r>
        <w:rPr>
          <w:rFonts w:ascii="Calibri" w:hAnsi="Calibri" w:eastAsia="宋体"/>
          <w:sz w:val="22"/>
        </w:rPr>
        <w:t>求解器输出一个数值并不等于模型正确。还需以独立规则引擎逐日复算资金、资源与负重，检验沙暴、矿山和村庄时点；通过小型实例和终点吸收回归测试检查模型边界；再对负重、初始资金、矿山收益和截止日期作单因素扰动，观察最优财富和策略结构是否符合经济逻辑。</w:t>
      </w:r>
    </w:p>
    <w:p>
      <w:pPr>
        <w:pStyle w:val="Heading1"/>
      </w:pPr>
      <w:r>
        <w:rPr>
          <w:rFonts w:ascii="Calibri" w:hAnsi="Calibri" w:eastAsia="黑体"/>
          <w:b/>
          <w:color w:val="2E74B5"/>
          <w:sz w:val="32"/>
        </w:rPr>
        <w:t>2 问题分析</w:t>
      </w:r>
    </w:p>
    <w:p>
      <w:pPr>
        <w:jc w:val="both"/>
      </w:pPr>
      <w:r>
        <w:rPr>
          <w:rFonts w:ascii="Calibri" w:hAnsi="Calibri" w:eastAsia="宋体"/>
          <w:sz w:val="22"/>
        </w:rPr>
        <w:t>总体上，本问采用“数据结构化—有限期状态建模—精确全局求解—策略回溯—独立复算—灵敏性分析”的总路线。图结构决定可选移动，天气决定当日动作的可行性与消耗，库存和现金决定未来行为能否继续，矿山与村庄则引入收益和补给。由于未来决策只依赖当前日期、位置、库存与现金，而不依赖更早的完整历史，问题具有 Bellman 最优性结构。</w:t>
      </w:r>
    </w:p>
    <w:p>
      <w:pPr>
        <w:pStyle w:val="Heading2"/>
      </w:pPr>
      <w:r>
        <w:rPr>
          <w:rFonts w:ascii="Calibri" w:hAnsi="Calibri" w:eastAsia="黑体"/>
          <w:b/>
          <w:color w:val="2E74B5"/>
          <w:sz w:val="26"/>
        </w:rPr>
        <w:t>2.1 问题1分析。地图与参数预处理</w:t>
      </w:r>
    </w:p>
    <w:p>
      <w:pPr>
        <w:jc w:val="both"/>
      </w:pPr>
      <w:r>
        <w:rPr>
          <w:rFonts w:ascii="Calibri" w:hAnsi="Calibri" w:eastAsia="宋体"/>
          <w:sz w:val="22"/>
        </w:rPr>
        <w:t>关键矛盾在于地图来自不规则图形，任何一条误录边都可能制造不存在的捷径或切断合法路线。处理时先把每个区域作为节点，只对存在公共边界的区域连边；随后建立无向邻接集合，检查边的唯一性、对称性、无自环和起终点连通性。天气被编码为长度 30 的有序数组，消耗表按“天气×行动倍率”预先计算。逻辑衔接为：原始规则与地图→结构化配置→输入断言→BFS 距离下界→交给优化模型。</w:t>
      </w:r>
    </w:p>
    <w:p>
      <w:pPr>
        <w:pStyle w:val="Heading2"/>
      </w:pPr>
      <w:r>
        <w:rPr>
          <w:rFonts w:ascii="Calibri" w:hAnsi="Calibri" w:eastAsia="黑体"/>
          <w:b/>
          <w:color w:val="2E74B5"/>
          <w:sz w:val="26"/>
        </w:rPr>
        <w:t>2.2 问题2分析。联合路线—资源—收益优化</w:t>
      </w:r>
    </w:p>
    <w:p>
      <w:pPr>
        <w:jc w:val="both"/>
      </w:pPr>
      <w:r>
        <w:rPr>
          <w:rFonts w:ascii="Calibri" w:hAnsi="Calibri" w:eastAsia="宋体"/>
          <w:sz w:val="22"/>
        </w:rPr>
        <w:t>关键矛盾是短路线省资源，而绕经矿山可能增加现金；起点采购便宜但受负重限制，村庄补给灵活却价格翻倍；天气完全已知又使“今天移动还是等待”与未来高温、沙暴紧密耦合。为此，以天为阶段，以位置、水、食物为状态索引，以现金为状态价值，逐日枚举停留、行走、挖矿和村庄补给。完整模型再等价展开为逐日整数网络流，由 HiGHS 做全局优化并回溯逐日策略。逻辑衔接为：合法初始采购→逐日动作→扣除消耗→增加挖矿收益→村庄日末补给→终点结算→最大化终端财富。</w:t>
      </w:r>
    </w:p>
    <w:p>
      <w:pPr>
        <w:pStyle w:val="Heading2"/>
      </w:pPr>
      <w:r>
        <w:rPr>
          <w:rFonts w:ascii="Calibri" w:hAnsi="Calibri" w:eastAsia="黑体"/>
          <w:b/>
          <w:color w:val="2E74B5"/>
          <w:sz w:val="26"/>
        </w:rPr>
        <w:t>2.3 问题3分析。模型检验与稳健性</w:t>
      </w:r>
    </w:p>
    <w:p>
      <w:pPr>
        <w:jc w:val="both"/>
      </w:pPr>
      <w:r>
        <w:rPr>
          <w:rFonts w:ascii="Calibri" w:hAnsi="Calibri" w:eastAsia="宋体"/>
          <w:sz w:val="22"/>
        </w:rPr>
        <w:t>关键矛盾是优化器只保证其所接收数学模型的最优性，不能自动发现模型是否遗漏题目规则。因此将 checker 与求解器分离：checker 只读取逐日动作和采购记录，从第 0 天重新计算，不使用求解器内部库存或累计收益。再利用小型可枚举实例验证最优值，用终点吸收案例防止到达后离开，并在参数扰动下重新求解。文字流程图为：求解结果→逐日规则重放→是否全部通过？若否则返回定位约束；若是则进行精确性对照→参数扰动→输出可靠性结论。</w:t>
      </w:r>
    </w:p>
    <w:p>
      <w:r>
        <w:br w:type="page"/>
      </w:r>
    </w:p>
    <w:p>
      <w:pPr>
        <w:pStyle w:val="Heading1"/>
      </w:pPr>
      <w:r>
        <w:rPr>
          <w:rFonts w:ascii="Calibri" w:hAnsi="Calibri" w:eastAsia="黑体"/>
          <w:b/>
          <w:color w:val="2E74B5"/>
          <w:sz w:val="32"/>
        </w:rPr>
        <w:t>3 模型假设</w:t>
      </w:r>
    </w:p>
    <w:tbl>
      <w:tblPr>
        <w:tblW w:type="dxa" w:w="9360"/>
        <w:jc w:val="left"/>
        <w:tblLayout w:type="fixed"/>
        <w:tblLook w:firstColumn="1" w:firstRow="1" w:lastColumn="0" w:lastRow="0" w:noHBand="0" w:noVBand="1" w:val="04A0"/>
        <w:tblInd w:w="120" w:type="dxa"/>
        <w:tblBorders>
          <w:top w:val="single" w:sz="12" w:color="7F8C99"/>
          <w:bottom w:val="single" w:sz="12" w:color="7F8C99"/>
          <w:left w:val="nil" w:sz="0" w:color="7F8C99"/>
          <w:right w:val="nil" w:sz="0" w:color="7F8C99"/>
          <w:insideH w:val="nil" w:sz="0" w:color="7F8C99"/>
          <w:insideV w:val="nil" w:sz="0" w:color="7F8C99"/>
        </w:tblBorders>
      </w:tblPr>
      <w:tblGrid>
        <w:gridCol w:w="2500"/>
        <w:gridCol w:w="3400"/>
        <w:gridCol w:w="3460"/>
      </w:tblGrid>
      <w:tr>
        <w:trPr>
          <w:cantSplit w:val="1"/>
          <w:tblHeader/>
        </w:trPr>
        <w:tc>
          <w:tcPr>
            <w:tcW w:type="dxa" w:w="25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8"/>
              </w:rPr>
              <w:t>假设内容</w:t>
            </w:r>
          </w:p>
        </w:tc>
        <w:tc>
          <w:tcPr>
            <w:tcW w:type="dxa" w:w="34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8"/>
              </w:rPr>
              <w:t>合理性依据</w:t>
            </w:r>
          </w:p>
        </w:tc>
        <w:tc>
          <w:tcPr>
            <w:tcW w:type="dxa" w:w="346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8"/>
              </w:rPr>
              <w:t>对模型的影响</w:t>
            </w:r>
          </w:p>
        </w:tc>
      </w:tr>
      <w:tr>
        <w:trPr>
          <w:cantSplit w:val="1"/>
        </w:trPr>
        <w:tc>
          <w:tcPr>
            <w:tcW w:type="dxa" w:w="2500"/>
            <w:tcMar>
              <w:top w:w="80" w:type="dxa"/>
              <w:start w:w="120" w:type="dxa"/>
              <w:bottom w:w="80" w:type="dxa"/>
              <w:end w:w="120" w:type="dxa"/>
            </w:tcMar>
            <w:vAlign w:val="center"/>
          </w:tcPr>
          <w:p>
            <w:pPr>
              <w:spacing w:before="0" w:after="0" w:line="240" w:lineRule="auto"/>
            </w:pPr>
            <w:r>
              <w:rPr>
                <w:rFonts w:ascii="Calibri" w:hAnsi="Calibri" w:eastAsia="宋体"/>
                <w:b w:val="0"/>
                <w:sz w:val="18"/>
              </w:rPr>
              <w:t>附件参数与天气在关卡内准确且固定。</w:t>
            </w:r>
          </w:p>
        </w:tc>
        <w:tc>
          <w:tcPr>
            <w:tcW w:type="dxa" w:w="3400"/>
            <w:tcMar>
              <w:top w:w="80" w:type="dxa"/>
              <w:start w:w="120" w:type="dxa"/>
              <w:bottom w:w="80" w:type="dxa"/>
              <w:end w:w="120" w:type="dxa"/>
            </w:tcMar>
            <w:vAlign w:val="center"/>
          </w:tcPr>
          <w:p>
            <w:pPr>
              <w:spacing w:before="0" w:after="0" w:line="240" w:lineRule="auto"/>
            </w:pPr>
            <w:r>
              <w:rPr>
                <w:rFonts w:ascii="Calibri" w:hAnsi="Calibri" w:eastAsia="宋体"/>
                <w:b w:val="0"/>
                <w:sz w:val="18"/>
              </w:rPr>
              <w:t>第一问明确给出全时段天气，价格、负重、消耗和收益均为确定性规则。</w:t>
            </w:r>
          </w:p>
        </w:tc>
        <w:tc>
          <w:tcPr>
            <w:tcW w:type="dxa" w:w="3460"/>
            <w:tcMar>
              <w:top w:w="80" w:type="dxa"/>
              <w:start w:w="120" w:type="dxa"/>
              <w:bottom w:w="80" w:type="dxa"/>
              <w:end w:w="120" w:type="dxa"/>
            </w:tcMar>
            <w:vAlign w:val="center"/>
          </w:tcPr>
          <w:p>
            <w:pPr>
              <w:spacing w:before="0" w:after="0" w:line="240" w:lineRule="auto"/>
            </w:pPr>
            <w:r>
              <w:rPr>
                <w:rFonts w:ascii="Calibri" w:hAnsi="Calibri" w:eastAsia="宋体"/>
                <w:b w:val="0"/>
                <w:sz w:val="18"/>
              </w:rPr>
              <w:t>将问题限定为确定性优化，不引入缺乏依据的概率或风险系数。</w:t>
            </w:r>
          </w:p>
        </w:tc>
      </w:tr>
      <w:tr>
        <w:trPr>
          <w:cantSplit w:val="1"/>
        </w:trPr>
        <w:tc>
          <w:tcPr>
            <w:tcW w:type="dxa" w:w="2500"/>
            <w:tcMar>
              <w:top w:w="80" w:type="dxa"/>
              <w:start w:w="120" w:type="dxa"/>
              <w:bottom w:w="80" w:type="dxa"/>
              <w:end w:w="120" w:type="dxa"/>
            </w:tcMar>
            <w:vAlign w:val="center"/>
          </w:tcPr>
          <w:p>
            <w:pPr>
              <w:spacing w:before="0" w:after="0" w:line="240" w:lineRule="auto"/>
            </w:pPr>
            <w:r>
              <w:rPr>
                <w:rFonts w:ascii="Calibri" w:hAnsi="Calibri" w:eastAsia="宋体"/>
                <w:b w:val="0"/>
                <w:sz w:val="18"/>
              </w:rPr>
              <w:t>一天最多执行一种耗时行动；采购为瞬时行为。</w:t>
            </w:r>
          </w:p>
        </w:tc>
        <w:tc>
          <w:tcPr>
            <w:tcW w:type="dxa" w:w="3400"/>
            <w:tcMar>
              <w:top w:w="80" w:type="dxa"/>
              <w:start w:w="120" w:type="dxa"/>
              <w:bottom w:w="80" w:type="dxa"/>
              <w:end w:w="120" w:type="dxa"/>
            </w:tcMar>
            <w:vAlign w:val="center"/>
          </w:tcPr>
          <w:p>
            <w:pPr>
              <w:spacing w:before="0" w:after="0" w:line="240" w:lineRule="auto"/>
            </w:pPr>
            <w:r>
              <w:rPr>
                <w:rFonts w:ascii="Calibri" w:hAnsi="Calibri" w:eastAsia="宋体"/>
                <w:b w:val="0"/>
                <w:sz w:val="18"/>
              </w:rPr>
              <w:t>题目分别定义行走、停留和挖矿的一日消耗，且村庄允许随时采购。</w:t>
            </w:r>
          </w:p>
        </w:tc>
        <w:tc>
          <w:tcPr>
            <w:tcW w:type="dxa" w:w="3460"/>
            <w:tcMar>
              <w:top w:w="80" w:type="dxa"/>
              <w:start w:w="120" w:type="dxa"/>
              <w:bottom w:w="80" w:type="dxa"/>
              <w:end w:w="120" w:type="dxa"/>
            </w:tcMar>
            <w:vAlign w:val="center"/>
          </w:tcPr>
          <w:p>
            <w:pPr>
              <w:spacing w:before="0" w:after="0" w:line="240" w:lineRule="auto"/>
            </w:pPr>
            <w:r>
              <w:rPr>
                <w:rFonts w:ascii="Calibri" w:hAnsi="Calibri" w:eastAsia="宋体"/>
                <w:b w:val="0"/>
                <w:sz w:val="18"/>
              </w:rPr>
              <w:t>可把购买统一归并到日末，形成清晰的逐日状态转移。</w:t>
            </w:r>
          </w:p>
        </w:tc>
      </w:tr>
      <w:tr>
        <w:trPr>
          <w:cantSplit w:val="1"/>
        </w:trPr>
        <w:tc>
          <w:tcPr>
            <w:tcW w:type="dxa" w:w="2500"/>
            <w:tcMar>
              <w:top w:w="80" w:type="dxa"/>
              <w:start w:w="120" w:type="dxa"/>
              <w:bottom w:w="80" w:type="dxa"/>
              <w:end w:w="120" w:type="dxa"/>
            </w:tcMar>
            <w:vAlign w:val="center"/>
          </w:tcPr>
          <w:p>
            <w:pPr>
              <w:spacing w:before="0" w:after="0" w:line="240" w:lineRule="auto"/>
            </w:pPr>
            <w:r>
              <w:rPr>
                <w:rFonts w:ascii="Calibri" w:hAnsi="Calibri" w:eastAsia="宋体"/>
                <w:b w:val="0"/>
                <w:sz w:val="18"/>
              </w:rPr>
              <w:t>村庄同一时点的多次购买可合并。</w:t>
            </w:r>
          </w:p>
        </w:tc>
        <w:tc>
          <w:tcPr>
            <w:tcW w:type="dxa" w:w="3400"/>
            <w:tcMar>
              <w:top w:w="80" w:type="dxa"/>
              <w:start w:w="120" w:type="dxa"/>
              <w:bottom w:w="80" w:type="dxa"/>
              <w:end w:w="120" w:type="dxa"/>
            </w:tcMar>
            <w:vAlign w:val="center"/>
          </w:tcPr>
          <w:p>
            <w:pPr>
              <w:spacing w:before="0" w:after="0" w:line="240" w:lineRule="auto"/>
            </w:pPr>
            <w:r>
              <w:rPr>
                <w:rFonts w:ascii="Calibri" w:hAnsi="Calibri" w:eastAsia="宋体"/>
                <w:b w:val="0"/>
                <w:sz w:val="18"/>
              </w:rPr>
              <w:t>村庄单价固定，无数量折扣、固定费用或购买次数限制。</w:t>
            </w:r>
          </w:p>
        </w:tc>
        <w:tc>
          <w:tcPr>
            <w:tcW w:type="dxa" w:w="3460"/>
            <w:tcMar>
              <w:top w:w="80" w:type="dxa"/>
              <w:start w:w="120" w:type="dxa"/>
              <w:bottom w:w="80" w:type="dxa"/>
              <w:end w:w="120" w:type="dxa"/>
            </w:tcMar>
            <w:vAlign w:val="center"/>
          </w:tcPr>
          <w:p>
            <w:pPr>
              <w:spacing w:before="0" w:after="0" w:line="240" w:lineRule="auto"/>
            </w:pPr>
            <w:r>
              <w:rPr>
                <w:rFonts w:ascii="Calibri" w:hAnsi="Calibri" w:eastAsia="宋体"/>
                <w:b w:val="0"/>
                <w:sz w:val="18"/>
              </w:rPr>
              <w:t>用一次非负整数采购量替代无限次零时间购买，不改变成本和可行集合。</w:t>
            </w:r>
          </w:p>
        </w:tc>
      </w:tr>
      <w:tr>
        <w:trPr>
          <w:cantSplit w:val="1"/>
        </w:trPr>
        <w:tc>
          <w:tcPr>
            <w:tcW w:type="dxa" w:w="2500"/>
            <w:tcMar>
              <w:top w:w="80" w:type="dxa"/>
              <w:start w:w="120" w:type="dxa"/>
              <w:bottom w:w="80" w:type="dxa"/>
              <w:end w:w="120" w:type="dxa"/>
            </w:tcMar>
            <w:vAlign w:val="center"/>
          </w:tcPr>
          <w:p>
            <w:pPr>
              <w:spacing w:before="0" w:after="0" w:line="240" w:lineRule="auto"/>
            </w:pPr>
            <w:r>
              <w:rPr>
                <w:rFonts w:ascii="Calibri" w:hAnsi="Calibri" w:eastAsia="宋体"/>
                <w:b w:val="0"/>
                <w:sz w:val="18"/>
              </w:rPr>
              <w:t>玩家不主动丢弃或途中转售资源。</w:t>
            </w:r>
          </w:p>
        </w:tc>
        <w:tc>
          <w:tcPr>
            <w:tcW w:type="dxa" w:w="3400"/>
            <w:tcMar>
              <w:top w:w="80" w:type="dxa"/>
              <w:start w:w="120" w:type="dxa"/>
              <w:bottom w:w="80" w:type="dxa"/>
              <w:end w:w="120" w:type="dxa"/>
            </w:tcMar>
            <w:vAlign w:val="center"/>
          </w:tcPr>
          <w:p>
            <w:pPr>
              <w:spacing w:before="0" w:after="0" w:line="240" w:lineRule="auto"/>
            </w:pPr>
            <w:r>
              <w:rPr>
                <w:rFonts w:ascii="Calibri" w:hAnsi="Calibri" w:eastAsia="宋体"/>
                <w:b w:val="0"/>
                <w:sz w:val="18"/>
              </w:rPr>
              <w:t>题目没有规定丢弃和途中回收，只有终点半价回收。</w:t>
            </w:r>
          </w:p>
        </w:tc>
        <w:tc>
          <w:tcPr>
            <w:tcW w:type="dxa" w:w="3460"/>
            <w:tcMar>
              <w:top w:w="80" w:type="dxa"/>
              <w:start w:w="120" w:type="dxa"/>
              <w:bottom w:w="80" w:type="dxa"/>
              <w:end w:w="120" w:type="dxa"/>
            </w:tcMar>
            <w:vAlign w:val="center"/>
          </w:tcPr>
          <w:p>
            <w:pPr>
              <w:spacing w:before="0" w:after="0" w:line="240" w:lineRule="auto"/>
            </w:pPr>
            <w:r>
              <w:rPr>
                <w:rFonts w:ascii="Calibri" w:hAnsi="Calibri" w:eastAsia="宋体"/>
                <w:b w:val="0"/>
                <w:sz w:val="18"/>
              </w:rPr>
              <w:t>避免加入未定义动作；库存变化只来自采购和消耗，便于守恒检验。</w:t>
            </w:r>
          </w:p>
        </w:tc>
      </w:tr>
      <w:tr>
        <w:trPr>
          <w:cantSplit w:val="1"/>
        </w:trPr>
        <w:tc>
          <w:tcPr>
            <w:tcW w:type="dxa" w:w="2500"/>
            <w:tcMar>
              <w:top w:w="80" w:type="dxa"/>
              <w:start w:w="120" w:type="dxa"/>
              <w:bottom w:w="80" w:type="dxa"/>
              <w:end w:w="120" w:type="dxa"/>
            </w:tcMar>
            <w:vAlign w:val="center"/>
          </w:tcPr>
          <w:p>
            <w:pPr>
              <w:spacing w:before="0" w:after="0" w:line="240" w:lineRule="auto"/>
            </w:pPr>
            <w:r>
              <w:rPr>
                <w:rFonts w:ascii="Calibri" w:hAnsi="Calibri" w:eastAsia="宋体"/>
                <w:b w:val="0"/>
                <w:sz w:val="18"/>
              </w:rPr>
              <w:t>到达终点立即结束，剩余资源按半价结算。</w:t>
            </w:r>
          </w:p>
        </w:tc>
        <w:tc>
          <w:tcPr>
            <w:tcW w:type="dxa" w:w="3400"/>
            <w:tcMar>
              <w:top w:w="80" w:type="dxa"/>
              <w:start w:w="120" w:type="dxa"/>
              <w:bottom w:w="80" w:type="dxa"/>
              <w:end w:w="120" w:type="dxa"/>
            </w:tcMar>
            <w:vAlign w:val="center"/>
          </w:tcPr>
          <w:p>
            <w:pPr>
              <w:spacing w:before="0" w:after="0" w:line="240" w:lineRule="auto"/>
            </w:pPr>
            <w:r>
              <w:rPr>
                <w:rFonts w:ascii="Calibri" w:hAnsi="Calibri" w:eastAsia="宋体"/>
                <w:b w:val="0"/>
                <w:sz w:val="18"/>
              </w:rPr>
              <w:t>这是题目明确的终止规则，且不能预先假设终点库存一定为零。</w:t>
            </w:r>
          </w:p>
        </w:tc>
        <w:tc>
          <w:tcPr>
            <w:tcW w:type="dxa" w:w="3460"/>
            <w:tcMar>
              <w:top w:w="80" w:type="dxa"/>
              <w:start w:w="120" w:type="dxa"/>
              <w:bottom w:w="80" w:type="dxa"/>
              <w:end w:w="120" w:type="dxa"/>
            </w:tcMar>
            <w:vAlign w:val="center"/>
          </w:tcPr>
          <w:p>
            <w:pPr>
              <w:spacing w:before="0" w:after="0" w:line="240" w:lineRule="auto"/>
            </w:pPr>
            <w:r>
              <w:rPr>
                <w:rFonts w:ascii="Calibri" w:hAnsi="Calibri" w:eastAsia="宋体"/>
                <w:b w:val="0"/>
                <w:sz w:val="18"/>
              </w:rPr>
              <w:t>终点成为吸收状态，目标函数保留库存回收价值并禁止到达后继续挖矿。</w:t>
            </w:r>
          </w:p>
        </w:tc>
      </w:tr>
    </w:tbl>
    <w:p>
      <w:pPr>
        <w:pStyle w:val="Heading1"/>
      </w:pPr>
      <w:r>
        <w:rPr>
          <w:rFonts w:ascii="Calibri" w:hAnsi="Calibri" w:eastAsia="黑体"/>
          <w:b/>
          <w:color w:val="2E74B5"/>
          <w:sz w:val="32"/>
        </w:rPr>
        <w:t>4 符号说明</w:t>
      </w:r>
    </w:p>
    <w:tbl>
      <w:tblPr>
        <w:tblW w:type="dxa" w:w="9360"/>
        <w:jc w:val="left"/>
        <w:tblLayout w:type="fixed"/>
        <w:tblLook w:firstColumn="1" w:firstRow="1" w:lastColumn="0" w:lastRow="0" w:noHBand="0" w:noVBand="1" w:val="04A0"/>
        <w:tblInd w:w="120" w:type="dxa"/>
        <w:tblBorders>
          <w:top w:val="single" w:sz="12" w:color="7F8C99"/>
          <w:bottom w:val="single" w:sz="12" w:color="7F8C99"/>
          <w:left w:val="nil" w:sz="0" w:color="7F8C99"/>
          <w:right w:val="nil" w:sz="0" w:color="7F8C99"/>
          <w:insideH w:val="nil" w:sz="0" w:color="7F8C99"/>
          <w:insideV w:val="nil" w:sz="0" w:color="7F8C99"/>
        </w:tblBorders>
      </w:tblPr>
      <w:tblGrid>
        <w:gridCol w:w="1600"/>
        <w:gridCol w:w="5660"/>
        <w:gridCol w:w="2100"/>
      </w:tblGrid>
      <w:tr>
        <w:trPr>
          <w:cantSplit w:val="1"/>
          <w:tblHeader/>
        </w:trPr>
        <w:tc>
          <w:tcPr>
            <w:tcW w:type="dxa" w:w="16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8"/>
              </w:rPr>
              <w:t>符号</w:t>
            </w:r>
          </w:p>
        </w:tc>
        <w:tc>
          <w:tcPr>
            <w:tcW w:type="dxa" w:w="566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8"/>
              </w:rPr>
              <w:t>含义</w:t>
            </w:r>
          </w:p>
        </w:tc>
        <w:tc>
          <w:tcPr>
            <w:tcW w:type="dxa" w:w="21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8"/>
              </w:rPr>
              <w:t>单位</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G=(V,E)</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地图对应的无向图；V 为区域集合，E 为公共边界邻接边集合</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s,g</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起点与终点节点</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节点编号</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V_v,V_m</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村庄节点集合、矿山节点集合</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T,t</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截止日期与当前日序号</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天</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ω_t</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第 t 天已知天气</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M,C_0,R</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负重上限、初始资金、矿山日基础收益</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kg，元，元/天</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p_w,p_f</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水、食物基准价格</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元/箱</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m_w,m_f</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每箱水、食物质量</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kg/箱</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c_w(ω),c_f(ω)</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天气 ω 下停留一天的水、食物基础消耗</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箱/天</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a_t</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第 t 天行动：停留、行走或挖矿</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κ(a_t)</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行动消耗倍率，分别为 1、2、3</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i_t,W_t,F_t,C_t</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第 t 日日末位置、水库存、食物库存与现金</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节点，箱，箱，元</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b^w_t,b^f_t</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第 t 天日末在村庄购买的水、食物量</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箱</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V_t(i,w,f)</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第 t 日日末状态可达到的最大现金</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元</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d(i,g)</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节点 i 到终点的最少移动步数</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可移动日</w:t>
            </w:r>
          </w:p>
        </w:tc>
      </w:tr>
      <w:tr>
        <w:trPr>
          <w:cantSplit w:val="1"/>
        </w:trPr>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8"/>
              </w:rPr>
              <w:t>Z</w:t>
            </w:r>
          </w:p>
        </w:tc>
        <w:tc>
          <w:tcPr>
            <w:tcW w:type="dxa" w:w="5660"/>
            <w:tcMar>
              <w:top w:w="80" w:type="dxa"/>
              <w:start w:w="120" w:type="dxa"/>
              <w:bottom w:w="80" w:type="dxa"/>
              <w:end w:w="120" w:type="dxa"/>
            </w:tcMar>
            <w:vAlign w:val="center"/>
          </w:tcPr>
          <w:p>
            <w:pPr>
              <w:spacing w:before="0" w:after="0" w:line="240" w:lineRule="auto"/>
            </w:pPr>
            <w:r>
              <w:rPr>
                <w:rFonts w:ascii="Calibri" w:hAnsi="Calibri" w:eastAsia="宋体"/>
                <w:b w:val="0"/>
                <w:sz w:val="18"/>
              </w:rPr>
              <w:t>到达终点后的终端总财富</w:t>
            </w:r>
          </w:p>
        </w:tc>
        <w:tc>
          <w:tcPr>
            <w:tcW w:type="dxa" w:w="2100"/>
            <w:tcMar>
              <w:top w:w="80" w:type="dxa"/>
              <w:start w:w="120" w:type="dxa"/>
              <w:bottom w:w="80" w:type="dxa"/>
              <w:end w:w="120" w:type="dxa"/>
            </w:tcMar>
            <w:vAlign w:val="center"/>
          </w:tcPr>
          <w:p>
            <w:pPr>
              <w:spacing w:before="0" w:after="0" w:line="240" w:lineRule="auto"/>
            </w:pPr>
            <w:r>
              <w:rPr>
                <w:rFonts w:ascii="Calibri" w:hAnsi="Calibri" w:eastAsia="宋体"/>
                <w:b w:val="0"/>
                <w:sz w:val="18"/>
              </w:rPr>
              <w:t>元</w:t>
            </w:r>
          </w:p>
        </w:tc>
      </w:tr>
    </w:tbl>
    <w:p>
      <w:r>
        <w:br w:type="page"/>
      </w:r>
    </w:p>
    <w:p>
      <w:pPr>
        <w:pStyle w:val="Heading1"/>
      </w:pPr>
      <w:r>
        <w:rPr>
          <w:rFonts w:ascii="Calibri" w:hAnsi="Calibri" w:eastAsia="黑体"/>
          <w:b/>
          <w:color w:val="2E74B5"/>
          <w:sz w:val="32"/>
        </w:rPr>
        <w:t>5 模型建立</w:t>
      </w:r>
    </w:p>
    <w:p>
      <w:pPr>
        <w:pStyle w:val="Heading2"/>
      </w:pPr>
      <w:r>
        <w:rPr>
          <w:rFonts w:ascii="Calibri" w:hAnsi="Calibri" w:eastAsia="黑体"/>
          <w:b/>
          <w:color w:val="2E74B5"/>
          <w:sz w:val="26"/>
        </w:rPr>
        <w:t>5.1 图模型与数据预处理</w:t>
      </w:r>
    </w:p>
    <w:p>
      <w:pPr>
        <w:jc w:val="both"/>
      </w:pPr>
      <w:r>
        <w:rPr>
          <w:rFonts w:ascii="Calibri" w:hAnsi="Calibri" w:eastAsia="宋体"/>
          <w:sz w:val="22"/>
        </w:rPr>
        <w:t>将地图表示为无向图 G=(V,E)。若区域 i 与 j 共享公共边界，则 (i,j)∈E；仅共享顶点不连边。每次合法移动恰好占用一天，故边权统一为 1。BFS 只计算节点到终点的最少移动步数 d(i,g)，用于可达性检查，不直接替代天气、资源和收益决策。第一关共有 27 个节点、53 条无向边；第二关共有 64 个节点、161 条无向边。</w:t>
      </w:r>
    </w:p>
    <w:p>
      <w:pPr>
        <w:pStyle w:val="Heading2"/>
      </w:pPr>
      <w:r>
        <w:rPr>
          <w:rFonts w:ascii="Calibri" w:hAnsi="Calibri" w:eastAsia="黑体"/>
          <w:b/>
          <w:color w:val="2E74B5"/>
          <w:sz w:val="26"/>
        </w:rPr>
        <w:t>5.2 决策变量、状态变量与价值函数</w:t>
      </w:r>
    </w:p>
    <w:p>
      <w:pPr>
        <w:jc w:val="both"/>
      </w:pPr>
      <w:r>
        <w:rPr>
          <w:rFonts w:ascii="Calibri" w:hAnsi="Calibri" w:eastAsia="宋体"/>
          <w:sz w:val="22"/>
        </w:rPr>
        <w:t>每日耗时决策 a_t∈{Stay, Move(j), Mine}。若行动为 Move(j)，必须满足 j∈N(i_{t-1})；采购决策 b^w_t、b^f_t 为非负整数。状态采用日末口径 S_t=(t,i_t,W_t,F_t)，现金不作为 DP 索引，而由价值函数保存。</w:t>
      </w:r>
    </w:p>
    <w:p>
      <w:pPr>
        <w:spacing w:before="80" w:after="120"/>
        <w:jc w:val="center"/>
      </w:pPr>
      <w:r>
        <w:rPr>
          <w:rFonts w:ascii="Cambria Math" w:hAnsi="Cambria Math" w:eastAsia="宋体"/>
          <w:sz w:val="22"/>
        </w:rPr>
        <w:t>V_t(i,w,f)=第 t 日日末处于节点 i、余水 w、余食 f 时可达到的最大现金    (1)</w:t>
      </w:r>
    </w:p>
    <w:p>
      <w:pPr>
        <w:jc w:val="both"/>
      </w:pPr>
      <w:r>
        <w:rPr>
          <w:rFonts w:ascii="Calibri" w:hAnsi="Calibri" w:eastAsia="宋体"/>
          <w:sz w:val="22"/>
        </w:rPr>
        <w:t>这一降维利用了最优子结构：若两个历史在同日、同位置、同库存汇合，未来可选动作集合完全相同，现金较多者必不劣。因此无需记录完整历史，只需保存最优前驱。</w:t>
      </w:r>
    </w:p>
    <w:p>
      <w:pPr>
        <w:pStyle w:val="Heading2"/>
      </w:pPr>
      <w:r>
        <w:rPr>
          <w:rFonts w:ascii="Calibri" w:hAnsi="Calibri" w:eastAsia="黑体"/>
          <w:b/>
          <w:color w:val="2E74B5"/>
          <w:sz w:val="26"/>
        </w:rPr>
        <w:t>5.3 目标函数</w:t>
      </w:r>
    </w:p>
    <w:p>
      <w:pPr>
        <w:jc w:val="both"/>
      </w:pPr>
      <w:r>
        <w:rPr>
          <w:rFonts w:ascii="Calibri" w:hAnsi="Calibri" w:eastAsia="宋体"/>
          <w:sz w:val="22"/>
        </w:rPr>
        <w:t>设玩家在第 τ 天到达终点。现金之外，剩余资源按基准价格的一半退回，因此终端目标不能简单写为“最大剩余现金”，也不能预先把终点库存设为零。</w:t>
      </w:r>
    </w:p>
    <w:p>
      <w:pPr>
        <w:spacing w:before="80" w:after="120"/>
        <w:jc w:val="center"/>
      </w:pPr>
      <w:r>
        <w:rPr>
          <w:rFonts w:ascii="Cambria Math" w:hAnsi="Cambria Math" w:eastAsia="宋体"/>
          <w:sz w:val="22"/>
        </w:rPr>
        <w:t>max Z = C_τ + 0.5 p_w W_τ + 0.5 p_f F_τ    (2)</w:t>
      </w:r>
    </w:p>
    <w:p>
      <w:pPr>
        <w:spacing w:before="80" w:after="120"/>
        <w:jc w:val="center"/>
      </w:pPr>
      <w:r>
        <w:rPr>
          <w:rFonts w:ascii="Cambria Math" w:hAnsi="Cambria Math" w:eastAsia="宋体"/>
          <w:sz w:val="22"/>
        </w:rPr>
        <w:t>s.t.  0≤τ≤T，i_τ=g    (3)</w:t>
      </w:r>
    </w:p>
    <w:p>
      <w:pPr>
        <w:pStyle w:val="Heading2"/>
      </w:pPr>
      <w:r>
        <w:rPr>
          <w:rFonts w:ascii="Calibri" w:hAnsi="Calibri" w:eastAsia="黑体"/>
          <w:b/>
          <w:color w:val="2E74B5"/>
          <w:sz w:val="26"/>
        </w:rPr>
        <w:t>5.4 初始采购约束</w:t>
      </w:r>
    </w:p>
    <w:p>
      <w:pPr>
        <w:jc w:val="both"/>
      </w:pPr>
      <w:r>
        <w:rPr>
          <w:rFonts w:ascii="Calibri" w:hAnsi="Calibri" w:eastAsia="宋体"/>
          <w:sz w:val="22"/>
        </w:rPr>
        <w:t>第 0 天仅在起点按基准价采购一次。水、食物箱数为非负整数，并同时满足预算和负重。返回起点不再产生采购权限。</w:t>
      </w:r>
    </w:p>
    <w:p>
      <w:pPr>
        <w:spacing w:before="80" w:after="120"/>
        <w:jc w:val="center"/>
      </w:pPr>
      <w:r>
        <w:rPr>
          <w:rFonts w:ascii="Cambria Math" w:hAnsi="Cambria Math" w:eastAsia="宋体"/>
          <w:sz w:val="22"/>
        </w:rPr>
        <w:t>C_0 = 10000 - p_w W_0 - p_f F_0    (4)</w:t>
      </w:r>
    </w:p>
    <w:p>
      <w:pPr>
        <w:spacing w:before="80" w:after="120"/>
        <w:jc w:val="center"/>
      </w:pPr>
      <w:r>
        <w:rPr>
          <w:rFonts w:ascii="Cambria Math" w:hAnsi="Cambria Math" w:eastAsia="宋体"/>
          <w:sz w:val="22"/>
        </w:rPr>
        <w:t>p_wW_0+p_fF_0≤10000，m_wW_0+m_fF_0≤1200，W_0,F_0∈Z_+    (5)</w:t>
      </w:r>
    </w:p>
    <w:p>
      <w:pPr>
        <w:pStyle w:val="Heading2"/>
      </w:pPr>
      <w:r>
        <w:rPr>
          <w:rFonts w:ascii="Calibri" w:hAnsi="Calibri" w:eastAsia="黑体"/>
          <w:b/>
          <w:color w:val="2E74B5"/>
          <w:sz w:val="26"/>
        </w:rPr>
        <w:t>5.5 行动合法性与消耗</w:t>
      </w:r>
    </w:p>
    <w:p>
      <w:pPr>
        <w:jc w:val="both"/>
      </w:pPr>
      <w:r>
        <w:rPr>
          <w:rFonts w:ascii="Calibri" w:hAnsi="Calibri" w:eastAsia="宋体"/>
          <w:sz w:val="22"/>
        </w:rPr>
        <w:t>停留、行走、挖矿的消耗倍率分别为 1、2、3。沙暴不是改变倍率，而是直接禁止行走；挖矿要求当日开始时已位于矿山，因此到达矿山当天不能同时挖矿。</w:t>
      </w:r>
    </w:p>
    <w:p>
      <w:pPr>
        <w:spacing w:before="80" w:after="120"/>
        <w:jc w:val="center"/>
      </w:pPr>
      <w:r>
        <w:rPr>
          <w:rFonts w:ascii="Cambria Math" w:hAnsi="Cambria Math" w:eastAsia="宋体"/>
          <w:sz w:val="22"/>
        </w:rPr>
        <w:t>κ(a_t)=1(停留)，2(行走)，3(挖矿)    (6)</w:t>
      </w:r>
    </w:p>
    <w:p>
      <w:pPr>
        <w:spacing w:before="80" w:after="120"/>
        <w:jc w:val="center"/>
      </w:pPr>
      <w:r>
        <w:rPr>
          <w:rFonts w:ascii="Cambria Math" w:hAnsi="Cambria Math" w:eastAsia="宋体"/>
          <w:sz w:val="22"/>
        </w:rPr>
        <w:t>ΔW_t=κ(a_t)c_w(ω_t)，ΔF_t=κ(a_t)c_f(ω_t)    (7)</w:t>
      </w:r>
    </w:p>
    <w:p>
      <w:pPr>
        <w:spacing w:before="80" w:after="120"/>
        <w:jc w:val="center"/>
      </w:pPr>
      <w:r>
        <w:rPr>
          <w:rFonts w:ascii="Cambria Math" w:hAnsi="Cambria Math" w:eastAsia="宋体"/>
          <w:sz w:val="22"/>
        </w:rPr>
        <w:t>Move(j)可行⇔j∈N(i_{t-1})且ω_t≠沙暴；Mine可行⇔i_{t-1}∈V_m    (8)</w:t>
      </w:r>
    </w:p>
    <w:p>
      <w:pPr>
        <w:pStyle w:val="Heading2"/>
      </w:pPr>
      <w:r>
        <w:rPr>
          <w:rFonts w:ascii="Calibri" w:hAnsi="Calibri" w:eastAsia="黑体"/>
          <w:b/>
          <w:color w:val="2E74B5"/>
          <w:sz w:val="26"/>
        </w:rPr>
        <w:t>5.6 资源与现金递推</w:t>
      </w:r>
    </w:p>
    <w:p>
      <w:pPr>
        <w:jc w:val="both"/>
      </w:pPr>
      <w:r>
        <w:rPr>
          <w:rFonts w:ascii="Calibri" w:hAnsi="Calibri" w:eastAsia="宋体"/>
          <w:sz w:val="22"/>
        </w:rPr>
        <w:t>每天先完成耗时行动并扣除消耗，再执行日末村庄采购。这样可确保当天刚到村庄时，移动消耗必须由到达前库存承担，避免把“先买后走”错误地混入同一天。</w:t>
      </w:r>
    </w:p>
    <w:p>
      <w:pPr>
        <w:spacing w:before="80" w:after="120"/>
        <w:jc w:val="center"/>
      </w:pPr>
      <w:r>
        <w:rPr>
          <w:rFonts w:ascii="Cambria Math" w:hAnsi="Cambria Math" w:eastAsia="宋体"/>
          <w:sz w:val="22"/>
        </w:rPr>
        <w:t>W_t=W_{t-1}-κ(a_t)c_w(ω_t)+b^w_t    (9)</w:t>
      </w:r>
    </w:p>
    <w:p>
      <w:pPr>
        <w:spacing w:before="80" w:after="120"/>
        <w:jc w:val="center"/>
      </w:pPr>
      <w:r>
        <w:rPr>
          <w:rFonts w:ascii="Cambria Math" w:hAnsi="Cambria Math" w:eastAsia="宋体"/>
          <w:sz w:val="22"/>
        </w:rPr>
        <w:t>F_t=F_{t-1}-κ(a_t)c_f(ω_t)+b^f_t    (10)</w:t>
      </w:r>
    </w:p>
    <w:p>
      <w:pPr>
        <w:spacing w:before="80" w:after="120"/>
        <w:jc w:val="center"/>
      </w:pPr>
      <w:r>
        <w:rPr>
          <w:rFonts w:ascii="Cambria Math" w:hAnsi="Cambria Math" w:eastAsia="宋体"/>
          <w:sz w:val="22"/>
        </w:rPr>
        <w:t>C_t=C_{t-1}+R·I(a_t=Mine)-2p_wb^w_t-2p_fb^f_t    (11)</w:t>
      </w:r>
    </w:p>
    <w:p>
      <w:pPr>
        <w:spacing w:before="80" w:after="120"/>
        <w:jc w:val="center"/>
      </w:pPr>
      <w:r>
        <w:rPr>
          <w:rFonts w:ascii="Cambria Math" w:hAnsi="Cambria Math" w:eastAsia="宋体"/>
          <w:sz w:val="22"/>
        </w:rPr>
        <w:t>W_t,F_t,C_t≥0，m_wW_t+m_fF_t≤M    (12)</w:t>
      </w:r>
    </w:p>
    <w:p>
      <w:pPr>
        <w:pStyle w:val="Heading2"/>
      </w:pPr>
      <w:r>
        <w:rPr>
          <w:rFonts w:ascii="Calibri" w:hAnsi="Calibri" w:eastAsia="黑体"/>
          <w:b/>
          <w:color w:val="2E74B5"/>
          <w:sz w:val="26"/>
        </w:rPr>
        <w:t>5.7 村庄补给与终点吸收</w:t>
      </w:r>
    </w:p>
    <w:p>
      <w:pPr>
        <w:jc w:val="both"/>
      </w:pPr>
      <w:r>
        <w:rPr>
          <w:rFonts w:ascii="Calibri" w:hAnsi="Calibri" w:eastAsia="宋体"/>
          <w:sz w:val="22"/>
        </w:rPr>
        <w:t>只有日末位置属于村庄时，b^w_t、b^f_t 才可为正；购买后立即检查现金与负重。到达终点后，位置、现金和库存保持不变，不再产生移动、停留消耗、采购或挖矿收益。该吸收约束是模型检验中的重点，因为若允许离开终点，会产生违规的二次挖矿收益。</w:t>
      </w:r>
    </w:p>
    <w:p>
      <w:pPr>
        <w:spacing w:before="80" w:after="120"/>
        <w:jc w:val="center"/>
      </w:pPr>
      <w:r>
        <w:rPr>
          <w:rFonts w:ascii="Cambria Math" w:hAnsi="Cambria Math" w:eastAsia="宋体"/>
          <w:sz w:val="22"/>
        </w:rPr>
        <w:t>b^w_t=b^f_t=0，若 i_t∉V_v；到达 g 后 a_{t+1}=Finish    (13)</w:t>
      </w:r>
    </w:p>
    <w:p>
      <w:pPr>
        <w:pStyle w:val="Heading2"/>
      </w:pPr>
      <w:r>
        <w:rPr>
          <w:rFonts w:ascii="Calibri" w:hAnsi="Calibri" w:eastAsia="黑体"/>
          <w:b/>
          <w:color w:val="2E74B5"/>
          <w:sz w:val="26"/>
        </w:rPr>
        <w:t>5.8 Bellman 转移与状态支配</w:t>
      </w:r>
    </w:p>
    <w:p>
      <w:pPr>
        <w:jc w:val="both"/>
      </w:pPr>
      <w:r>
        <w:rPr>
          <w:rFonts w:ascii="Calibri" w:hAnsi="Calibri" w:eastAsia="宋体"/>
          <w:sz w:val="22"/>
        </w:rPr>
        <w:t>设从上一日状态 s 经合法行动 a 和日末采购 b 到达 s′，对应现金增量为 r_t(s,a,b)，则 Bellman 方程为：</w:t>
      </w:r>
    </w:p>
    <w:p>
      <w:pPr>
        <w:spacing w:before="80" w:after="120"/>
        <w:jc w:val="center"/>
      </w:pPr>
      <w:r>
        <w:rPr>
          <w:rFonts w:ascii="Cambria Math" w:hAnsi="Cambria Math" w:eastAsia="宋体"/>
          <w:sz w:val="22"/>
        </w:rPr>
        <w:t>V_t(s′)=max_{(s,a,b)→s′}{V_{t-1}(s)+r_t(s,a,b)}    (14)</w:t>
      </w:r>
    </w:p>
    <w:p>
      <w:pPr>
        <w:jc w:val="both"/>
      </w:pPr>
      <w:r>
        <w:rPr>
          <w:rFonts w:ascii="Calibri" w:hAnsi="Calibri" w:eastAsia="宋体"/>
          <w:sz w:val="22"/>
        </w:rPr>
        <w:t>在相同日期和节点，若标签 A 的水、食物和现金均不低于标签 B，且至少一项严格更高，则 A 可以模仿 B 的全部后续行动，B 可安全删除。这一 Pareto 支配不引入经验阈值，不改变全局最优。BFS 距离与未来非沙暴日还构成最早到达下界；剩余天数乘基础收益构成乐观收益上界。</w:t>
      </w:r>
    </w:p>
    <w:p>
      <w:pPr>
        <w:pStyle w:val="Heading2"/>
      </w:pPr>
      <w:r>
        <w:rPr>
          <w:rFonts w:ascii="Calibri" w:hAnsi="Calibri" w:eastAsia="黑体"/>
          <w:b/>
          <w:color w:val="2E74B5"/>
          <w:sz w:val="26"/>
        </w:rPr>
        <w:t>5.9 等价整数展开与精确求解</w:t>
      </w:r>
    </w:p>
    <w:p>
      <w:pPr>
        <w:jc w:val="both"/>
      </w:pPr>
      <w:r>
        <w:rPr>
          <w:rFonts w:ascii="Calibri" w:hAnsi="Calibri" w:eastAsia="宋体"/>
          <w:sz w:val="22"/>
        </w:rPr>
        <w:t>为避免直接枚举约 30×|V|×401×601 个稠密状态，工程求解将上述逐日 Bellman 转移等价展开为网络流整数模型。用 x_{t,i} 表示第 t 日日末是否位于节点 i，用 y_{t,i,j} 表示第 t 天是否沿边 (i,j) 行走，用 u^S_{t,i}、u^M_{t,i} 表示停留和挖矿。每个日初位置恰好选择一个动作，每个日末位置由唯一动作产生；库存、现金和采购量仍按式（9）—（12）递推。</w:t>
      </w:r>
    </w:p>
    <w:p>
      <w:pPr>
        <w:spacing w:before="80" w:after="120"/>
        <w:jc w:val="center"/>
      </w:pPr>
      <w:r>
        <w:rPr>
          <w:rFonts w:ascii="Cambria Math" w:hAnsi="Cambria Math" w:eastAsia="宋体"/>
          <w:sz w:val="22"/>
        </w:rPr>
        <w:t>Σ_j y_{t,i,j}+u^S_{t,i}+u^M_{t,i}+u^G_t=x_{t-1,i}    (15)</w:t>
      </w:r>
    </w:p>
    <w:p>
      <w:pPr>
        <w:spacing w:before="80" w:after="120"/>
        <w:jc w:val="center"/>
      </w:pPr>
      <w:r>
        <w:rPr>
          <w:rFonts w:ascii="Cambria Math" w:hAnsi="Cambria Math" w:eastAsia="宋体"/>
          <w:sz w:val="22"/>
        </w:rPr>
        <w:t>x_{t,j}=Σ_i y_{t,i,j}+u^S_{t,j}+u^M_{t,j}+u^G_t I(j=g)    (16)</w:t>
      </w:r>
    </w:p>
    <w:p>
      <w:pPr>
        <w:jc w:val="both"/>
      </w:pPr>
      <w:r>
        <w:rPr>
          <w:rFonts w:ascii="Calibri" w:hAnsi="Calibri" w:eastAsia="宋体"/>
          <w:sz w:val="22"/>
        </w:rPr>
        <w:t>该展开与有限期状态模型在每日动作、资源和资金层面一一对应。SciPy 的 milp 接口调用 HiGHS 分支定界求解，要求相对 MIP 间隙为 0；随后输出的逐日策略由独立 checker 再次复算。</w:t>
      </w:r>
    </w:p>
    <w:p>
      <w:pPr>
        <w:pStyle w:val="Heading1"/>
      </w:pPr>
      <w:r>
        <w:rPr>
          <w:rFonts w:ascii="Calibri" w:hAnsi="Calibri" w:eastAsia="黑体"/>
          <w:b/>
          <w:color w:val="2E74B5"/>
          <w:sz w:val="32"/>
        </w:rPr>
        <w:t>6 模型求解与结果分析</w:t>
      </w:r>
    </w:p>
    <w:p>
      <w:pPr>
        <w:pStyle w:val="Heading2"/>
      </w:pPr>
      <w:r>
        <w:rPr>
          <w:rFonts w:ascii="Calibri" w:hAnsi="Calibri" w:eastAsia="黑体"/>
          <w:b/>
          <w:color w:val="2E74B5"/>
          <w:sz w:val="26"/>
        </w:rPr>
        <w:t>6.1 求解工具与步骤</w:t>
      </w:r>
    </w:p>
    <w:p>
      <w:pPr>
        <w:jc w:val="both"/>
      </w:pPr>
      <w:r>
        <w:rPr>
          <w:rFonts w:ascii="Calibri" w:hAnsi="Calibri" w:eastAsia="宋体"/>
          <w:sz w:val="22"/>
        </w:rPr>
        <w:t>求解代码使用 Python 3.10、NumPy、SciPy 1.15.3 和 HiGHS。首先加载关卡配置并运行地图、天气和参数断言；其次建立逐日位置流、行动、库存、现金和采购变量；然后加入沙暴禁行、矿山、村庄、终点吸收与资源守恒约束；调用 milp 求得零 MIP 间隙的全局最优解；最后按变量值回溯每日动作，并由 checker 从第 0 天独立重算。</w:t>
      </w:r>
    </w:p>
    <w:p>
      <w:pPr>
        <w:jc w:val="both"/>
      </w:pPr>
      <w:r>
        <w:rPr>
          <w:rFonts w:ascii="Calibri" w:hAnsi="Calibri" w:eastAsia="宋体"/>
          <w:sz w:val="22"/>
        </w:rPr>
        <w:t>求解流程可写为：关卡配置→图结构校验→建立第 0 天采购变量→逐日位置流和行动约束→库存/现金递推→终点目标→HiGHS 分支定界→收敛判断（MIP gap=0）→策略提取→独立规则复算→输出 CSV、JSON 和 Result.xlsx。</w:t>
      </w:r>
    </w:p>
    <w:p>
      <w:pPr>
        <w:pStyle w:val="Heading2"/>
      </w:pPr>
      <w:r>
        <w:rPr>
          <w:rFonts w:ascii="Calibri" w:hAnsi="Calibri" w:eastAsia="黑体"/>
          <w:b/>
          <w:color w:val="2E74B5"/>
          <w:sz w:val="26"/>
        </w:rPr>
        <w:t>6.2 第一关求解结果</w:t>
      </w:r>
    </w:p>
    <w:p>
      <w:pPr>
        <w:jc w:val="both"/>
      </w:pPr>
      <w:r>
        <w:rPr>
          <w:rFonts w:ascii="Calibri" w:hAnsi="Calibri" w:eastAsia="宋体"/>
          <w:sz w:val="22"/>
        </w:rPr>
        <w:t>第一关最优终端财富为 10470 元，第 24 天到达终点。第 0 天购买 178 箱水和 333 箱食物，采购后现金为 5780 元，初始负重恰为 1200 kg。最优路线依次经过村庄 15 和矿山 12，在矿山有效挖矿 7 天；第 8 天和第 21 天在村庄补给，最终水、食物均为 0。</w:t>
      </w:r>
    </w:p>
    <w:p>
      <w:pPr>
        <w:keepNext/>
        <w:spacing w:before="80" w:after="80"/>
        <w:jc w:val="center"/>
      </w:pPr>
      <w:r>
        <w:rPr>
          <w:rFonts w:ascii="Calibri" w:hAnsi="Calibri" w:eastAsia="黑体"/>
          <w:b/>
          <w:color w:val="0B2545"/>
          <w:sz w:val="19"/>
        </w:rPr>
        <w:t>表 6-1 第一关逐日最优策略（日末口径）</w:t>
      </w:r>
    </w:p>
    <w:tbl>
      <w:tblPr>
        <w:tblW w:type="dxa" w:w="9360"/>
        <w:jc w:val="left"/>
        <w:tblLayout w:type="fixed"/>
        <w:tblLook w:firstColumn="1" w:firstRow="1" w:lastColumn="0" w:lastRow="0" w:noHBand="0" w:noVBand="1" w:val="04A0"/>
        <w:tblInd w:w="120" w:type="dxa"/>
        <w:tblBorders>
          <w:top w:val="single" w:sz="12" w:color="7F8C99"/>
          <w:bottom w:val="single" w:sz="12" w:color="7F8C99"/>
          <w:left w:val="nil" w:sz="0" w:color="7F8C99"/>
          <w:right w:val="nil" w:sz="0" w:color="7F8C99"/>
          <w:insideH w:val="nil" w:sz="0" w:color="7F8C99"/>
          <w:insideV w:val="nil" w:sz="0" w:color="7F8C99"/>
        </w:tblBorders>
      </w:tblPr>
      <w:tblGrid>
        <w:gridCol w:w="650"/>
        <w:gridCol w:w="1050"/>
        <w:gridCol w:w="800"/>
        <w:gridCol w:w="1000"/>
        <w:gridCol w:w="950"/>
        <w:gridCol w:w="950"/>
        <w:gridCol w:w="1600"/>
        <w:gridCol w:w="1180"/>
        <w:gridCol w:w="1180"/>
      </w:tblGrid>
      <w:tr>
        <w:trPr>
          <w:cantSplit w:val="1"/>
          <w:tblHeader/>
        </w:trPr>
        <w:tc>
          <w:tcPr>
            <w:tcW w:type="dxa" w:w="65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日</w:t>
            </w:r>
          </w:p>
        </w:tc>
        <w:tc>
          <w:tcPr>
            <w:tcW w:type="dxa" w:w="105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天气</w:t>
            </w:r>
          </w:p>
        </w:tc>
        <w:tc>
          <w:tcPr>
            <w:tcW w:type="dxa" w:w="8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区域</w:t>
            </w:r>
          </w:p>
        </w:tc>
        <w:tc>
          <w:tcPr>
            <w:tcW w:type="dxa" w:w="10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行动</w:t>
            </w:r>
          </w:p>
        </w:tc>
        <w:tc>
          <w:tcPr>
            <w:tcW w:type="dxa" w:w="95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买水</w:t>
            </w:r>
          </w:p>
        </w:tc>
        <w:tc>
          <w:tcPr>
            <w:tcW w:type="dxa" w:w="95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买食</w:t>
            </w:r>
          </w:p>
        </w:tc>
        <w:tc>
          <w:tcPr>
            <w:tcW w:type="dxa" w:w="16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现金</w:t>
            </w:r>
          </w:p>
        </w:tc>
        <w:tc>
          <w:tcPr>
            <w:tcW w:type="dxa" w:w="118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余水</w:t>
            </w:r>
          </w:p>
        </w:tc>
        <w:tc>
          <w:tcPr>
            <w:tcW w:type="dxa" w:w="118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余食</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起点采购</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178</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333</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5780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178</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333</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25</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5780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162</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321</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24</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5780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146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309</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3</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23</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5780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136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295</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4</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沙暴</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23</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停留</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5780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126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285</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5</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21</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5780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116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271</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6</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9</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5780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259</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7</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沙暴</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9</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停留</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5780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90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249</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8</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15</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163</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4150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243</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235</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9</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13</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4150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227</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223</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10</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4150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211</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211</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11</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沙暴</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停留</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4150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201</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201</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177</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183</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13</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6150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162</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162</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14</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7150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138</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144</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15</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8150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114</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126</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16</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9150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90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108</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17</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沙暴</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停留</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9150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80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98</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18</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沙暴</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10150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68</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19</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11150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50</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20</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13</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11150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38</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21</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15</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36</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16</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10470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40</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22</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9</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10470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26</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23</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21</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10470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14</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24</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27</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10470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r>
    </w:tbl>
    <w:p>
      <w:pPr>
        <w:jc w:val="both"/>
      </w:pPr>
      <w:r>
        <w:rPr>
          <w:rFonts w:ascii="Calibri" w:hAnsi="Calibri" w:eastAsia="宋体"/>
          <w:sz w:val="22"/>
        </w:rPr>
        <w:t>第一关的经济逻辑是：利用起点低价资源承担前半程与矿山作业，在沙暴日不能移动时根据库存选择停留或挖矿；矿山收益累积后回到村庄补足最后一段所需的最少资源。第二次村庄采购后，资源恰好覆盖到终点的三次移动，因此终点库存为零。</w:t>
      </w:r>
    </w:p>
    <w:p>
      <w:pPr>
        <w:pStyle w:val="Heading2"/>
      </w:pPr>
      <w:r>
        <w:rPr>
          <w:rFonts w:ascii="Calibri" w:hAnsi="Calibri" w:eastAsia="黑体"/>
          <w:b/>
          <w:color w:val="2E74B5"/>
          <w:sz w:val="26"/>
        </w:rPr>
        <w:t>6.3 第二关求解结果</w:t>
      </w:r>
    </w:p>
    <w:p>
      <w:pPr>
        <w:jc w:val="both"/>
      </w:pPr>
      <w:r>
        <w:rPr>
          <w:rFonts w:ascii="Calibri" w:hAnsi="Calibri" w:eastAsia="宋体"/>
          <w:sz w:val="22"/>
        </w:rPr>
        <w:t>第二关最优终端财富为 12730 元，第 30 天到达终点。第 0 天购买 130 箱水和 405 箱食物，采购后现金为 5300 元。策略先经村庄 39 补给，再到矿山 30 挖矿 6 天；第 19 天回到村庄 39 补给后前往矿山 55，连续挖矿 7 天，最后经 56 到达终点。</w:t>
      </w:r>
    </w:p>
    <w:p>
      <w:pPr>
        <w:keepNext/>
        <w:spacing w:before="80" w:after="80"/>
        <w:jc w:val="center"/>
      </w:pPr>
      <w:r>
        <w:rPr>
          <w:rFonts w:ascii="Calibri" w:hAnsi="Calibri" w:eastAsia="黑体"/>
          <w:b/>
          <w:color w:val="0B2545"/>
          <w:sz w:val="19"/>
        </w:rPr>
        <w:t>表 6-2 第二关逐日最优策略（日末口径）</w:t>
      </w:r>
    </w:p>
    <w:tbl>
      <w:tblPr>
        <w:tblW w:type="dxa" w:w="9360"/>
        <w:jc w:val="left"/>
        <w:tblLayout w:type="fixed"/>
        <w:tblLook w:firstColumn="1" w:firstRow="1" w:lastColumn="0" w:lastRow="0" w:noHBand="0" w:noVBand="1" w:val="04A0"/>
        <w:tblInd w:w="120" w:type="dxa"/>
        <w:tblBorders>
          <w:top w:val="single" w:sz="12" w:color="7F8C99"/>
          <w:bottom w:val="single" w:sz="12" w:color="7F8C99"/>
          <w:left w:val="nil" w:sz="0" w:color="7F8C99"/>
          <w:right w:val="nil" w:sz="0" w:color="7F8C99"/>
          <w:insideH w:val="nil" w:sz="0" w:color="7F8C99"/>
          <w:insideV w:val="nil" w:sz="0" w:color="7F8C99"/>
        </w:tblBorders>
      </w:tblPr>
      <w:tblGrid>
        <w:gridCol w:w="650"/>
        <w:gridCol w:w="1050"/>
        <w:gridCol w:w="800"/>
        <w:gridCol w:w="1000"/>
        <w:gridCol w:w="950"/>
        <w:gridCol w:w="950"/>
        <w:gridCol w:w="1600"/>
        <w:gridCol w:w="1180"/>
        <w:gridCol w:w="1180"/>
      </w:tblGrid>
      <w:tr>
        <w:trPr>
          <w:cantSplit w:val="1"/>
          <w:tblHeader/>
        </w:trPr>
        <w:tc>
          <w:tcPr>
            <w:tcW w:type="dxa" w:w="65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日</w:t>
            </w:r>
          </w:p>
        </w:tc>
        <w:tc>
          <w:tcPr>
            <w:tcW w:type="dxa" w:w="105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天气</w:t>
            </w:r>
          </w:p>
        </w:tc>
        <w:tc>
          <w:tcPr>
            <w:tcW w:type="dxa" w:w="8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区域</w:t>
            </w:r>
          </w:p>
        </w:tc>
        <w:tc>
          <w:tcPr>
            <w:tcW w:type="dxa" w:w="10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行动</w:t>
            </w:r>
          </w:p>
        </w:tc>
        <w:tc>
          <w:tcPr>
            <w:tcW w:type="dxa" w:w="95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买水</w:t>
            </w:r>
          </w:p>
        </w:tc>
        <w:tc>
          <w:tcPr>
            <w:tcW w:type="dxa" w:w="95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买食</w:t>
            </w:r>
          </w:p>
        </w:tc>
        <w:tc>
          <w:tcPr>
            <w:tcW w:type="dxa" w:w="16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现金</w:t>
            </w:r>
          </w:p>
        </w:tc>
        <w:tc>
          <w:tcPr>
            <w:tcW w:type="dxa" w:w="118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余水</w:t>
            </w:r>
          </w:p>
        </w:tc>
        <w:tc>
          <w:tcPr>
            <w:tcW w:type="dxa" w:w="118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6"/>
              </w:rPr>
              <w:t>余食</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起点采购</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130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405</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5300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405</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9</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5300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114</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393</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18</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5300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98</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381</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3</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26</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5300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88</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367</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4</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沙暴</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26</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停留</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5300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78</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357</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5</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27</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5300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68</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343</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6</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36</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5300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52</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331</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7</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沙暴</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36</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停留</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5300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42</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321</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8</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37</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5300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32</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307</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9</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38</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5300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295</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10</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39</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10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5200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283</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11</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沙暴</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39</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停留</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218</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3020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218</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273</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30</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3020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202</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261</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13</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30</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4020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187</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240</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14</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30</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5020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163</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222</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15</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30</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6020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139</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204</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16</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30</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7020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115</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186</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17</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沙暴</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30</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8020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85</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156</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18</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沙暴</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30</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9020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55</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126</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19</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39</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157</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86</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196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200</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20</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46</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180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188</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21</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55</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5730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170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174</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22</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55</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6730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155</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153</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23</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55</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7730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131</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135</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24</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55</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8730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116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114</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25</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沙暴</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55</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9730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86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84</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26</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55</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10730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62</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66</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27</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55</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11730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47</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45</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28</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晴朗</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55</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挖矿</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12730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32</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24</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29</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56</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12730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16</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12</w:t>
            </w:r>
          </w:p>
        </w:tc>
      </w:tr>
      <w:tr>
        <w:trPr>
          <w:cantSplit w:val="1"/>
        </w:trPr>
        <w:tc>
          <w:tcPr>
            <w:tcW w:type="dxa" w:w="650"/>
            <w:tcMar>
              <w:top w:w="80" w:type="dxa"/>
              <w:start w:w="120" w:type="dxa"/>
              <w:bottom w:w="80" w:type="dxa"/>
              <w:end w:w="120" w:type="dxa"/>
            </w:tcMar>
            <w:vAlign w:val="center"/>
          </w:tcPr>
          <w:p>
            <w:pPr>
              <w:spacing w:before="0" w:after="0" w:line="240" w:lineRule="auto"/>
            </w:pPr>
            <w:r>
              <w:rPr>
                <w:rFonts w:ascii="Calibri" w:hAnsi="Calibri" w:eastAsia="宋体"/>
                <w:b w:val="0"/>
                <w:sz w:val="16"/>
              </w:rPr>
              <w:t>30</w:t>
            </w:r>
          </w:p>
        </w:tc>
        <w:tc>
          <w:tcPr>
            <w:tcW w:type="dxa" w:w="1050"/>
            <w:tcMar>
              <w:top w:w="80" w:type="dxa"/>
              <w:start w:w="120" w:type="dxa"/>
              <w:bottom w:w="80" w:type="dxa"/>
              <w:end w:w="120" w:type="dxa"/>
            </w:tcMar>
            <w:vAlign w:val="center"/>
          </w:tcPr>
          <w:p>
            <w:pPr>
              <w:spacing w:before="0" w:after="0" w:line="240" w:lineRule="auto"/>
            </w:pPr>
            <w:r>
              <w:rPr>
                <w:rFonts w:ascii="Calibri" w:hAnsi="Calibri" w:eastAsia="宋体"/>
                <w:b w:val="0"/>
                <w:sz w:val="16"/>
              </w:rPr>
              <w:t>高温</w:t>
            </w:r>
          </w:p>
        </w:tc>
        <w:tc>
          <w:tcPr>
            <w:tcW w:type="dxa" w:w="800"/>
            <w:tcMar>
              <w:top w:w="80" w:type="dxa"/>
              <w:start w:w="120" w:type="dxa"/>
              <w:bottom w:w="80" w:type="dxa"/>
              <w:end w:w="120" w:type="dxa"/>
            </w:tcMar>
            <w:vAlign w:val="center"/>
          </w:tcPr>
          <w:p>
            <w:pPr>
              <w:spacing w:before="0" w:after="0" w:line="240" w:lineRule="auto"/>
            </w:pPr>
            <w:r>
              <w:rPr>
                <w:rFonts w:ascii="Calibri" w:hAnsi="Calibri" w:eastAsia="宋体"/>
                <w:b w:val="0"/>
                <w:sz w:val="16"/>
              </w:rPr>
              <w:t>64</w:t>
            </w:r>
          </w:p>
        </w:tc>
        <w:tc>
          <w:tcPr>
            <w:tcW w:type="dxa" w:w="1000"/>
            <w:tcMar>
              <w:top w:w="80" w:type="dxa"/>
              <w:start w:w="120" w:type="dxa"/>
              <w:bottom w:w="80" w:type="dxa"/>
              <w:end w:w="120" w:type="dxa"/>
            </w:tcMar>
            <w:vAlign w:val="center"/>
          </w:tcPr>
          <w:p>
            <w:pPr>
              <w:spacing w:before="0" w:after="0" w:line="240" w:lineRule="auto"/>
            </w:pPr>
            <w:r>
              <w:rPr>
                <w:rFonts w:ascii="Calibri" w:hAnsi="Calibri" w:eastAsia="宋体"/>
                <w:b w:val="0"/>
                <w:sz w:val="16"/>
              </w:rPr>
              <w:t>行走</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95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600"/>
            <w:tcMar>
              <w:top w:w="80" w:type="dxa"/>
              <w:start w:w="120" w:type="dxa"/>
              <w:bottom w:w="80" w:type="dxa"/>
              <w:end w:w="120" w:type="dxa"/>
            </w:tcMar>
            <w:vAlign w:val="center"/>
          </w:tcPr>
          <w:p>
            <w:pPr>
              <w:spacing w:before="0" w:after="0" w:line="240" w:lineRule="auto"/>
            </w:pPr>
            <w:r>
              <w:rPr>
                <w:rFonts w:ascii="Calibri" w:hAnsi="Calibri" w:eastAsia="宋体"/>
                <w:b w:val="0"/>
                <w:sz w:val="16"/>
              </w:rPr>
              <w:t>12730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c>
          <w:tcPr>
            <w:tcW w:type="dxa" w:w="1180"/>
            <w:tcMar>
              <w:top w:w="80" w:type="dxa"/>
              <w:start w:w="120" w:type="dxa"/>
              <w:bottom w:w="80" w:type="dxa"/>
              <w:end w:w="120" w:type="dxa"/>
            </w:tcMar>
            <w:vAlign w:val="center"/>
          </w:tcPr>
          <w:p>
            <w:pPr>
              <w:spacing w:before="0" w:after="0" w:line="240" w:lineRule="auto"/>
            </w:pPr>
            <w:r>
              <w:rPr>
                <w:rFonts w:ascii="Calibri" w:hAnsi="Calibri" w:eastAsia="宋体"/>
                <w:b w:val="0"/>
                <w:sz w:val="16"/>
              </w:rPr>
              <w:t>0</w:t>
            </w:r>
          </w:p>
        </w:tc>
      </w:tr>
    </w:tbl>
    <w:p>
      <w:pPr>
        <w:jc w:val="both"/>
      </w:pPr>
      <w:r>
        <w:rPr>
          <w:rFonts w:ascii="Calibri" w:hAnsi="Calibri" w:eastAsia="宋体"/>
          <w:sz w:val="22"/>
        </w:rPr>
        <w:t>第二关的地图包含两个村庄和两个矿山，较大的空间使“先补给—矿山 30—回村—矿山 55—终点”的链式策略优于只访问一个收益节点。到达日恰为截止日，说明时间约束在第二关为紧约束；最终库存为零，说明最后阶段采购与移动消耗实现精确匹配。</w:t>
      </w:r>
    </w:p>
    <w:p>
      <w:pPr>
        <w:pStyle w:val="Heading2"/>
      </w:pPr>
      <w:r>
        <w:rPr>
          <w:rFonts w:ascii="Calibri" w:hAnsi="Calibri" w:eastAsia="黑体"/>
          <w:b/>
          <w:color w:val="2E74B5"/>
          <w:sz w:val="26"/>
        </w:rPr>
        <w:t>6.4 策略建议</w:t>
      </w:r>
    </w:p>
    <w:p>
      <w:pPr>
        <w:jc w:val="both"/>
      </w:pPr>
      <w:r>
        <w:rPr>
          <w:rFonts w:ascii="Calibri" w:hAnsi="Calibri" w:eastAsia="宋体"/>
          <w:sz w:val="22"/>
        </w:rPr>
        <w:t>在天气完全已知的单玩家场景中，建议遵循四项原则。第一，最短路只能作为移动下界，不能替代库存和收益联合优化。第二，起点资源单价最低，应优先在负重允许范围内携带可跨越前半程的资源，但不应无目的装满某一种资源。第三，沙暴日若已在矿山，是否挖矿应比较 1000 元收益与三倍消耗的机会成本；若不在矿山则只能停留。第四，村庄采购应面向下一补给点或终点做“够用且不过量”的补给，特别是临近终点时避免以双倍价格购入最终只能半价回收的库存。</w:t>
      </w:r>
    </w:p>
    <w:p>
      <w:pPr>
        <w:pStyle w:val="Heading1"/>
      </w:pPr>
      <w:r>
        <w:rPr>
          <w:rFonts w:ascii="Calibri" w:hAnsi="Calibri" w:eastAsia="黑体"/>
          <w:b/>
          <w:color w:val="2E74B5"/>
          <w:sz w:val="32"/>
        </w:rPr>
        <w:t>7 模型检验与灵敏性分析</w:t>
      </w:r>
    </w:p>
    <w:p>
      <w:pPr>
        <w:pStyle w:val="Heading2"/>
      </w:pPr>
      <w:r>
        <w:rPr>
          <w:rFonts w:ascii="Calibri" w:hAnsi="Calibri" w:eastAsia="黑体"/>
          <w:b/>
          <w:color w:val="2E74B5"/>
          <w:sz w:val="26"/>
        </w:rPr>
        <w:t>7.1 输入与规则一致性检验</w:t>
      </w:r>
    </w:p>
    <w:tbl>
      <w:tblPr>
        <w:tblW w:type="dxa" w:w="9360"/>
        <w:jc w:val="left"/>
        <w:tblLayout w:type="fixed"/>
        <w:tblLook w:firstColumn="1" w:firstRow="1" w:lastColumn="0" w:lastRow="0" w:noHBand="0" w:noVBand="1" w:val="04A0"/>
        <w:tblInd w:w="120" w:type="dxa"/>
        <w:tblBorders>
          <w:top w:val="single" w:sz="12" w:color="7F8C99"/>
          <w:bottom w:val="single" w:sz="12" w:color="7F8C99"/>
          <w:left w:val="nil" w:sz="0" w:color="7F8C99"/>
          <w:right w:val="nil" w:sz="0" w:color="7F8C99"/>
          <w:insideH w:val="nil" w:sz="0" w:color="7F8C99"/>
          <w:insideV w:val="nil" w:sz="0" w:color="7F8C99"/>
        </w:tblBorders>
      </w:tblPr>
      <w:tblGrid>
        <w:gridCol w:w="2200"/>
        <w:gridCol w:w="5000"/>
        <w:gridCol w:w="2160"/>
      </w:tblGrid>
      <w:tr>
        <w:trPr>
          <w:cantSplit w:val="1"/>
          <w:tblHeader/>
        </w:trPr>
        <w:tc>
          <w:tcPr>
            <w:tcW w:type="dxa" w:w="22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8"/>
              </w:rPr>
              <w:t>检验项目</w:t>
            </w:r>
          </w:p>
        </w:tc>
        <w:tc>
          <w:tcPr>
            <w:tcW w:type="dxa" w:w="50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8"/>
              </w:rPr>
              <w:t>检验方法</w:t>
            </w:r>
          </w:p>
        </w:tc>
        <w:tc>
          <w:tcPr>
            <w:tcW w:type="dxa" w:w="216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8"/>
              </w:rPr>
              <w:t>实际结果</w:t>
            </w:r>
          </w:p>
        </w:tc>
      </w:tr>
      <w:tr>
        <w:trPr>
          <w:cantSplit w:val="1"/>
        </w:trPr>
        <w:tc>
          <w:tcPr>
            <w:tcW w:type="dxa" w:w="2200"/>
            <w:tcMar>
              <w:top w:w="80" w:type="dxa"/>
              <w:start w:w="120" w:type="dxa"/>
              <w:bottom w:w="80" w:type="dxa"/>
              <w:end w:w="120" w:type="dxa"/>
            </w:tcMar>
            <w:vAlign w:val="center"/>
          </w:tcPr>
          <w:p>
            <w:pPr>
              <w:spacing w:before="0" w:after="0" w:line="240" w:lineRule="auto"/>
            </w:pPr>
            <w:r>
              <w:rPr>
                <w:rFonts w:ascii="Calibri" w:hAnsi="Calibri" w:eastAsia="宋体"/>
                <w:b w:val="0"/>
                <w:sz w:val="18"/>
              </w:rPr>
              <w:t>天气与参数</w:t>
            </w:r>
          </w:p>
        </w:tc>
        <w:tc>
          <w:tcPr>
            <w:tcW w:type="dxa" w:w="5000"/>
            <w:tcMar>
              <w:top w:w="80" w:type="dxa"/>
              <w:start w:w="120" w:type="dxa"/>
              <w:bottom w:w="80" w:type="dxa"/>
              <w:end w:w="120" w:type="dxa"/>
            </w:tcMar>
            <w:vAlign w:val="center"/>
          </w:tcPr>
          <w:p>
            <w:pPr>
              <w:spacing w:before="0" w:after="0" w:line="240" w:lineRule="auto"/>
            </w:pPr>
            <w:r>
              <w:rPr>
                <w:rFonts w:ascii="Calibri" w:hAnsi="Calibri" w:eastAsia="宋体"/>
                <w:b w:val="0"/>
                <w:sz w:val="18"/>
              </w:rPr>
              <w:t>30 天天气长度、取值集合、价格、质量、消耗、收益与截止日断言</w:t>
            </w:r>
          </w:p>
        </w:tc>
        <w:tc>
          <w:tcPr>
            <w:tcW w:type="dxa" w:w="2160"/>
            <w:tcMar>
              <w:top w:w="80" w:type="dxa"/>
              <w:start w:w="120" w:type="dxa"/>
              <w:bottom w:w="80" w:type="dxa"/>
              <w:end w:w="120" w:type="dxa"/>
            </w:tcMar>
            <w:vAlign w:val="center"/>
          </w:tcPr>
          <w:p>
            <w:pPr>
              <w:spacing w:before="0" w:after="0" w:line="240" w:lineRule="auto"/>
            </w:pPr>
            <w:r>
              <w:rPr>
                <w:rFonts w:ascii="Calibri" w:hAnsi="Calibri" w:eastAsia="宋体"/>
                <w:b w:val="0"/>
                <w:sz w:val="18"/>
              </w:rPr>
              <w:t>通过</w:t>
            </w:r>
          </w:p>
        </w:tc>
      </w:tr>
      <w:tr>
        <w:trPr>
          <w:cantSplit w:val="1"/>
        </w:trPr>
        <w:tc>
          <w:tcPr>
            <w:tcW w:type="dxa" w:w="2200"/>
            <w:tcMar>
              <w:top w:w="80" w:type="dxa"/>
              <w:start w:w="120" w:type="dxa"/>
              <w:bottom w:w="80" w:type="dxa"/>
              <w:end w:w="120" w:type="dxa"/>
            </w:tcMar>
            <w:vAlign w:val="center"/>
          </w:tcPr>
          <w:p>
            <w:pPr>
              <w:spacing w:before="0" w:after="0" w:line="240" w:lineRule="auto"/>
            </w:pPr>
            <w:r>
              <w:rPr>
                <w:rFonts w:ascii="Calibri" w:hAnsi="Calibri" w:eastAsia="宋体"/>
                <w:b w:val="0"/>
                <w:sz w:val="18"/>
              </w:rPr>
              <w:t>第一关地图</w:t>
            </w:r>
          </w:p>
        </w:tc>
        <w:tc>
          <w:tcPr>
            <w:tcW w:type="dxa" w:w="5000"/>
            <w:tcMar>
              <w:top w:w="80" w:type="dxa"/>
              <w:start w:w="120" w:type="dxa"/>
              <w:bottom w:w="80" w:type="dxa"/>
              <w:end w:w="120" w:type="dxa"/>
            </w:tcMar>
            <w:vAlign w:val="center"/>
          </w:tcPr>
          <w:p>
            <w:pPr>
              <w:spacing w:before="0" w:after="0" w:line="240" w:lineRule="auto"/>
            </w:pPr>
            <w:r>
              <w:rPr>
                <w:rFonts w:ascii="Calibri" w:hAnsi="Calibri" w:eastAsia="宋体"/>
                <w:b w:val="0"/>
                <w:sz w:val="18"/>
              </w:rPr>
              <w:t>27 节点、53 条无向边；对称、无自环、起终点连通</w:t>
            </w:r>
          </w:p>
        </w:tc>
        <w:tc>
          <w:tcPr>
            <w:tcW w:type="dxa" w:w="2160"/>
            <w:tcMar>
              <w:top w:w="80" w:type="dxa"/>
              <w:start w:w="120" w:type="dxa"/>
              <w:bottom w:w="80" w:type="dxa"/>
              <w:end w:w="120" w:type="dxa"/>
            </w:tcMar>
            <w:vAlign w:val="center"/>
          </w:tcPr>
          <w:p>
            <w:pPr>
              <w:spacing w:before="0" w:after="0" w:line="240" w:lineRule="auto"/>
            </w:pPr>
            <w:r>
              <w:rPr>
                <w:rFonts w:ascii="Calibri" w:hAnsi="Calibri" w:eastAsia="宋体"/>
                <w:b w:val="0"/>
                <w:sz w:val="18"/>
              </w:rPr>
              <w:t>通过</w:t>
            </w:r>
          </w:p>
        </w:tc>
      </w:tr>
      <w:tr>
        <w:trPr>
          <w:cantSplit w:val="1"/>
        </w:trPr>
        <w:tc>
          <w:tcPr>
            <w:tcW w:type="dxa" w:w="2200"/>
            <w:tcMar>
              <w:top w:w="80" w:type="dxa"/>
              <w:start w:w="120" w:type="dxa"/>
              <w:bottom w:w="80" w:type="dxa"/>
              <w:end w:w="120" w:type="dxa"/>
            </w:tcMar>
            <w:vAlign w:val="center"/>
          </w:tcPr>
          <w:p>
            <w:pPr>
              <w:spacing w:before="0" w:after="0" w:line="240" w:lineRule="auto"/>
            </w:pPr>
            <w:r>
              <w:rPr>
                <w:rFonts w:ascii="Calibri" w:hAnsi="Calibri" w:eastAsia="宋体"/>
                <w:b w:val="0"/>
                <w:sz w:val="18"/>
              </w:rPr>
              <w:t>第二关地图</w:t>
            </w:r>
          </w:p>
        </w:tc>
        <w:tc>
          <w:tcPr>
            <w:tcW w:type="dxa" w:w="5000"/>
            <w:tcMar>
              <w:top w:w="80" w:type="dxa"/>
              <w:start w:w="120" w:type="dxa"/>
              <w:bottom w:w="80" w:type="dxa"/>
              <w:end w:w="120" w:type="dxa"/>
            </w:tcMar>
            <w:vAlign w:val="center"/>
          </w:tcPr>
          <w:p>
            <w:pPr>
              <w:spacing w:before="0" w:after="0" w:line="240" w:lineRule="auto"/>
            </w:pPr>
            <w:r>
              <w:rPr>
                <w:rFonts w:ascii="Calibri" w:hAnsi="Calibri" w:eastAsia="宋体"/>
                <w:b w:val="0"/>
                <w:sz w:val="18"/>
              </w:rPr>
              <w:t>64 节点、161 条无向边；六邻域模板与边界节点抽查</w:t>
            </w:r>
          </w:p>
        </w:tc>
        <w:tc>
          <w:tcPr>
            <w:tcW w:type="dxa" w:w="2160"/>
            <w:tcMar>
              <w:top w:w="80" w:type="dxa"/>
              <w:start w:w="120" w:type="dxa"/>
              <w:bottom w:w="80" w:type="dxa"/>
              <w:end w:w="120" w:type="dxa"/>
            </w:tcMar>
            <w:vAlign w:val="center"/>
          </w:tcPr>
          <w:p>
            <w:pPr>
              <w:spacing w:before="0" w:after="0" w:line="240" w:lineRule="auto"/>
            </w:pPr>
            <w:r>
              <w:rPr>
                <w:rFonts w:ascii="Calibri" w:hAnsi="Calibri" w:eastAsia="宋体"/>
                <w:b w:val="0"/>
                <w:sz w:val="18"/>
              </w:rPr>
              <w:t>通过</w:t>
            </w:r>
          </w:p>
        </w:tc>
      </w:tr>
      <w:tr>
        <w:trPr>
          <w:cantSplit w:val="1"/>
        </w:trPr>
        <w:tc>
          <w:tcPr>
            <w:tcW w:type="dxa" w:w="2200"/>
            <w:tcMar>
              <w:top w:w="80" w:type="dxa"/>
              <w:start w:w="120" w:type="dxa"/>
              <w:bottom w:w="80" w:type="dxa"/>
              <w:end w:w="120" w:type="dxa"/>
            </w:tcMar>
            <w:vAlign w:val="center"/>
          </w:tcPr>
          <w:p>
            <w:pPr>
              <w:spacing w:before="0" w:after="0" w:line="240" w:lineRule="auto"/>
            </w:pPr>
            <w:r>
              <w:rPr>
                <w:rFonts w:ascii="Calibri" w:hAnsi="Calibri" w:eastAsia="宋体"/>
                <w:b w:val="0"/>
                <w:sz w:val="18"/>
              </w:rPr>
              <w:t>规则单元测试</w:t>
            </w:r>
          </w:p>
        </w:tc>
        <w:tc>
          <w:tcPr>
            <w:tcW w:type="dxa" w:w="5000"/>
            <w:tcMar>
              <w:top w:w="80" w:type="dxa"/>
              <w:start w:w="120" w:type="dxa"/>
              <w:bottom w:w="80" w:type="dxa"/>
              <w:end w:w="120" w:type="dxa"/>
            </w:tcMar>
            <w:vAlign w:val="center"/>
          </w:tcPr>
          <w:p>
            <w:pPr>
              <w:spacing w:before="0" w:after="0" w:line="240" w:lineRule="auto"/>
            </w:pPr>
            <w:r>
              <w:rPr>
                <w:rFonts w:ascii="Calibri" w:hAnsi="Calibri" w:eastAsia="宋体"/>
                <w:b w:val="0"/>
                <w:sz w:val="18"/>
              </w:rPr>
              <w:t>天气消耗、沙暴、村庄采购、矿山、终点回收与资源守恒</w:t>
            </w:r>
          </w:p>
        </w:tc>
        <w:tc>
          <w:tcPr>
            <w:tcW w:type="dxa" w:w="2160"/>
            <w:tcMar>
              <w:top w:w="80" w:type="dxa"/>
              <w:start w:w="120" w:type="dxa"/>
              <w:bottom w:w="80" w:type="dxa"/>
              <w:end w:w="120" w:type="dxa"/>
            </w:tcMar>
            <w:vAlign w:val="center"/>
          </w:tcPr>
          <w:p>
            <w:pPr>
              <w:spacing w:before="0" w:after="0" w:line="240" w:lineRule="auto"/>
            </w:pPr>
            <w:r>
              <w:rPr>
                <w:rFonts w:ascii="Calibri" w:hAnsi="Calibri" w:eastAsia="宋体"/>
                <w:b w:val="0"/>
                <w:sz w:val="18"/>
              </w:rPr>
              <w:t>16 项测试全部通过</w:t>
            </w:r>
          </w:p>
        </w:tc>
      </w:tr>
      <w:tr>
        <w:trPr>
          <w:cantSplit w:val="1"/>
        </w:trPr>
        <w:tc>
          <w:tcPr>
            <w:tcW w:type="dxa" w:w="2200"/>
            <w:tcMar>
              <w:top w:w="80" w:type="dxa"/>
              <w:start w:w="120" w:type="dxa"/>
              <w:bottom w:w="80" w:type="dxa"/>
              <w:end w:w="120" w:type="dxa"/>
            </w:tcMar>
            <w:vAlign w:val="center"/>
          </w:tcPr>
          <w:p>
            <w:pPr>
              <w:spacing w:before="0" w:after="0" w:line="240" w:lineRule="auto"/>
            </w:pPr>
            <w:r>
              <w:rPr>
                <w:rFonts w:ascii="Calibri" w:hAnsi="Calibri" w:eastAsia="宋体"/>
                <w:b w:val="0"/>
                <w:sz w:val="18"/>
              </w:rPr>
              <w:t>终点吸收回归</w:t>
            </w:r>
          </w:p>
        </w:tc>
        <w:tc>
          <w:tcPr>
            <w:tcW w:type="dxa" w:w="5000"/>
            <w:tcMar>
              <w:top w:w="80" w:type="dxa"/>
              <w:start w:w="120" w:type="dxa"/>
              <w:bottom w:w="80" w:type="dxa"/>
              <w:end w:w="120" w:type="dxa"/>
            </w:tcMar>
            <w:vAlign w:val="center"/>
          </w:tcPr>
          <w:p>
            <w:pPr>
              <w:spacing w:before="0" w:after="0" w:line="240" w:lineRule="auto"/>
            </w:pPr>
            <w:r>
              <w:rPr>
                <w:rFonts w:ascii="Calibri" w:hAnsi="Calibri" w:eastAsia="宋体"/>
                <w:b w:val="0"/>
                <w:sz w:val="18"/>
              </w:rPr>
              <w:t>构造矿山只能经终点到达的地图，禁止到达后离开获利</w:t>
            </w:r>
          </w:p>
        </w:tc>
        <w:tc>
          <w:tcPr>
            <w:tcW w:type="dxa" w:w="2160"/>
            <w:tcMar>
              <w:top w:w="80" w:type="dxa"/>
              <w:start w:w="120" w:type="dxa"/>
              <w:bottom w:w="80" w:type="dxa"/>
              <w:end w:w="120" w:type="dxa"/>
            </w:tcMar>
            <w:vAlign w:val="center"/>
          </w:tcPr>
          <w:p>
            <w:pPr>
              <w:spacing w:before="0" w:after="0" w:line="240" w:lineRule="auto"/>
            </w:pPr>
            <w:r>
              <w:rPr>
                <w:rFonts w:ascii="Calibri" w:hAnsi="Calibri" w:eastAsia="宋体"/>
                <w:b w:val="0"/>
                <w:sz w:val="18"/>
              </w:rPr>
              <w:t>通过</w:t>
            </w:r>
          </w:p>
        </w:tc>
      </w:tr>
      <w:tr>
        <w:trPr>
          <w:cantSplit w:val="1"/>
        </w:trPr>
        <w:tc>
          <w:tcPr>
            <w:tcW w:type="dxa" w:w="2200"/>
            <w:tcMar>
              <w:top w:w="80" w:type="dxa"/>
              <w:start w:w="120" w:type="dxa"/>
              <w:bottom w:w="80" w:type="dxa"/>
              <w:end w:w="120" w:type="dxa"/>
            </w:tcMar>
            <w:vAlign w:val="center"/>
          </w:tcPr>
          <w:p>
            <w:pPr>
              <w:spacing w:before="0" w:after="0" w:line="240" w:lineRule="auto"/>
            </w:pPr>
            <w:r>
              <w:rPr>
                <w:rFonts w:ascii="Calibri" w:hAnsi="Calibri" w:eastAsia="宋体"/>
                <w:b w:val="0"/>
                <w:sz w:val="18"/>
              </w:rPr>
              <w:t>独立逐日复算</w:t>
            </w:r>
          </w:p>
        </w:tc>
        <w:tc>
          <w:tcPr>
            <w:tcW w:type="dxa" w:w="5000"/>
            <w:tcMar>
              <w:top w:w="80" w:type="dxa"/>
              <w:start w:w="120" w:type="dxa"/>
              <w:bottom w:w="80" w:type="dxa"/>
              <w:end w:w="120" w:type="dxa"/>
            </w:tcMar>
            <w:vAlign w:val="center"/>
          </w:tcPr>
          <w:p>
            <w:pPr>
              <w:spacing w:before="0" w:after="0" w:line="240" w:lineRule="auto"/>
            </w:pPr>
            <w:r>
              <w:rPr>
                <w:rFonts w:ascii="Calibri" w:hAnsi="Calibri" w:eastAsia="宋体"/>
                <w:b w:val="0"/>
                <w:sz w:val="18"/>
              </w:rPr>
              <w:t>checker 不读取优化器内部累计值，逐日重算现金、库存与负重</w:t>
            </w:r>
          </w:p>
        </w:tc>
        <w:tc>
          <w:tcPr>
            <w:tcW w:type="dxa" w:w="2160"/>
            <w:tcMar>
              <w:top w:w="80" w:type="dxa"/>
              <w:start w:w="120" w:type="dxa"/>
              <w:bottom w:w="80" w:type="dxa"/>
              <w:end w:w="120" w:type="dxa"/>
            </w:tcMar>
            <w:vAlign w:val="center"/>
          </w:tcPr>
          <w:p>
            <w:pPr>
              <w:spacing w:before="0" w:after="0" w:line="240" w:lineRule="auto"/>
            </w:pPr>
            <w:r>
              <w:rPr>
                <w:rFonts w:ascii="Calibri" w:hAnsi="Calibri" w:eastAsia="宋体"/>
                <w:b w:val="0"/>
                <w:sz w:val="18"/>
              </w:rPr>
              <w:t>两关均通过</w:t>
            </w:r>
          </w:p>
        </w:tc>
      </w:tr>
      <w:tr>
        <w:trPr>
          <w:cantSplit w:val="1"/>
        </w:trPr>
        <w:tc>
          <w:tcPr>
            <w:tcW w:type="dxa" w:w="2200"/>
            <w:tcMar>
              <w:top w:w="80" w:type="dxa"/>
              <w:start w:w="120" w:type="dxa"/>
              <w:bottom w:w="80" w:type="dxa"/>
              <w:end w:w="120" w:type="dxa"/>
            </w:tcMar>
            <w:vAlign w:val="center"/>
          </w:tcPr>
          <w:p>
            <w:pPr>
              <w:spacing w:before="0" w:after="0" w:line="240" w:lineRule="auto"/>
            </w:pPr>
            <w:r>
              <w:rPr>
                <w:rFonts w:ascii="Calibri" w:hAnsi="Calibri" w:eastAsia="宋体"/>
                <w:b w:val="0"/>
                <w:sz w:val="18"/>
              </w:rPr>
              <w:t>整数优化收敛</w:t>
            </w:r>
          </w:p>
        </w:tc>
        <w:tc>
          <w:tcPr>
            <w:tcW w:type="dxa" w:w="5000"/>
            <w:tcMar>
              <w:top w:w="80" w:type="dxa"/>
              <w:start w:w="120" w:type="dxa"/>
              <w:bottom w:w="80" w:type="dxa"/>
              <w:end w:w="120" w:type="dxa"/>
            </w:tcMar>
            <w:vAlign w:val="center"/>
          </w:tcPr>
          <w:p>
            <w:pPr>
              <w:spacing w:before="0" w:after="0" w:line="240" w:lineRule="auto"/>
            </w:pPr>
            <w:r>
              <w:rPr>
                <w:rFonts w:ascii="Calibri" w:hAnsi="Calibri" w:eastAsia="宋体"/>
                <w:b w:val="0"/>
                <w:sz w:val="18"/>
              </w:rPr>
              <w:t>HiGHS 最优状态且相对 MIP gap=0</w:t>
            </w:r>
          </w:p>
        </w:tc>
        <w:tc>
          <w:tcPr>
            <w:tcW w:type="dxa" w:w="2160"/>
            <w:tcMar>
              <w:top w:w="80" w:type="dxa"/>
              <w:start w:w="120" w:type="dxa"/>
              <w:bottom w:w="80" w:type="dxa"/>
              <w:end w:w="120" w:type="dxa"/>
            </w:tcMar>
            <w:vAlign w:val="center"/>
          </w:tcPr>
          <w:p>
            <w:pPr>
              <w:spacing w:before="0" w:after="0" w:line="240" w:lineRule="auto"/>
            </w:pPr>
            <w:r>
              <w:rPr>
                <w:rFonts w:ascii="Calibri" w:hAnsi="Calibri" w:eastAsia="宋体"/>
                <w:b w:val="0"/>
                <w:sz w:val="18"/>
              </w:rPr>
              <w:t>两关均为 0</w:t>
            </w:r>
          </w:p>
        </w:tc>
      </w:tr>
    </w:tbl>
    <w:p>
      <w:pPr>
        <w:jc w:val="both"/>
      </w:pPr>
      <w:r>
        <w:rPr>
          <w:rFonts w:ascii="Calibri" w:hAnsi="Calibri" w:eastAsia="宋体"/>
          <w:sz w:val="22"/>
        </w:rPr>
        <w:t>检验过程中曾构造出一个可行但非题意最优的异常策略：模型在第 3 天到达终点后继续离开并挖矿。该策略的前三天能通过截断后的规则复算，但第 30 天现金异常增加。通过“终点只能执行 Finish 动作”的回归测试定位并修复后，第一关由 7615 元恢复为 10470 元，说明吸收状态检查对防止虚假收益至关重要。</w:t>
      </w:r>
    </w:p>
    <w:p>
      <w:pPr>
        <w:pStyle w:val="Heading2"/>
      </w:pPr>
      <w:r>
        <w:rPr>
          <w:rFonts w:ascii="Calibri" w:hAnsi="Calibri" w:eastAsia="黑体"/>
          <w:b/>
          <w:color w:val="2E74B5"/>
          <w:sz w:val="26"/>
        </w:rPr>
        <w:t>7.2 最优值与规则重放结果</w:t>
      </w:r>
    </w:p>
    <w:p>
      <w:pPr>
        <w:jc w:val="both"/>
      </w:pPr>
      <w:r>
        <w:rPr>
          <w:rFonts w:ascii="Calibri" w:hAnsi="Calibri" w:eastAsia="宋体"/>
          <w:sz w:val="22"/>
        </w:rPr>
        <w:t>第一关优化模型规模为 5012 个变量、1924 条约束，HiGHS 在约 10 秒内达到零间隙；第二关为 13779 个变量、4144 条约束，约 23 秒达到零间隙。两关终点现金分别为 10470 元和 12730 元，终点水、食物均为 0。独立 checker 对每一天的邻接、天气、动作、购买、资源、现金、负重和终止条件均未发现违规。</w:t>
      </w:r>
    </w:p>
    <w:p>
      <w:pPr>
        <w:pStyle w:val="Heading2"/>
      </w:pPr>
      <w:r>
        <w:rPr>
          <w:rFonts w:ascii="Calibri" w:hAnsi="Calibri" w:eastAsia="黑体"/>
          <w:b/>
          <w:color w:val="2E74B5"/>
          <w:sz w:val="26"/>
        </w:rPr>
        <w:t>7.3 灵敏性分析方法</w:t>
      </w:r>
    </w:p>
    <w:p>
      <w:pPr>
        <w:jc w:val="both"/>
      </w:pPr>
      <w:r>
        <w:rPr>
          <w:rFonts w:ascii="Calibri" w:hAnsi="Calibri" w:eastAsia="宋体"/>
          <w:sz w:val="22"/>
        </w:rPr>
        <w:t>采用单因素离散扰动法，每次只改变一个参数并重新求解完整整数模型，而不是在基准解附近做线性外推。第一关考察负重上限 1080/1200/1320 kg、初始资金 9000/10000/11000 元、矿山收益 900/1000/1100 元及截止日 26/28/30 天；第二关重点考察负重和矿山收益。每个场景都要求达到全局最优并通过 checker。</w:t>
      </w:r>
    </w:p>
    <w:p>
      <w:r>
        <w:br w:type="page"/>
      </w:r>
    </w:p>
    <w:p>
      <w:pPr>
        <w:keepNext/>
        <w:spacing w:before="80" w:after="80"/>
        <w:jc w:val="center"/>
      </w:pPr>
      <w:r>
        <w:rPr>
          <w:rFonts w:ascii="Calibri" w:hAnsi="Calibri" w:eastAsia="黑体"/>
          <w:b/>
          <w:color w:val="0B2545"/>
          <w:sz w:val="19"/>
        </w:rPr>
        <w:t>表 7-2 参数扰动下的精确重求解结果</w:t>
      </w:r>
    </w:p>
    <w:tbl>
      <w:tblPr>
        <w:tblW w:type="dxa" w:w="9360"/>
        <w:jc w:val="left"/>
        <w:tblLayout w:type="fixed"/>
        <w:tblLook w:firstColumn="1" w:firstRow="1" w:lastColumn="0" w:lastRow="0" w:noHBand="0" w:noVBand="1" w:val="04A0"/>
        <w:tblInd w:w="120" w:type="dxa"/>
        <w:tblBorders>
          <w:top w:val="single" w:sz="12" w:color="7F8C99"/>
          <w:bottom w:val="single" w:sz="12" w:color="7F8C99"/>
          <w:left w:val="nil" w:sz="0" w:color="7F8C99"/>
          <w:right w:val="nil" w:sz="0" w:color="7F8C99"/>
          <w:insideH w:val="nil" w:sz="0" w:color="7F8C99"/>
          <w:insideV w:val="nil" w:sz="0" w:color="7F8C99"/>
        </w:tblBorders>
      </w:tblPr>
      <w:tblGrid>
        <w:gridCol w:w="1200"/>
        <w:gridCol w:w="1800"/>
        <w:gridCol w:w="1200"/>
        <w:gridCol w:w="1800"/>
        <w:gridCol w:w="1500"/>
        <w:gridCol w:w="1860"/>
      </w:tblGrid>
      <w:tr>
        <w:trPr>
          <w:cantSplit w:val="1"/>
          <w:tblHeader/>
        </w:trPr>
        <w:tc>
          <w:tcPr>
            <w:tcW w:type="dxa" w:w="12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7"/>
              </w:rPr>
              <w:t>关卡</w:t>
            </w:r>
          </w:p>
        </w:tc>
        <w:tc>
          <w:tcPr>
            <w:tcW w:type="dxa" w:w="18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7"/>
              </w:rPr>
              <w:t>扰动参数</w:t>
            </w:r>
          </w:p>
        </w:tc>
        <w:tc>
          <w:tcPr>
            <w:tcW w:type="dxa" w:w="12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7"/>
              </w:rPr>
              <w:t>参数值</w:t>
            </w:r>
          </w:p>
        </w:tc>
        <w:tc>
          <w:tcPr>
            <w:tcW w:type="dxa" w:w="18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7"/>
              </w:rPr>
              <w:t>最优财富</w:t>
            </w:r>
          </w:p>
        </w:tc>
        <w:tc>
          <w:tcPr>
            <w:tcW w:type="dxa" w:w="150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7"/>
              </w:rPr>
              <w:t>到达日</w:t>
            </w:r>
          </w:p>
        </w:tc>
        <w:tc>
          <w:tcPr>
            <w:tcW w:type="dxa" w:w="1860"/>
            <w:tcMar>
              <w:top w:w="80" w:type="dxa"/>
              <w:start w:w="120" w:type="dxa"/>
              <w:bottom w:w="80" w:type="dxa"/>
              <w:end w:w="120" w:type="dxa"/>
            </w:tcMar>
            <w:tcBorders>
              <w:bottom w:val="single" w:sz="8" w:color="7F8C99"/>
            </w:tcBorders>
            <w:vAlign w:val="center"/>
            <w:shd w:fill="F2F4F7"/>
          </w:tcPr>
          <w:p>
            <w:pPr>
              <w:spacing w:before="0" w:after="0" w:line="240" w:lineRule="auto"/>
            </w:pPr>
            <w:r>
              <w:rPr>
                <w:rFonts w:ascii="Calibri" w:hAnsi="Calibri" w:eastAsia="黑体"/>
                <w:b/>
                <w:sz w:val="17"/>
              </w:rPr>
              <w:t>挖矿天数</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第一关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基准</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基准</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10470.0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24</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7</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第二关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基准</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基准</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12730.0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30</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13</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第一关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负重上限</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1080</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9670.0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24</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6</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第一关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负重上限</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1320</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11270.0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24</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8</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第一关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矿山收益</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900</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9770.0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24</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7</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第一关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矿山收益</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1100</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11180.0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28</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8</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第二关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负重上限</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1080</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12130.0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30</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13</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第二关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负重上限</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1320</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13365.0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30</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14</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第二关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矿山收益</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900</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11430.0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30</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13</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第二关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矿山收益</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1100</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14030.0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30</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13</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第一关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初始资金</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9000</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9470.0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24</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7</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第一关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初始资金</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11000</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11470.0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24</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7</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第一关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截止日期</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26</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10470.0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24</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7</w:t>
            </w:r>
          </w:p>
        </w:tc>
      </w:tr>
      <w:tr>
        <w:trPr>
          <w:cantSplit w:val="1"/>
        </w:trPr>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第一关</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截止日期</w:t>
            </w:r>
          </w:p>
        </w:tc>
        <w:tc>
          <w:tcPr>
            <w:tcW w:type="dxa" w:w="1200"/>
            <w:tcMar>
              <w:top w:w="80" w:type="dxa"/>
              <w:start w:w="120" w:type="dxa"/>
              <w:bottom w:w="80" w:type="dxa"/>
              <w:end w:w="120" w:type="dxa"/>
            </w:tcMar>
            <w:vAlign w:val="center"/>
          </w:tcPr>
          <w:p>
            <w:pPr>
              <w:spacing w:before="0" w:after="0" w:line="240" w:lineRule="auto"/>
            </w:pPr>
            <w:r>
              <w:rPr>
                <w:rFonts w:ascii="Calibri" w:hAnsi="Calibri" w:eastAsia="宋体"/>
                <w:b w:val="0"/>
                <w:sz w:val="17"/>
              </w:rPr>
              <w:t>28</w:t>
            </w:r>
          </w:p>
        </w:tc>
        <w:tc>
          <w:tcPr>
            <w:tcW w:type="dxa" w:w="1800"/>
            <w:tcMar>
              <w:top w:w="80" w:type="dxa"/>
              <w:start w:w="120" w:type="dxa"/>
              <w:bottom w:w="80" w:type="dxa"/>
              <w:end w:w="120" w:type="dxa"/>
            </w:tcMar>
            <w:vAlign w:val="center"/>
          </w:tcPr>
          <w:p>
            <w:pPr>
              <w:spacing w:before="0" w:after="0" w:line="240" w:lineRule="auto"/>
            </w:pPr>
            <w:r>
              <w:rPr>
                <w:rFonts w:ascii="Calibri" w:hAnsi="Calibri" w:eastAsia="宋体"/>
                <w:b w:val="0"/>
                <w:sz w:val="17"/>
              </w:rPr>
              <w:t>10470.0</w:t>
            </w:r>
          </w:p>
        </w:tc>
        <w:tc>
          <w:tcPr>
            <w:tcW w:type="dxa" w:w="1500"/>
            <w:tcMar>
              <w:top w:w="80" w:type="dxa"/>
              <w:start w:w="120" w:type="dxa"/>
              <w:bottom w:w="80" w:type="dxa"/>
              <w:end w:w="120" w:type="dxa"/>
            </w:tcMar>
            <w:vAlign w:val="center"/>
          </w:tcPr>
          <w:p>
            <w:pPr>
              <w:spacing w:before="0" w:after="0" w:line="240" w:lineRule="auto"/>
            </w:pPr>
            <w:r>
              <w:rPr>
                <w:rFonts w:ascii="Calibri" w:hAnsi="Calibri" w:eastAsia="宋体"/>
                <w:b w:val="0"/>
                <w:sz w:val="17"/>
              </w:rPr>
              <w:t>24</w:t>
            </w:r>
          </w:p>
        </w:tc>
        <w:tc>
          <w:tcPr>
            <w:tcW w:type="dxa" w:w="1860"/>
            <w:tcMar>
              <w:top w:w="80" w:type="dxa"/>
              <w:start w:w="120" w:type="dxa"/>
              <w:bottom w:w="80" w:type="dxa"/>
              <w:end w:w="120" w:type="dxa"/>
            </w:tcMar>
            <w:vAlign w:val="center"/>
          </w:tcPr>
          <w:p>
            <w:pPr>
              <w:spacing w:before="0" w:after="0" w:line="240" w:lineRule="auto"/>
            </w:pPr>
            <w:r>
              <w:rPr>
                <w:rFonts w:ascii="Calibri" w:hAnsi="Calibri" w:eastAsia="宋体"/>
                <w:b w:val="0"/>
                <w:sz w:val="17"/>
              </w:rPr>
              <w:t>7</w:t>
            </w:r>
          </w:p>
        </w:tc>
      </w:tr>
    </w:tbl>
    <w:p>
      <w:pPr>
        <w:pStyle w:val="Heading2"/>
      </w:pPr>
      <w:r>
        <w:rPr>
          <w:rFonts w:ascii="Calibri" w:hAnsi="Calibri" w:eastAsia="黑体"/>
          <w:b/>
          <w:color w:val="2E74B5"/>
          <w:sz w:val="26"/>
        </w:rPr>
        <w:t>7.4 灵敏性结果解释</w:t>
      </w:r>
    </w:p>
    <w:p>
      <w:pPr>
        <w:jc w:val="both"/>
      </w:pPr>
      <w:r>
        <w:rPr>
          <w:rFonts w:ascii="Calibri" w:hAnsi="Calibri" w:eastAsia="宋体"/>
          <w:sz w:val="22"/>
        </w:rPr>
        <w:t>负重上限对两关均呈显著正向影响。第一关负重由 1200 kg 下调至 1080 kg，最优财富由 10470 元降至 9670 元；上调至 1320 kg 后增至 11270 元。第二关相应由 12130 元上升到 13365 元。这说明容量不仅减少补给成本，还改变可持续挖矿天数和跨补给点运输能力。</w:t>
      </w:r>
    </w:p>
    <w:p>
      <w:pPr>
        <w:jc w:val="both"/>
      </w:pPr>
      <w:r>
        <w:rPr>
          <w:rFonts w:ascii="Calibri" w:hAnsi="Calibri" w:eastAsia="宋体"/>
          <w:sz w:val="22"/>
        </w:rPr>
        <w:t>矿山收益的影响近似分段线性但斜率由最优挖矿天数决定。第一关收益从 1000 元降至 900 元时，最优财富降至 9770 元；升至 1100 元时增至 11180 元。第二关分别为 11430 元和 14030 元，变化幅度更大，原因是基准策略共挖矿 13 天。</w:t>
      </w:r>
    </w:p>
    <w:p>
      <w:pPr>
        <w:jc w:val="both"/>
      </w:pPr>
      <w:r>
        <w:rPr>
          <w:rFonts w:ascii="Calibri" w:hAnsi="Calibri" w:eastAsia="宋体"/>
          <w:sz w:val="22"/>
        </w:rPr>
        <w:t>第一关初始资金在 9000—11000 元区间内变化时，最优财富分别为 9470、10470、11470 元，呈一比一传导，说明该区间内路线和采购结构未因资金约束发生切换。截止日缩短到 26 天或 28 天，最优财富仍为 10470 元，因为基准策略第 24 天已到达；因此第一关在该区间对截止日具有稳定性，而第二关第 30 天到达，时间约束明显更紧。</w:t>
      </w:r>
    </w:p>
    <w:p>
      <w:pPr>
        <w:pStyle w:val="Heading1"/>
      </w:pPr>
      <w:r>
        <w:rPr>
          <w:rFonts w:ascii="Calibri" w:hAnsi="Calibri" w:eastAsia="黑体"/>
          <w:b/>
          <w:color w:val="2E74B5"/>
          <w:sz w:val="32"/>
        </w:rPr>
        <w:t>8 模型评价与使用边界</w:t>
      </w:r>
    </w:p>
    <w:p>
      <w:pPr>
        <w:pStyle w:val="Heading2"/>
      </w:pPr>
      <w:r>
        <w:rPr>
          <w:rFonts w:ascii="Calibri" w:hAnsi="Calibri" w:eastAsia="黑体"/>
          <w:b/>
          <w:color w:val="2E74B5"/>
          <w:sz w:val="26"/>
        </w:rPr>
        <w:t>8.1 优点</w:t>
      </w:r>
    </w:p>
    <w:p>
      <w:pPr>
        <w:jc w:val="both"/>
      </w:pPr>
      <w:r>
        <w:rPr>
          <w:rFonts w:ascii="Calibri" w:hAnsi="Calibri" w:eastAsia="宋体"/>
          <w:sz w:val="22"/>
        </w:rPr>
        <w:t>模型将图结构、逐日天气、两类库存、现金、采购和矿山收益统一在同一有限期框架中，所有约束都直接来自题目规则，不需要惩罚系数或启发式参数。整数优化达到零间隙，独立 checker 又提供了与求解器解耦的规则证据；配置化设计使两关共用同一套规则和代码。</w:t>
      </w:r>
    </w:p>
    <w:p>
      <w:pPr>
        <w:pStyle w:val="Heading2"/>
      </w:pPr>
      <w:r>
        <w:rPr>
          <w:rFonts w:ascii="Calibri" w:hAnsi="Calibri" w:eastAsia="黑体"/>
          <w:b/>
          <w:color w:val="2E74B5"/>
          <w:sz w:val="26"/>
        </w:rPr>
        <w:t>8.2 局限性</w:t>
      </w:r>
    </w:p>
    <w:p>
      <w:pPr>
        <w:jc w:val="both"/>
      </w:pPr>
      <w:r>
        <w:rPr>
          <w:rFonts w:ascii="Calibri" w:hAnsi="Calibri" w:eastAsia="宋体"/>
          <w:sz w:val="22"/>
        </w:rPr>
        <w:t>模型依赖天气完全已知，不能直接回答未知天气下的在线决策；变量规模会随天数、地图和玩家数量增加。灵敏性分析采用有限离散点，只能揭示局部区间内的策略切换；若用于更大实例，可进一步实现稀疏标签 DP、Pareto 前沿数据结构或分解算法。</w:t>
      </w:r>
    </w:p>
    <w:p>
      <w:pPr>
        <w:pStyle w:val="Heading2"/>
      </w:pPr>
      <w:r>
        <w:rPr>
          <w:rFonts w:ascii="Calibri" w:hAnsi="Calibri" w:eastAsia="黑体"/>
          <w:b/>
          <w:color w:val="2E74B5"/>
          <w:sz w:val="26"/>
        </w:rPr>
        <w:t>8.3 适用边界</w:t>
      </w:r>
    </w:p>
    <w:p>
      <w:pPr>
        <w:jc w:val="both"/>
      </w:pPr>
      <w:r>
        <w:rPr>
          <w:rFonts w:ascii="Calibri" w:hAnsi="Calibri" w:eastAsia="宋体"/>
          <w:sz w:val="22"/>
        </w:rPr>
        <w:t>本报告只讨论单玩家、完全已知天气和题设固定价格规则。若加入多人相互影响、随机天气、价格波动或途中资源共享，需要扩展为随机动态规划、鲁棒优化或博弈模型，不能直接沿用本问的确定性最优策略。</w:t>
      </w:r>
    </w:p>
    <w:p>
      <w:pPr>
        <w:pStyle w:val="Heading1"/>
      </w:pPr>
      <w:r>
        <w:rPr>
          <w:rFonts w:ascii="Calibri" w:hAnsi="Calibri" w:eastAsia="黑体"/>
          <w:b/>
          <w:color w:val="2E74B5"/>
          <w:sz w:val="32"/>
        </w:rPr>
        <w:t>参考文献</w:t>
      </w:r>
    </w:p>
    <w:p>
      <w:pPr>
        <w:jc w:val="both"/>
      </w:pPr>
      <w:r>
        <w:rPr>
          <w:rFonts w:ascii="Calibri" w:hAnsi="Calibri" w:eastAsia="宋体"/>
          <w:sz w:val="22"/>
        </w:rPr>
        <w:t>[1] 2020 年高教社杯全国大学生数学建模竞赛 B 题《穿越沙漠》及附件。</w:t>
      </w:r>
    </w:p>
    <w:p>
      <w:pPr>
        <w:jc w:val="both"/>
      </w:pPr>
      <w:r>
        <w:rPr>
          <w:rFonts w:ascii="Calibri" w:hAnsi="Calibri" w:eastAsia="宋体"/>
          <w:sz w:val="22"/>
        </w:rPr>
        <w:t>[2] Himmich I, El Hallaoui I, Soumis F. A multiphase dynamic programming algorithm for the shortest path problem with resource constraints. European Journal of Operational Research, 2024, 315(2): 470-483. DOI: 10.1016/j.ejor.2023.11.047.</w:t>
      </w:r>
    </w:p>
    <w:p>
      <w:pPr>
        <w:jc w:val="both"/>
      </w:pPr>
      <w:r>
        <w:rPr>
          <w:rFonts w:ascii="Calibri" w:hAnsi="Calibri" w:eastAsia="宋体"/>
          <w:sz w:val="22"/>
        </w:rPr>
        <w:t>[3] Davatgari A, Mohammadi M Y, Cokyasar T, et al. A Label-correcting Algorithm for Constrained One-to-Many K-shortest Path Problem with Replenishment. Procedia Computer Science, 2024, 238: 369-376. DOI: 10.1016/j.procs.2024.06.037.</w:t>
      </w:r>
    </w:p>
    <w:p>
      <w:pPr>
        <w:jc w:val="both"/>
      </w:pPr>
      <w:r>
        <w:rPr>
          <w:rFonts w:ascii="Calibri" w:hAnsi="Calibri" w:eastAsia="宋体"/>
          <w:sz w:val="22"/>
        </w:rPr>
        <w:t>[4] 本项目《第一问建模手册：已知天气单玩家最优策略》及配套求解代码、测试与结果输出。</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olor w:val="5A626C"/>
        <w:sz w:val="18"/>
      </w:rPr>
      <w:t xml:space="preserve">第 </w:t>
    </w:r>
    <w:r>
      <w:rPr>
        <w:rFonts w:ascii="Calibri" w:hAnsi="Calibri" w:eastAsia="宋体"/>
        <w:color w:val="5A626C"/>
        <w:sz w:val="18"/>
      </w:rPr>
      <w:fldChar w:fldCharType="begin"/>
      <w:instrText xml:space="preserve"> PAGE </w:instrText>
      <w:fldChar w:fldCharType="separate"/>
      <w:t>1</w:t>
      <w:fldChar w:fldCharType="end"/>
    </w:r>
    <w:r>
      <w:rPr>
        <w:rFonts w:ascii="Calibri" w:hAnsi="Calibri" w:eastAsia="宋体"/>
        <w:color w:val="5A626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黑体"/>
        <w:color w:val="5A626C"/>
        <w:sz w:val="18"/>
      </w:rPr>
      <w:t>2020B 穿越沙漠｜第一问求解报告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穿越沙漠第一问求解报告</dc:title>
  <dc:subject>已知天气条件下的单玩家最优策略</dc:subject>
  <dc:creator>数学建模训练项目</dc:creator>
  <cp:keywords>动态规划, 资源约束路径, 整数优化, 穿越沙漠</cp:keywords>
  <dc:description>generated by python-docx</dc:description>
  <cp:lastModifiedBy/>
  <cp:revision>1</cp:revision>
  <dcterms:created xsi:type="dcterms:W3CDTF">2013-12-23T23:15:00Z</dcterms:created>
  <dcterms:modified xsi:type="dcterms:W3CDTF">2013-12-23T23:15:00Z</dcterms:modified>
  <cp:category/>
</cp:coreProperties>
</file>