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0"/>
        <w:jc w:val="center"/>
      </w:pPr>
      <w:r>
        <w:rPr>
          <w:rFonts w:ascii="Times New Roman" w:hAnsi="Times New Roman" w:eastAsia="黑体"/>
          <w:b/>
          <w:color w:val="A07828"/>
          <w:sz w:val="22"/>
        </w:rPr>
        <w:t>2023 年高教社杯全国大学生数学建模竞赛 C 题</w:t>
      </w:r>
    </w:p>
    <w:p>
      <w:pPr>
        <w:pStyle w:val="Title"/>
        <w:widowControl/>
        <w:spacing w:before="1440"/>
      </w:pPr>
      <w:r>
        <w:t>第三问：销售空间约束下的单品补货与定价联合优化</w:t>
      </w:r>
    </w:p>
    <w:p>
      <w:pPr>
        <w:widowControl/>
        <w:spacing w:after="600"/>
        <w:jc w:val="center"/>
      </w:pPr>
      <w:r>
        <w:rPr>
          <w:rFonts w:ascii="Times New Roman" w:hAnsi="Times New Roman" w:eastAsia="宋体"/>
          <w:color w:val="24557A"/>
          <w:sz w:val="28"/>
        </w:rPr>
        <w:t>蔬菜类商品的自动定价与补货决策</w:t>
      </w:r>
    </w:p>
    <w:p>
      <w:pPr>
        <w:widowControl/>
        <w:spacing w:after="680"/>
        <w:ind w:left="567" w:right="567"/>
        <w:jc w:val="center"/>
      </w:pPr>
      <w:r>
        <w:rPr>
          <w:rFonts w:ascii="Times New Roman" w:hAnsi="Times New Roman" w:eastAsia="宋体"/>
          <w:color w:val="667788"/>
          <w:sz w:val="21"/>
        </w:rPr>
        <w:t>建模方法：动态单品份额与经验贝叶斯收缩、第二问品类需求场景复用、两阶段词典序混合整数线性规划（MILP）、尾部风险控制与完整场景外推检验。</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900"/>
        <w:gridCol w:w="7172"/>
      </w:tblGrid>
      <w:tr>
        <w:tc>
          <w:tcPr>
            <w:tcW w:type="dxa" w:w="1900"/>
            <w:shd w:fill="E8EEF5"/>
          </w:tcPr>
          <w:p>
            <w:pPr>
              <w:spacing w:before="20" w:after="20"/>
              <w:jc w:val="center"/>
            </w:pPr>
            <w:r>
              <w:rPr>
                <w:rFonts w:ascii="Times New Roman" w:hAnsi="Times New Roman" w:eastAsia="黑体"/>
                <w:b/>
                <w:color w:val="182B3A"/>
                <w:sz w:val="19"/>
              </w:rPr>
              <w:t>决策日期</w:t>
            </w:r>
          </w:p>
        </w:tc>
        <w:tc>
          <w:tcPr>
            <w:tcW w:type="dxa" w:w="7172"/>
          </w:tcPr>
          <w:p>
            <w:pPr>
              <w:spacing w:before="20" w:after="20"/>
              <w:jc w:val="left"/>
            </w:pPr>
            <w:r>
              <w:rPr>
                <w:rFonts w:ascii="Times New Roman" w:hAnsi="Times New Roman" w:eastAsia="宋体"/>
                <w:b w:val="0"/>
                <w:color w:val="182B3A"/>
                <w:sz w:val="19"/>
              </w:rPr>
              <w:t>2023 年 7 月 1 日</w:t>
            </w:r>
          </w:p>
        </w:tc>
      </w:tr>
      <w:tr>
        <w:tc>
          <w:tcPr>
            <w:tcW w:type="dxa" w:w="1900"/>
            <w:shd w:fill="E8EEF5"/>
          </w:tcPr>
          <w:p>
            <w:pPr>
              <w:spacing w:before="20" w:after="20"/>
              <w:jc w:val="center"/>
            </w:pPr>
            <w:r>
              <w:rPr>
                <w:rFonts w:ascii="Times New Roman" w:hAnsi="Times New Roman" w:eastAsia="黑体"/>
                <w:b/>
                <w:color w:val="182B3A"/>
                <w:sz w:val="19"/>
              </w:rPr>
              <w:t>候选窗口</w:t>
            </w:r>
          </w:p>
        </w:tc>
        <w:tc>
          <w:tcPr>
            <w:tcW w:type="dxa" w:w="7172"/>
          </w:tcPr>
          <w:p>
            <w:pPr>
              <w:spacing w:before="20" w:after="20"/>
              <w:jc w:val="left"/>
            </w:pPr>
            <w:r>
              <w:rPr>
                <w:rFonts w:ascii="Times New Roman" w:hAnsi="Times New Roman" w:eastAsia="宋体"/>
                <w:b w:val="0"/>
                <w:color w:val="182B3A"/>
                <w:sz w:val="19"/>
              </w:rPr>
              <w:t>2023 年 6 月 24 日-6 月 30 日</w:t>
            </w:r>
          </w:p>
        </w:tc>
      </w:tr>
      <w:tr>
        <w:tc>
          <w:tcPr>
            <w:tcW w:type="dxa" w:w="1900"/>
            <w:shd w:fill="E8EEF5"/>
          </w:tcPr>
          <w:p>
            <w:pPr>
              <w:spacing w:before="20" w:after="20"/>
              <w:jc w:val="center"/>
            </w:pPr>
            <w:r>
              <w:rPr>
                <w:rFonts w:ascii="Times New Roman" w:hAnsi="Times New Roman" w:eastAsia="黑体"/>
                <w:b/>
                <w:color w:val="182B3A"/>
                <w:sz w:val="19"/>
              </w:rPr>
              <w:t>模型结构</w:t>
            </w:r>
          </w:p>
        </w:tc>
        <w:tc>
          <w:tcPr>
            <w:tcW w:type="dxa" w:w="7172"/>
          </w:tcPr>
          <w:p>
            <w:pPr>
              <w:spacing w:before="20" w:after="20"/>
              <w:jc w:val="left"/>
            </w:pPr>
            <w:r>
              <w:rPr>
                <w:rFonts w:ascii="Times New Roman" w:hAnsi="Times New Roman" w:eastAsia="宋体"/>
                <w:b w:val="0"/>
                <w:color w:val="182B3A"/>
                <w:sz w:val="19"/>
              </w:rPr>
              <w:t>动态单品份额 + 两阶段词典序场景 MILP</w:t>
            </w:r>
          </w:p>
        </w:tc>
      </w:tr>
      <w:tr>
        <w:tc>
          <w:tcPr>
            <w:tcW w:type="dxa" w:w="1900"/>
            <w:shd w:fill="E8EEF5"/>
          </w:tcPr>
          <w:p>
            <w:pPr>
              <w:spacing w:before="20" w:after="20"/>
              <w:jc w:val="center"/>
            </w:pPr>
            <w:r>
              <w:rPr>
                <w:rFonts w:ascii="Times New Roman" w:hAnsi="Times New Roman" w:eastAsia="黑体"/>
                <w:b/>
                <w:color w:val="182B3A"/>
                <w:sz w:val="19"/>
              </w:rPr>
              <w:t>复核状态</w:t>
            </w:r>
          </w:p>
        </w:tc>
        <w:tc>
          <w:tcPr>
            <w:tcW w:type="dxa" w:w="7172"/>
          </w:tcPr>
          <w:p>
            <w:pPr>
              <w:spacing w:before="20" w:after="20"/>
              <w:jc w:val="left"/>
            </w:pPr>
            <w:r>
              <w:rPr>
                <w:rFonts w:ascii="Times New Roman" w:hAnsi="Times New Roman" w:eastAsia="宋体"/>
                <w:b w:val="0"/>
                <w:color w:val="182B3A"/>
                <w:sz w:val="19"/>
              </w:rPr>
              <w:t>17/17 单元测试、77/77 独立输出检查通过</w:t>
            </w:r>
          </w:p>
        </w:tc>
      </w:tr>
    </w:tbl>
    <w:p>
      <w:pPr>
        <w:spacing w:before="480" w:after="0" w:line="288" w:lineRule="auto"/>
        <w:ind w:left="454" w:right="454" w:firstLine="0"/>
        <w:shd w:fill="F4F6F9"/>
        <w:widowControl/>
        <w:pBdr>
          <w:left w:val="single" w:sz="14" w:space="8" w:color="24557A"/>
        </w:pBdr>
      </w:pPr>
      <w:r>
        <w:rPr>
          <w:rFonts w:ascii="Times New Roman" w:hAnsi="Times New Roman" w:eastAsia="黑体"/>
          <w:b/>
          <w:color w:val="24557A"/>
          <w:sz w:val="20"/>
        </w:rPr>
        <w:t xml:space="preserve">复核结论  </w:t>
      </w:r>
      <w:r>
        <w:rPr>
          <w:rFonts w:ascii="Times New Roman" w:hAnsi="Times New Roman" w:eastAsia="宋体"/>
          <w:color w:val="182B3A"/>
          <w:sz w:val="19"/>
        </w:rPr>
        <w:t>模型符合第三问题意，硬约束与会计关系正常；代表场景泛化和六折稳定性达到阈值要求。尾部亏损与单品份额敏感性作为风险边界保留。</w:t>
      </w:r>
    </w:p>
    <w:p>
      <w:pPr>
        <w:widowControl/>
      </w:pPr>
      <w:r>
        <w:br w:type="page"/>
      </w:r>
    </w:p>
    <w:p>
      <w:pPr>
        <w:pStyle w:val="Heading1"/>
        <w:widowControl/>
      </w:pPr>
      <w:r>
        <w:t>1 问题重述</w:t>
      </w:r>
    </w:p>
    <w:p>
      <w:pPr>
        <w:pStyle w:val="Heading2"/>
        <w:widowControl/>
      </w:pPr>
      <w:r>
        <w:t>1.1 问题背景与现实矛盾</w:t>
      </w:r>
    </w:p>
    <w:p>
      <w:pPr>
        <w:widowControl/>
      </w:pPr>
      <w:r>
        <w:t>生鲜蔬菜具有保鲜期短、损耗快、日内需求波动明显等特点。商超若订货不足，会出现缺货并损失客流；若订货过多，又会因品相下降、当日滞销和隔日难以继续销售而形成损耗。与普通耐用品不同，蔬菜单品的价格、订货量和上架组合不是相互独立的：价格改变会影响销量，销售空间限制会迫使商超在多个相近单品之间进行取舍，而有限的历史样本又使单品层面的需求预测比品类层面更不稳定。</w:t>
      </w:r>
    </w:p>
    <w:p>
      <w:pPr>
        <w:widowControl/>
      </w:pPr>
      <w:r>
        <w:t>本题第三问要求把第二问的品类级决策进一步落实到可执行的单品级方案。商超必须以 2023 年 6 月 24 日至 6 月 30 日实际出现过正向零售销量的商品作为 7 月 1 日的候选集合，在有限陈列空间下保留 27 至 33 个单品，并保证每个被选单品的订购量不低于 2.5 kg。与此同时，模型既要尽可能覆盖六个蔬菜品类的市场需求，又要决定每个单品的售价和订货量，使整体收益尽可能高。这里的关键不是单纯追求利润，而是在“品类需求优先得到满足”的前提下优化收益，因此目标具有清晰的优先级结构。</w:t>
      </w:r>
    </w:p>
    <w:p>
      <w:pPr>
        <w:widowControl/>
      </w:pPr>
      <w:r>
        <w:t>近年的运筹优化研究支持对价格、库存与商品组合进行联合决策。Fang、Nguyen 与 Currie（2021）指出，对于易腐且需求不确定的多商品系统，价格与订货量相互影响，应在统一框架中联合优化，而不能先定价再机械补货。Castellano 等（2022）进一步把有限陈列空间、商品组合、联合补货和易腐损耗纳入同一优化问题，表明陈列约束会显著改变最优组合。上述研究为本题采用联合定价-补货-选品模型提供了理论依据，但本题只有一个决策日、给出了最低陈列量而未给出货架面积，故不额外虚构多周期库存或面积参数，而是严格按现有数据建立单日场景 MILP。</w:t>
      </w:r>
    </w:p>
    <w:p>
      <w:pPr>
        <w:pStyle w:val="Heading2"/>
        <w:widowControl/>
      </w:pPr>
      <w:r>
        <w:t>1.2 核心目标与约束边界</w:t>
      </w:r>
    </w:p>
    <w:p>
      <w:pPr>
        <w:widowControl/>
      </w:pPr>
      <w:r>
        <w:t>模型的核心目标是为 2023 年 7 月 1 日形成一张可以直接执行的单品清单，清单中同时包含是否经营、零售价和订货量。模型必须遵守以下边界：候选商品来自规定的一周；商品总数位于 27 至 33；每个入选商品的订货量至少为 2.5 kg；售价来自历史上可解释的成本加成区间；销售量不能超过场景需求和损耗后的可售库存；第三问的单品订货总量不超过第二问 7 月 1 日品类总补货量，从而保证上下两问的采购口径一致。</w:t>
      </w:r>
    </w:p>
    <w:p>
      <w:pPr>
        <w:pStyle w:val="Heading2"/>
        <w:widowControl/>
      </w:pPr>
      <w:r>
        <w:t>1.3 子问题提炼</w:t>
      </w:r>
    </w:p>
    <w:p>
      <w:pPr>
        <w:widowControl/>
      </w:pPr>
      <w:r>
        <w:t>问题 3-1：如何由品类需求得到稳定的单品需求？单品近期样本较少，直接以最近一周销量占比外推容易过拟合；完全采用三年平均又会忽略 7 月 1 日前的最新经营状态。需要在近期销量、历史可比星期六结构和单品样本量之间建立动态收缩机制，并保留单品份额的不确定性。</w:t>
      </w:r>
    </w:p>
    <w:p>
      <w:pPr>
        <w:widowControl/>
      </w:pPr>
      <w:r>
        <w:t>问题 3-2：如何同时决定单品组合、价格和补货量？商品数量、最低陈列量、价格选择、损耗后库存和场景销量共同形成离散-连续耦合决策。需要构造两阶段词典序模型：第一阶段优先降低六品类等权缺货率，第二阶段在服务水平基本不下降的条件下优化期望利润与尾部利润。</w:t>
      </w:r>
    </w:p>
    <w:p>
      <w:pPr>
        <w:widowControl/>
      </w:pPr>
      <w:r>
        <w:t>问题 3-3：如何证明方案不是由少量场景或个别参数偶然造成？需要把代表场景上的优化结果放回完整场景评价，并通过分折稳定性、朴素基线比较、参数重求解灵敏度分析和逐项可行性校验，判断结论的泛化能力、经营收益与风险边界。</w:t>
      </w:r>
    </w:p>
    <w:p>
      <w:pPr>
        <w:pStyle w:val="Heading1"/>
        <w:widowControl/>
      </w:pPr>
      <w:r>
        <w:t>2 问题分析</w:t>
      </w:r>
    </w:p>
    <w:p>
      <w:pPr>
        <w:pStyle w:val="Heading2"/>
        <w:widowControl/>
      </w:pPr>
      <w:r>
        <w:t>2.1 总体分析</w:t>
      </w:r>
    </w:p>
    <w:p>
      <w:pPr>
        <w:widowControl/>
      </w:pPr>
      <w:r>
        <w:t>本问采用“数据驱动的需求分解 + 场景生成 + 词典序多目标优化 + 外部场景检验”的总体路线。先从原始销售记录中识别真实候选单品，再复用第二问已经得到的 7 月 1 日六品类需求、价格弹性、成本残差及跨品类相关场景；随后用经验贝叶斯方法把品类需求分配到单品，并以历史加价率构造有限价格方案；最后建立场景型 MILP，在满足商品数、最低陈列量、损耗和采购总量等硬约束后，先优化需求满足程度，再优化利润与尾部风险。模型在 60 个代表场景上求解，在完整 600 个联合场景上评价，以兼顾计算效率和精度。</w:t>
      </w:r>
    </w:p>
    <w:p>
      <w:pPr>
        <w:widowControl/>
      </w:pPr>
      <w:r>
        <w:t>整体流程可文字表示为：原始附件与前两问输出 → 候选单品识别 → 成本、损耗与价格网格构造 → 动态单品份额估计 → 生成 600 个联合需求/成本场景 → 分层选取 60 个代表场景 → 第一阶段最小化标准化缺货 → 第二阶段最大化风险调整利润 → 在完整场景中回代评价 → 基线比较、分折检验与灵敏度重求解 → 输出 7 月 1 日单品清单。</w:t>
      </w:r>
    </w:p>
    <w:p>
      <w:pPr>
        <w:pStyle w:val="Heading2"/>
        <w:widowControl/>
      </w:pPr>
      <w:r>
        <w:t>2.2 问题 3-1 分析：单品需求分解</w:t>
      </w:r>
    </w:p>
    <w:p>
      <w:pPr>
        <w:widowControl/>
      </w:pPr>
      <w:r>
        <w:t>关键矛盾点是“品类预测相对稳定”与“单品历史样本稀疏”之间的不一致。第二问已经在品类层面形成了 7 月 1 日需求情景，如果第三问重新独立预测 49 个单品，不仅参数数量大幅增加，还会破坏两问的总量一致性。因此，本问不重复建立 49 个弱预测器，而是先确定单品在所属品类中的结构份额，再把品类需求分解到单品。</w:t>
      </w:r>
    </w:p>
    <w:p>
      <w:pPr>
        <w:widowControl/>
      </w:pPr>
      <w:r>
        <w:t>具体框架为：第一步计算最近 7 日各候选单品销量，刻画目标日前的短期经营状态；第二步选取过去三年中与 7 月 1 日同为星期六、且不包含最近 7 日的信息，计算长期可比日份额；第三步通过目标日前滚动星期六验证选择各品类收缩强度，将近期销量与长期份额合成为经验贝叶斯份额；第四步对历史可比日进行整日自助抽样，并将抽样份额与后验份额混合，从而得到 600 组单品份额场景；第五步叠加第二问的品类需求场景和价格弹性，得到各单品-价格方案在每个场景下的潜在需求。</w:t>
      </w:r>
    </w:p>
    <w:p>
      <w:pPr>
        <w:widowControl/>
      </w:pPr>
      <w:r>
        <w:t>这里使用整日抽样而不是逐单品独立抽样，是为了保留同一品类内部份额“和为 1”的组成约束，也避免生成多个单品同时异常高需求的不现实场景。对于样本丰富的单品，近期信息获得较高影响；对于近期销量少的单品，估计值自动向同品类长期结构收缩，从而降低极端份额对组合决策的误导。</w:t>
      </w:r>
    </w:p>
    <w:p>
      <w:pPr>
        <w:pStyle w:val="Heading2"/>
        <w:widowControl/>
      </w:pPr>
      <w:r>
        <w:t>2.3 问题 3-2 分析：选品、定价和补货联合优化</w:t>
      </w:r>
    </w:p>
    <w:p>
      <w:pPr>
        <w:widowControl/>
      </w:pPr>
      <w:r>
        <w:t>关键矛盾点是服务水平与利润之间存在冲突。若只最大化期望利润，模型可能集中选择高毛利、低销量单品而忽略部分品类需求；若只最大化销量或满足率，又可能通过低价和高订货形成高损耗、低收益方案。题目中的“在尽量满足市场需求的前提下”说明服务水平具有高于利润的优先级，因此不宜采用任意加权的“利润减 100 倍缺货”形式，而应采用两阶段词典序优化。</w:t>
      </w:r>
    </w:p>
    <w:p>
      <w:pPr>
        <w:widowControl/>
      </w:pPr>
      <w:r>
        <w:t>第一阶段在给定单品数下最小化六品类等权的标准化缺货率，使大体量品类不会完全支配小体量品类。第二阶段把第一阶段最优缺货率加一个由代表场景离散度确定的工程近优容差作为可接受上限，在该服务水平邻域内最大化 75% 期望利润与 25% 最差 10% 平均利润的组合。该容差用于避免有限场景下的数值过度约束，不解释为总体参数的严格统计标准误。这样既忠实体现题意优先级，又避免为利润和缺货率人为指定同量纲权重。</w:t>
      </w:r>
    </w:p>
    <w:p>
      <w:pPr>
        <w:widowControl/>
      </w:pPr>
      <w:r>
        <w:t>核心步骤为：对每个候选单品设置是否入选变量；对每个入选单品从历史加价率分位点中选择一个价格；设置订货量并由 2.5 kg 下界和数据尺度化上界约束；在每个场景中设置销量，保证其不超过价格响应需求和损耗后的库存；汇总六品类的未满足需求；分别对 K=27,28,…,33 求解并比较完整场景表现，最终选择服务水平最优且风险调整利润更优的规模。</w:t>
      </w:r>
    </w:p>
    <w:p>
      <w:pPr>
        <w:pStyle w:val="Heading2"/>
        <w:widowControl/>
      </w:pPr>
      <w:r>
        <w:t>2.4 问题 3-3 分析：模型检验与灵敏度</w:t>
      </w:r>
    </w:p>
    <w:p>
      <w:pPr>
        <w:widowControl/>
      </w:pPr>
      <w:r>
        <w:t>关键矛盾点是场景型优化可能产生“场景内表现好、场景外表现差”的过拟合。为控制求解规模，MILP 仅使用 60 个代表场景，但最终方案必须经受完整 600 场景检验。首先计算代表场景与完整场景的服务损失差，并以 0.03 为泛化阈值；其次把 600 个场景分为 6 折，观察满足率的均值、标准差和极值；再次与“近期销量前 33 名 + 中位价格 + 近期日均订货”的透明基线比较；最后分别扰动风险权重、价格弹性、历史份额权重和 Q2 补货上限，每次都重新求解而不是固定策略事后打分。</w:t>
      </w:r>
    </w:p>
    <w:p>
      <w:pPr>
        <w:widowControl/>
      </w:pPr>
      <w:r>
        <w:t>流程框架为：优化方案 → 完整 600 场景回代 → 判断代表场景误差是否小于阈值 → 进行 6 折稳定性检验 → 与朴素基线比较 → 对关键参数逐一重求解 → 比较满足率、利润、尾部利润和选品 Jaccard 系数 → 形成可靠性结论与风险提示。</w:t>
      </w:r>
    </w:p>
    <w:p>
      <w:pPr>
        <w:pStyle w:val="Heading1"/>
        <w:widowControl/>
      </w:pPr>
      <w:r>
        <w:t>3 模型假设</w:t>
      </w:r>
    </w:p>
    <w:p>
      <w:pPr>
        <w:pStyle w:val="Heading2"/>
        <w:widowControl/>
      </w:pPr>
      <w:r>
        <w:t>假设 1：候选商品集合由规定窗口内的正向零售销量唯一确定</w:t>
      </w:r>
    </w:p>
    <w:p>
      <w:pPr>
        <w:widowControl/>
      </w:pPr>
      <w:r>
        <w:t>假设内容：将 2023 年 6 月 24 日至 6 月 30 日至少出现一次正向零售销量的单品视为 7 月 1 日可售候选，不把只有批发价记录而无零售销售的商品纳入候选。</w:t>
      </w:r>
    </w:p>
    <w:p>
      <w:pPr>
        <w:widowControl/>
      </w:pPr>
      <w:r>
        <w:t>合理性依据：题目明确要求“根据该周的可售品种”制定计划，而销售流水中的正向销量是判断实际完成上架销售最直接、最可复核的证据。按此口径共识别 49 个唯一候选，身份、品类、成本和损耗字段均完整。</w:t>
      </w:r>
    </w:p>
    <w:p>
      <w:pPr>
        <w:widowControl/>
      </w:pPr>
      <w:r>
        <w:t>对模型的影响：该假设消除了仅有进货记录或无实际销售商品造成的伪候选，使选品范围与题意严格一致，同时把整数变量规模限制在 49 个单品，提高求解效率。</w:t>
      </w:r>
    </w:p>
    <w:p>
      <w:pPr>
        <w:pStyle w:val="Heading2"/>
        <w:widowControl/>
      </w:pPr>
      <w:r>
        <w:t>假设 2：7 月 1 日的品类需求、价格弹性与成本扰动沿用第二问结果</w:t>
      </w:r>
    </w:p>
    <w:p>
      <w:pPr>
        <w:widowControl/>
      </w:pPr>
      <w:r>
        <w:t>假设内容：第三问不重新估计品类总需求和品类价格弹性，而复用第二问 7 月 1 日的联合需求-成本场景；单品价格响应采用所属品类弹性。</w:t>
      </w:r>
    </w:p>
    <w:p>
      <w:pPr>
        <w:widowControl/>
      </w:pPr>
      <w:r>
        <w:t>合理性依据：第二问已使用完整历史数据建立品类级预测和价格响应模型，品类层面样本远多于单品层面。若在第三问重复估计单品弹性，会因单品价格变化有限和样本稀疏产生大幅不稳定，并导致两问需求总量不一致。</w:t>
      </w:r>
    </w:p>
    <w:p>
      <w:pPr>
        <w:widowControl/>
      </w:pPr>
      <w:r>
        <w:t>对模型的影响：该假设实现了跨问数据闭环，降低参数估计方差，并使第三问成为第二问品类采购计划的可执行分解。代价是不能刻画同品类中每个单品完全不同的价格弹性，故通过弹性 ±20% 灵敏度分析评估偏差。</w:t>
      </w:r>
    </w:p>
    <w:p>
      <w:pPr>
        <w:pStyle w:val="Heading2"/>
        <w:widowControl/>
      </w:pPr>
      <w:r>
        <w:t>假设 3：单品份额在可比星期六附近具有可迁移性，但存在随机波动</w:t>
      </w:r>
    </w:p>
    <w:p>
      <w:pPr>
        <w:widowControl/>
      </w:pPr>
      <w:r>
        <w:t>假设内容：目标日前最近一周反映短期状态，过去三年的可比星期六反映稳定结构；二者经经验贝叶斯收缩后可用于估计 7 月 1 日份额，并用可比日自助抽样表示随机性。</w:t>
      </w:r>
    </w:p>
    <w:p>
      <w:pPr>
        <w:widowControl/>
      </w:pPr>
      <w:r>
        <w:t>合理性依据：7 月 1 日为星期六，蔬菜购买结构具有明显星期效应；同时实际计算显示单品份额权重对结果影响最大，因此不能把份额视为固定常数，而应显式生成场景。</w:t>
      </w:r>
    </w:p>
    <w:p>
      <w:pPr>
        <w:widowControl/>
      </w:pPr>
      <w:r>
        <w:t>对模型的影响：收缩可避免小样本单品出现不合理的极端份额，自助抽样则保留了历史日间波动。该假设仍是模型主要不确定来源，因此论文将历史份额权重作为重点敏感参数。</w:t>
      </w:r>
    </w:p>
    <w:p>
      <w:pPr>
        <w:pStyle w:val="Heading2"/>
        <w:widowControl/>
      </w:pPr>
      <w:r>
        <w:t>假设 4：当日销售不发生跨日库存转移，损耗在可售库存约束中一次性体现</w:t>
      </w:r>
    </w:p>
    <w:p>
      <w:pPr>
        <w:widowControl/>
      </w:pPr>
      <w:r>
        <w:t>假设内容：7 月 1 日的订货按附件 4 的近期损耗率折算为可售库存，未售部分不计入次日残值，也不建立跨日库存状态。</w:t>
      </w:r>
    </w:p>
    <w:p>
      <w:pPr>
        <w:widowControl/>
      </w:pPr>
      <w:r>
        <w:t>合理性依据：题面指出多数蔬菜当日未售出后隔日难以继续销售，第三问只要求 7 月 1 日单日策略；附件 4 已提供近期损耗率，可以直接反映到货后可售比例。</w:t>
      </w:r>
    </w:p>
    <w:p>
      <w:pPr>
        <w:widowControl/>
      </w:pPr>
      <w:r>
        <w:t>对模型的影响：该假设把多周期易腐库存问题转化为单日线性库存约束，避免虚构残值和保鲜期参数。其结果会对高损耗单品形成更严格的订货-销量关系。</w:t>
      </w:r>
    </w:p>
    <w:p>
      <w:pPr>
        <w:pStyle w:val="Heading2"/>
        <w:widowControl/>
      </w:pPr>
      <w:r>
        <w:t>假设 5：第一问关联关系只作诊断，不强制进入主目标</w:t>
      </w:r>
    </w:p>
    <w:p>
      <w:pPr>
        <w:widowControl/>
      </w:pPr>
      <w:r>
        <w:t>假设内容：不对第一问识别的替代或关联单品设置硬性排斥/搭配约束，也不在利润中加入主观关联惩罚。</w:t>
      </w:r>
    </w:p>
    <w:p>
      <w:pPr>
        <w:widowControl/>
      </w:pPr>
      <w:r>
        <w:t>合理性依据：49 个候选中只有 26 个被第一问单品聚类覆盖；325 个可比候选对中仅 9 对为明确关系，70 对为弱关系，246 对仅为保留关系。若强行惩罚，会使未覆盖单品受到结构性不公平并扩大模型偏差。Mani、Thomas 与 Bansal（2021）也表明，可靠的组合优化需要交易与可得性信息同时支持替代和购物篮效应估计，而现有附件缺少逐时库存可得性。</w:t>
      </w:r>
    </w:p>
    <w:p>
      <w:pPr>
        <w:widowControl/>
      </w:pPr>
      <w:r>
        <w:t>对模型的影响：该假设避免“为了创新而创新”，保证主模型只使用可验证数据。其局限是未显式刻画真实替代行为，后续若补充缺货时点和顾客购物篮数据，可把替代矩阵纳入需求约束。</w:t>
      </w:r>
    </w:p>
    <w:p>
      <w:pPr>
        <w:pStyle w:val="Heading1"/>
        <w:widowControl/>
      </w:pPr>
      <w:r>
        <w:t>4 符号说明</w:t>
      </w:r>
    </w:p>
    <w:p>
      <w:pPr>
        <w:widowControl/>
      </w:pPr>
      <w:r>
        <w:t>表 1 给出模型建立与求解过程中的全局符号。货币均为人民币，重量均为千克。</w:t>
      </w:r>
    </w:p>
    <w:tbl>
      <w:tblPr>
        <w:tblW w:type="dxa" w:w="9072"/>
        <w:jc w:val="left"/>
        <w:tblLayout w:type="fixed"/>
        <w:tblLook w:firstColumn="1" w:firstRow="1" w:lastColumn="0" w:lastRow="0" w:noHBand="0" w:noVBand="1" w:val="04A0"/>
        <w:tblInd w:w="120" w:type="dxa"/>
        <w:tblBorders>
          <w:top w:val="single" w:sz="12" w:color="182B3A"/>
          <w:left w:val="nil" w:sz="0" w:color="182B3A"/>
          <w:bottom w:val="single" w:sz="12" w:color="182B3A"/>
          <w:right w:val="nil" w:sz="0" w:color="182B3A"/>
          <w:insideH w:val="nil" w:sz="0" w:color="182B3A"/>
          <w:insideV w:val="nil" w:sz="0" w:color="182B3A"/>
        </w:tblBorders>
      </w:tblPr>
      <w:tblGrid>
        <w:gridCol w:w="1450"/>
        <w:gridCol w:w="6122"/>
        <w:gridCol w:w="1500"/>
      </w:tblGrid>
      <w:tr>
        <w:trPr>
          <w:tblHeader w:val="true"/>
        </w:trPr>
        <w:tc>
          <w:tcPr>
            <w:tcW w:type="dxa" w:w="1450"/>
            <w:tcMar>
              <w:top w:w="80" w:type="dxa"/>
              <w:start w:w="120" w:type="dxa"/>
              <w:bottom w:w="80" w:type="dxa"/>
              <w:end w:w="120" w:type="dxa"/>
            </w:tcMar>
            <w:vAlign w:val="center"/>
            <w:tcBorders>
              <w:bottom w:val="single" w:sz="8" w:color="182B3A"/>
            </w:tcBorders>
          </w:tcPr>
          <w:p>
            <w:pPr>
              <w:spacing w:before="0" w:after="0" w:line="252" w:lineRule="auto"/>
              <w:jc w:val="center"/>
            </w:pPr>
            <w:r>
              <w:rPr>
                <w:rFonts w:ascii="Times New Roman" w:hAnsi="Times New Roman" w:eastAsia="黑体"/>
                <w:b/>
                <w:color w:val="182B3A"/>
                <w:sz w:val="17"/>
              </w:rPr>
              <w:t>符号</w:t>
            </w:r>
          </w:p>
        </w:tc>
        <w:tc>
          <w:tcPr>
            <w:tcW w:type="dxa" w:w="6122"/>
            <w:tcMar>
              <w:top w:w="80" w:type="dxa"/>
              <w:start w:w="120" w:type="dxa"/>
              <w:bottom w:w="80" w:type="dxa"/>
              <w:end w:w="120" w:type="dxa"/>
            </w:tcMar>
            <w:vAlign w:val="center"/>
            <w:tcBorders>
              <w:bottom w:val="single" w:sz="8" w:color="182B3A"/>
            </w:tcBorders>
          </w:tcPr>
          <w:p>
            <w:pPr>
              <w:spacing w:before="0" w:after="0" w:line="252" w:lineRule="auto"/>
              <w:jc w:val="center"/>
            </w:pPr>
            <w:r>
              <w:rPr>
                <w:rFonts w:ascii="Times New Roman" w:hAnsi="Times New Roman" w:eastAsia="黑体"/>
                <w:b/>
                <w:color w:val="182B3A"/>
                <w:sz w:val="17"/>
              </w:rPr>
              <w:t>含义</w:t>
            </w:r>
          </w:p>
        </w:tc>
        <w:tc>
          <w:tcPr>
            <w:tcW w:type="dxa" w:w="1500"/>
            <w:tcMar>
              <w:top w:w="80" w:type="dxa"/>
              <w:start w:w="120" w:type="dxa"/>
              <w:bottom w:w="80" w:type="dxa"/>
              <w:end w:w="120" w:type="dxa"/>
            </w:tcMar>
            <w:vAlign w:val="center"/>
            <w:tcBorders>
              <w:bottom w:val="single" w:sz="8" w:color="182B3A"/>
            </w:tcBorders>
          </w:tcPr>
          <w:p>
            <w:pPr>
              <w:spacing w:before="0" w:after="0" w:line="252" w:lineRule="auto"/>
              <w:jc w:val="center"/>
            </w:pPr>
            <w:r>
              <w:rPr>
                <w:rFonts w:ascii="Times New Roman" w:hAnsi="Times New Roman" w:eastAsia="黑体"/>
                <w:b/>
                <w:color w:val="182B3A"/>
                <w:sz w:val="17"/>
              </w:rPr>
              <w:t>单位</w:t>
            </w:r>
          </w:p>
        </w:tc>
      </w:tr>
      <w:tr>
        <w:tc>
          <w:tcPr>
            <w:tcW w:type="dxa" w:w="1450"/>
          </w:tcPr>
          <w:p>
            <w:pPr>
              <w:spacing w:before="0" w:after="0" w:line="252" w:lineRule="auto"/>
              <w:jc w:val="center"/>
            </w:pPr>
            <w:r>
              <w:rPr>
                <w:rFonts w:ascii="Times New Roman" w:hAnsi="Times New Roman" w:eastAsia="宋体"/>
                <w:color w:val="182B3A"/>
                <w:sz w:val="17"/>
              </w:rPr>
              <w:t>I</w:t>
            </w:r>
          </w:p>
        </w:tc>
        <w:tc>
          <w:tcPr>
            <w:tcW w:type="dxa" w:w="6122"/>
          </w:tcPr>
          <w:p>
            <w:pPr>
              <w:spacing w:before="0" w:after="0" w:line="252" w:lineRule="auto"/>
              <w:jc w:val="left"/>
            </w:pPr>
            <w:r>
              <w:rPr>
                <w:rFonts w:ascii="Times New Roman" w:hAnsi="Times New Roman" w:eastAsia="宋体"/>
                <w:color w:val="182B3A"/>
                <w:sz w:val="17"/>
              </w:rPr>
              <w:t>由 6 月 24–30 日正销量识别的候选单品集合</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C</w:t>
            </w:r>
          </w:p>
        </w:tc>
        <w:tc>
          <w:tcPr>
            <w:tcW w:type="dxa" w:w="6122"/>
          </w:tcPr>
          <w:p>
            <w:pPr>
              <w:spacing w:before="0" w:after="0" w:line="252" w:lineRule="auto"/>
              <w:jc w:val="left"/>
            </w:pPr>
            <w:r>
              <w:rPr>
                <w:rFonts w:ascii="Times New Roman" w:hAnsi="Times New Roman" w:eastAsia="宋体"/>
                <w:color w:val="182B3A"/>
                <w:sz w:val="17"/>
              </w:rPr>
              <w:t>六个蔬菜品类集合</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K_i</w:t>
            </w:r>
          </w:p>
        </w:tc>
        <w:tc>
          <w:tcPr>
            <w:tcW w:type="dxa" w:w="6122"/>
          </w:tcPr>
          <w:p>
            <w:pPr>
              <w:spacing w:before="0" w:after="0" w:line="252" w:lineRule="auto"/>
              <w:jc w:val="left"/>
            </w:pPr>
            <w:r>
              <w:rPr>
                <w:rFonts w:ascii="Times New Roman" w:hAnsi="Times New Roman" w:eastAsia="宋体"/>
                <w:color w:val="182B3A"/>
                <w:sz w:val="17"/>
              </w:rPr>
              <w:t>单品 i 的可选离散价格方案集合</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Ω</w:t>
            </w:r>
          </w:p>
        </w:tc>
        <w:tc>
          <w:tcPr>
            <w:tcW w:type="dxa" w:w="6122"/>
          </w:tcPr>
          <w:p>
            <w:pPr>
              <w:spacing w:before="0" w:after="0" w:line="252" w:lineRule="auto"/>
              <w:jc w:val="left"/>
            </w:pPr>
            <w:r>
              <w:rPr>
                <w:rFonts w:ascii="Times New Roman" w:hAnsi="Times New Roman" w:eastAsia="宋体"/>
                <w:color w:val="182B3A"/>
                <w:sz w:val="17"/>
              </w:rPr>
              <w:t>需求与成本联合场景集合</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c(i)</w:t>
            </w:r>
          </w:p>
        </w:tc>
        <w:tc>
          <w:tcPr>
            <w:tcW w:type="dxa" w:w="6122"/>
          </w:tcPr>
          <w:p>
            <w:pPr>
              <w:spacing w:before="0" w:after="0" w:line="252" w:lineRule="auto"/>
              <w:jc w:val="left"/>
            </w:pPr>
            <w:r>
              <w:rPr>
                <w:rFonts w:ascii="Times New Roman" w:hAnsi="Times New Roman" w:eastAsia="宋体"/>
                <w:color w:val="182B3A"/>
                <w:sz w:val="17"/>
              </w:rPr>
              <w:t>单品 i 所属品类</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x_i</w:t>
            </w:r>
          </w:p>
        </w:tc>
        <w:tc>
          <w:tcPr>
            <w:tcW w:type="dxa" w:w="6122"/>
          </w:tcPr>
          <w:p>
            <w:pPr>
              <w:spacing w:before="0" w:after="0" w:line="252" w:lineRule="auto"/>
              <w:jc w:val="left"/>
            </w:pPr>
            <w:r>
              <w:rPr>
                <w:rFonts w:ascii="Times New Roman" w:hAnsi="Times New Roman" w:eastAsia="宋体"/>
                <w:color w:val="182B3A"/>
                <w:sz w:val="17"/>
              </w:rPr>
              <w:t>单品 i 是否被选中，选中为 1</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y_ik</w:t>
            </w:r>
          </w:p>
        </w:tc>
        <w:tc>
          <w:tcPr>
            <w:tcW w:type="dxa" w:w="6122"/>
          </w:tcPr>
          <w:p>
            <w:pPr>
              <w:spacing w:before="0" w:after="0" w:line="252" w:lineRule="auto"/>
              <w:jc w:val="left"/>
            </w:pPr>
            <w:r>
              <w:rPr>
                <w:rFonts w:ascii="Times New Roman" w:hAnsi="Times New Roman" w:eastAsia="宋体"/>
                <w:color w:val="182B3A"/>
                <w:sz w:val="17"/>
              </w:rPr>
              <w:t>单品 i 是否采用第 k 个价格方案</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q_i</w:t>
            </w:r>
          </w:p>
        </w:tc>
        <w:tc>
          <w:tcPr>
            <w:tcW w:type="dxa" w:w="6122"/>
          </w:tcPr>
          <w:p>
            <w:pPr>
              <w:spacing w:before="0" w:after="0" w:line="252" w:lineRule="auto"/>
              <w:jc w:val="left"/>
            </w:pPr>
            <w:r>
              <w:rPr>
                <w:rFonts w:ascii="Times New Roman" w:hAnsi="Times New Roman" w:eastAsia="宋体"/>
                <w:color w:val="182B3A"/>
                <w:sz w:val="17"/>
              </w:rPr>
              <w:t>单品 i 的订货量</w:t>
            </w:r>
          </w:p>
        </w:tc>
        <w:tc>
          <w:tcPr>
            <w:tcW w:type="dxa" w:w="1500"/>
          </w:tcPr>
          <w:p>
            <w:pPr>
              <w:spacing w:before="0" w:after="0" w:line="252" w:lineRule="auto"/>
              <w:jc w:val="center"/>
            </w:pPr>
            <w:r>
              <w:rPr>
                <w:rFonts w:ascii="Times New Roman" w:hAnsi="Times New Roman" w:eastAsia="宋体"/>
                <w:color w:val="182B3A"/>
                <w:sz w:val="17"/>
              </w:rPr>
              <w:t>kg</w:t>
            </w:r>
          </w:p>
        </w:tc>
      </w:tr>
      <w:tr>
        <w:tc>
          <w:tcPr>
            <w:tcW w:type="dxa" w:w="1450"/>
          </w:tcPr>
          <w:p>
            <w:pPr>
              <w:spacing w:before="0" w:after="0" w:line="252" w:lineRule="auto"/>
              <w:jc w:val="center"/>
            </w:pPr>
            <w:r>
              <w:rPr>
                <w:rFonts w:ascii="Times New Roman" w:hAnsi="Times New Roman" w:eastAsia="宋体"/>
                <w:color w:val="182B3A"/>
                <w:sz w:val="17"/>
              </w:rPr>
              <w:t>p_ik</w:t>
            </w:r>
          </w:p>
        </w:tc>
        <w:tc>
          <w:tcPr>
            <w:tcW w:type="dxa" w:w="6122"/>
          </w:tcPr>
          <w:p>
            <w:pPr>
              <w:spacing w:before="0" w:after="0" w:line="252" w:lineRule="auto"/>
              <w:jc w:val="left"/>
            </w:pPr>
            <w:r>
              <w:rPr>
                <w:rFonts w:ascii="Times New Roman" w:hAnsi="Times New Roman" w:eastAsia="宋体"/>
                <w:color w:val="182B3A"/>
                <w:sz w:val="17"/>
              </w:rPr>
              <w:t>单品 i 在价格方案 k 下的零售价</w:t>
            </w:r>
          </w:p>
        </w:tc>
        <w:tc>
          <w:tcPr>
            <w:tcW w:type="dxa" w:w="1500"/>
          </w:tcPr>
          <w:p>
            <w:pPr>
              <w:spacing w:before="0" w:after="0" w:line="252" w:lineRule="auto"/>
              <w:jc w:val="center"/>
            </w:pPr>
            <w:r>
              <w:rPr>
                <w:rFonts w:ascii="Times New Roman" w:hAnsi="Times New Roman" w:eastAsia="宋体"/>
                <w:color w:val="182B3A"/>
                <w:sz w:val="17"/>
              </w:rPr>
              <w:t>元/kg</w:t>
            </w:r>
          </w:p>
        </w:tc>
      </w:tr>
      <w:tr>
        <w:tc>
          <w:tcPr>
            <w:tcW w:type="dxa" w:w="1450"/>
          </w:tcPr>
          <w:p>
            <w:pPr>
              <w:spacing w:before="0" w:after="0" w:line="252" w:lineRule="auto"/>
              <w:jc w:val="center"/>
            </w:pPr>
            <w:r>
              <w:rPr>
                <w:rFonts w:ascii="Times New Roman" w:hAnsi="Times New Roman" w:eastAsia="宋体"/>
                <w:color w:val="182B3A"/>
                <w:sz w:val="17"/>
              </w:rPr>
              <w:t>p_i^ref</w:t>
            </w:r>
          </w:p>
        </w:tc>
        <w:tc>
          <w:tcPr>
            <w:tcW w:type="dxa" w:w="6122"/>
          </w:tcPr>
          <w:p>
            <w:pPr>
              <w:spacing w:before="0" w:after="0" w:line="252" w:lineRule="auto"/>
              <w:jc w:val="left"/>
            </w:pPr>
            <w:r>
              <w:rPr>
                <w:rFonts w:ascii="Times New Roman" w:hAnsi="Times New Roman" w:eastAsia="宋体"/>
                <w:color w:val="182B3A"/>
                <w:sz w:val="17"/>
              </w:rPr>
              <w:t>单品 i 的近期参考售价</w:t>
            </w:r>
          </w:p>
        </w:tc>
        <w:tc>
          <w:tcPr>
            <w:tcW w:type="dxa" w:w="1500"/>
          </w:tcPr>
          <w:p>
            <w:pPr>
              <w:spacing w:before="0" w:after="0" w:line="252" w:lineRule="auto"/>
              <w:jc w:val="center"/>
            </w:pPr>
            <w:r>
              <w:rPr>
                <w:rFonts w:ascii="Times New Roman" w:hAnsi="Times New Roman" w:eastAsia="宋体"/>
                <w:color w:val="182B3A"/>
                <w:sz w:val="17"/>
              </w:rPr>
              <w:t>元/kg</w:t>
            </w:r>
          </w:p>
        </w:tc>
      </w:tr>
      <w:tr>
        <w:tc>
          <w:tcPr>
            <w:tcW w:type="dxa" w:w="1450"/>
          </w:tcPr>
          <w:p>
            <w:pPr>
              <w:spacing w:before="0" w:after="0" w:line="252" w:lineRule="auto"/>
              <w:jc w:val="center"/>
            </w:pPr>
            <w:r>
              <w:rPr>
                <w:rFonts w:ascii="Times New Roman" w:hAnsi="Times New Roman" w:eastAsia="宋体"/>
                <w:color w:val="182B3A"/>
                <w:sz w:val="17"/>
              </w:rPr>
              <w:t>w_i^ω</w:t>
            </w:r>
          </w:p>
        </w:tc>
        <w:tc>
          <w:tcPr>
            <w:tcW w:type="dxa" w:w="6122"/>
          </w:tcPr>
          <w:p>
            <w:pPr>
              <w:spacing w:before="0" w:after="0" w:line="252" w:lineRule="auto"/>
              <w:jc w:val="left"/>
            </w:pPr>
            <w:r>
              <w:rPr>
                <w:rFonts w:ascii="Times New Roman" w:hAnsi="Times New Roman" w:eastAsia="宋体"/>
                <w:color w:val="182B3A"/>
                <w:sz w:val="17"/>
              </w:rPr>
              <w:t>场景 ω 下单品 i 的预测批发成本</w:t>
            </w:r>
          </w:p>
        </w:tc>
        <w:tc>
          <w:tcPr>
            <w:tcW w:type="dxa" w:w="1500"/>
          </w:tcPr>
          <w:p>
            <w:pPr>
              <w:spacing w:before="0" w:after="0" w:line="252" w:lineRule="auto"/>
              <w:jc w:val="center"/>
            </w:pPr>
            <w:r>
              <w:rPr>
                <w:rFonts w:ascii="Times New Roman" w:hAnsi="Times New Roman" w:eastAsia="宋体"/>
                <w:color w:val="182B3A"/>
                <w:sz w:val="17"/>
              </w:rPr>
              <w:t>元/kg</w:t>
            </w:r>
          </w:p>
        </w:tc>
      </w:tr>
      <w:tr>
        <w:tc>
          <w:tcPr>
            <w:tcW w:type="dxa" w:w="1450"/>
          </w:tcPr>
          <w:p>
            <w:pPr>
              <w:spacing w:before="0" w:after="0" w:line="252" w:lineRule="auto"/>
              <w:jc w:val="center"/>
            </w:pPr>
            <w:r>
              <w:rPr>
                <w:rFonts w:ascii="Times New Roman" w:hAnsi="Times New Roman" w:eastAsia="宋体"/>
                <w:color w:val="182B3A"/>
                <w:sz w:val="17"/>
              </w:rPr>
              <w:t>λ_i</w:t>
            </w:r>
          </w:p>
        </w:tc>
        <w:tc>
          <w:tcPr>
            <w:tcW w:type="dxa" w:w="6122"/>
          </w:tcPr>
          <w:p>
            <w:pPr>
              <w:spacing w:before="0" w:after="0" w:line="252" w:lineRule="auto"/>
              <w:jc w:val="left"/>
            </w:pPr>
            <w:r>
              <w:rPr>
                <w:rFonts w:ascii="Times New Roman" w:hAnsi="Times New Roman" w:eastAsia="宋体"/>
                <w:color w:val="182B3A"/>
                <w:sz w:val="17"/>
              </w:rPr>
              <w:t>单品 i 的近期损耗率</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r_i^recent</w:t>
            </w:r>
          </w:p>
        </w:tc>
        <w:tc>
          <w:tcPr>
            <w:tcW w:type="dxa" w:w="6122"/>
          </w:tcPr>
          <w:p>
            <w:pPr>
              <w:spacing w:before="0" w:after="0" w:line="252" w:lineRule="auto"/>
              <w:jc w:val="left"/>
            </w:pPr>
            <w:r>
              <w:rPr>
                <w:rFonts w:ascii="Times New Roman" w:hAnsi="Times New Roman" w:eastAsia="宋体"/>
                <w:color w:val="182B3A"/>
                <w:sz w:val="17"/>
              </w:rPr>
              <w:t>单品 i 最近 7 日在所属品类中的销量信息</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r_i^long</w:t>
            </w:r>
          </w:p>
        </w:tc>
        <w:tc>
          <w:tcPr>
            <w:tcW w:type="dxa" w:w="6122"/>
          </w:tcPr>
          <w:p>
            <w:pPr>
              <w:spacing w:before="0" w:after="0" w:line="252" w:lineRule="auto"/>
              <w:jc w:val="left"/>
            </w:pPr>
            <w:r>
              <w:rPr>
                <w:rFonts w:ascii="Times New Roman" w:hAnsi="Times New Roman" w:eastAsia="宋体"/>
                <w:color w:val="182B3A"/>
                <w:sz w:val="17"/>
              </w:rPr>
              <w:t>单品 i 在历史可比星期六中的长期份额</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r_i^ω</w:t>
            </w:r>
          </w:p>
        </w:tc>
        <w:tc>
          <w:tcPr>
            <w:tcW w:type="dxa" w:w="6122"/>
          </w:tcPr>
          <w:p>
            <w:pPr>
              <w:spacing w:before="0" w:after="0" w:line="252" w:lineRule="auto"/>
              <w:jc w:val="left"/>
            </w:pPr>
            <w:r>
              <w:rPr>
                <w:rFonts w:ascii="Times New Roman" w:hAnsi="Times New Roman" w:eastAsia="宋体"/>
                <w:color w:val="182B3A"/>
                <w:sz w:val="17"/>
              </w:rPr>
              <w:t>场景 ω 下单品 i 的需求份额</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κ_c</w:t>
            </w:r>
          </w:p>
        </w:tc>
        <w:tc>
          <w:tcPr>
            <w:tcW w:type="dxa" w:w="6122"/>
          </w:tcPr>
          <w:p>
            <w:pPr>
              <w:spacing w:before="0" w:after="0" w:line="252" w:lineRule="auto"/>
              <w:jc w:val="left"/>
            </w:pPr>
            <w:r>
              <w:rPr>
                <w:rFonts w:ascii="Times New Roman" w:hAnsi="Times New Roman" w:eastAsia="宋体"/>
                <w:color w:val="182B3A"/>
                <w:sz w:val="17"/>
              </w:rPr>
              <w:t>品类 c 的经验贝叶斯收缩强度</w:t>
            </w:r>
          </w:p>
        </w:tc>
        <w:tc>
          <w:tcPr>
            <w:tcW w:type="dxa" w:w="1500"/>
          </w:tcPr>
          <w:p>
            <w:pPr>
              <w:spacing w:before="0" w:after="0" w:line="252" w:lineRule="auto"/>
              <w:jc w:val="center"/>
            </w:pPr>
            <w:r>
              <w:rPr>
                <w:rFonts w:ascii="Times New Roman" w:hAnsi="Times New Roman" w:eastAsia="宋体"/>
                <w:color w:val="182B3A"/>
                <w:sz w:val="17"/>
              </w:rPr>
              <w:t>kg</w:t>
            </w:r>
          </w:p>
        </w:tc>
      </w:tr>
      <w:tr>
        <w:tc>
          <w:tcPr>
            <w:tcW w:type="dxa" w:w="1450"/>
          </w:tcPr>
          <w:p>
            <w:pPr>
              <w:spacing w:before="0" w:after="0" w:line="252" w:lineRule="auto"/>
              <w:jc w:val="center"/>
            </w:pPr>
            <w:r>
              <w:rPr>
                <w:rFonts w:ascii="Times New Roman" w:hAnsi="Times New Roman" w:eastAsia="宋体"/>
                <w:color w:val="182B3A"/>
                <w:sz w:val="17"/>
              </w:rPr>
              <w:t>D_c^ω</w:t>
            </w:r>
          </w:p>
        </w:tc>
        <w:tc>
          <w:tcPr>
            <w:tcW w:type="dxa" w:w="6122"/>
          </w:tcPr>
          <w:p>
            <w:pPr>
              <w:spacing w:before="0" w:after="0" w:line="252" w:lineRule="auto"/>
              <w:jc w:val="left"/>
            </w:pPr>
            <w:r>
              <w:rPr>
                <w:rFonts w:ascii="Times New Roman" w:hAnsi="Times New Roman" w:eastAsia="宋体"/>
                <w:color w:val="182B3A"/>
                <w:sz w:val="17"/>
              </w:rPr>
              <w:t>场景 ω 下品类 c 的市场需求</w:t>
            </w:r>
          </w:p>
        </w:tc>
        <w:tc>
          <w:tcPr>
            <w:tcW w:type="dxa" w:w="1500"/>
          </w:tcPr>
          <w:p>
            <w:pPr>
              <w:spacing w:before="0" w:after="0" w:line="252" w:lineRule="auto"/>
              <w:jc w:val="center"/>
            </w:pPr>
            <w:r>
              <w:rPr>
                <w:rFonts w:ascii="Times New Roman" w:hAnsi="Times New Roman" w:eastAsia="宋体"/>
                <w:color w:val="182B3A"/>
                <w:sz w:val="17"/>
              </w:rPr>
              <w:t>kg</w:t>
            </w:r>
          </w:p>
        </w:tc>
      </w:tr>
      <w:tr>
        <w:tc>
          <w:tcPr>
            <w:tcW w:type="dxa" w:w="1450"/>
          </w:tcPr>
          <w:p>
            <w:pPr>
              <w:spacing w:before="0" w:after="0" w:line="252" w:lineRule="auto"/>
              <w:jc w:val="center"/>
            </w:pPr>
            <w:r>
              <w:rPr>
                <w:rFonts w:ascii="Times New Roman" w:hAnsi="Times New Roman" w:eastAsia="宋体"/>
                <w:color w:val="182B3A"/>
                <w:sz w:val="17"/>
              </w:rPr>
              <w:t>ε_c</w:t>
            </w:r>
          </w:p>
        </w:tc>
        <w:tc>
          <w:tcPr>
            <w:tcW w:type="dxa" w:w="6122"/>
          </w:tcPr>
          <w:p>
            <w:pPr>
              <w:spacing w:before="0" w:after="0" w:line="252" w:lineRule="auto"/>
              <w:jc w:val="left"/>
            </w:pPr>
            <w:r>
              <w:rPr>
                <w:rFonts w:ascii="Times New Roman" w:hAnsi="Times New Roman" w:eastAsia="宋体"/>
                <w:color w:val="182B3A"/>
                <w:sz w:val="17"/>
              </w:rPr>
              <w:t>品类 c 的价格弹性</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d_ik^ω</w:t>
            </w:r>
          </w:p>
        </w:tc>
        <w:tc>
          <w:tcPr>
            <w:tcW w:type="dxa" w:w="6122"/>
          </w:tcPr>
          <w:p>
            <w:pPr>
              <w:spacing w:before="0" w:after="0" w:line="252" w:lineRule="auto"/>
              <w:jc w:val="left"/>
            </w:pPr>
            <w:r>
              <w:rPr>
                <w:rFonts w:ascii="Times New Roman" w:hAnsi="Times New Roman" w:eastAsia="宋体"/>
                <w:color w:val="182B3A"/>
                <w:sz w:val="17"/>
              </w:rPr>
              <w:t>场景 ω 下单品 i 在价格 k 下的潜在需求</w:t>
            </w:r>
          </w:p>
        </w:tc>
        <w:tc>
          <w:tcPr>
            <w:tcW w:type="dxa" w:w="1500"/>
          </w:tcPr>
          <w:p>
            <w:pPr>
              <w:spacing w:before="0" w:after="0" w:line="252" w:lineRule="auto"/>
              <w:jc w:val="center"/>
            </w:pPr>
            <w:r>
              <w:rPr>
                <w:rFonts w:ascii="Times New Roman" w:hAnsi="Times New Roman" w:eastAsia="宋体"/>
                <w:color w:val="182B3A"/>
                <w:sz w:val="17"/>
              </w:rPr>
              <w:t>kg</w:t>
            </w:r>
          </w:p>
        </w:tc>
      </w:tr>
      <w:tr>
        <w:tc>
          <w:tcPr>
            <w:tcW w:type="dxa" w:w="1450"/>
          </w:tcPr>
          <w:p>
            <w:pPr>
              <w:spacing w:before="0" w:after="0" w:line="252" w:lineRule="auto"/>
              <w:jc w:val="center"/>
            </w:pPr>
            <w:r>
              <w:rPr>
                <w:rFonts w:ascii="Times New Roman" w:hAnsi="Times New Roman" w:eastAsia="宋体"/>
                <w:color w:val="182B3A"/>
                <w:sz w:val="17"/>
              </w:rPr>
              <w:t>s_ik^ω</w:t>
            </w:r>
          </w:p>
        </w:tc>
        <w:tc>
          <w:tcPr>
            <w:tcW w:type="dxa" w:w="6122"/>
          </w:tcPr>
          <w:p>
            <w:pPr>
              <w:spacing w:before="0" w:after="0" w:line="252" w:lineRule="auto"/>
              <w:jc w:val="left"/>
            </w:pPr>
            <w:r>
              <w:rPr>
                <w:rFonts w:ascii="Times New Roman" w:hAnsi="Times New Roman" w:eastAsia="宋体"/>
                <w:color w:val="182B3A"/>
                <w:sz w:val="17"/>
              </w:rPr>
              <w:t>场景 ω 下单品 i 在价格 k 下的实际销量</w:t>
            </w:r>
          </w:p>
        </w:tc>
        <w:tc>
          <w:tcPr>
            <w:tcW w:type="dxa" w:w="1500"/>
          </w:tcPr>
          <w:p>
            <w:pPr>
              <w:spacing w:before="0" w:after="0" w:line="252" w:lineRule="auto"/>
              <w:jc w:val="center"/>
            </w:pPr>
            <w:r>
              <w:rPr>
                <w:rFonts w:ascii="Times New Roman" w:hAnsi="Times New Roman" w:eastAsia="宋体"/>
                <w:color w:val="182B3A"/>
                <w:sz w:val="17"/>
              </w:rPr>
              <w:t>kg</w:t>
            </w:r>
          </w:p>
        </w:tc>
      </w:tr>
      <w:tr>
        <w:tc>
          <w:tcPr>
            <w:tcW w:type="dxa" w:w="1450"/>
          </w:tcPr>
          <w:p>
            <w:pPr>
              <w:spacing w:before="0" w:after="0" w:line="252" w:lineRule="auto"/>
              <w:jc w:val="center"/>
            </w:pPr>
            <w:r>
              <w:rPr>
                <w:rFonts w:ascii="Times New Roman" w:hAnsi="Times New Roman" w:eastAsia="宋体"/>
                <w:color w:val="182B3A"/>
                <w:sz w:val="17"/>
              </w:rPr>
              <w:t>u_c^ω</w:t>
            </w:r>
          </w:p>
        </w:tc>
        <w:tc>
          <w:tcPr>
            <w:tcW w:type="dxa" w:w="6122"/>
          </w:tcPr>
          <w:p>
            <w:pPr>
              <w:spacing w:before="0" w:after="0" w:line="252" w:lineRule="auto"/>
              <w:jc w:val="left"/>
            </w:pPr>
            <w:r>
              <w:rPr>
                <w:rFonts w:ascii="Times New Roman" w:hAnsi="Times New Roman" w:eastAsia="宋体"/>
                <w:color w:val="182B3A"/>
                <w:sz w:val="17"/>
              </w:rPr>
              <w:t>场景 ω 下品类 c 的未满足需求</w:t>
            </w:r>
          </w:p>
        </w:tc>
        <w:tc>
          <w:tcPr>
            <w:tcW w:type="dxa" w:w="1500"/>
          </w:tcPr>
          <w:p>
            <w:pPr>
              <w:spacing w:before="0" w:after="0" w:line="252" w:lineRule="auto"/>
              <w:jc w:val="center"/>
            </w:pPr>
            <w:r>
              <w:rPr>
                <w:rFonts w:ascii="Times New Roman" w:hAnsi="Times New Roman" w:eastAsia="宋体"/>
                <w:color w:val="182B3A"/>
                <w:sz w:val="17"/>
              </w:rPr>
              <w:t>kg</w:t>
            </w:r>
          </w:p>
        </w:tc>
      </w:tr>
      <w:tr>
        <w:tc>
          <w:tcPr>
            <w:tcW w:type="dxa" w:w="1450"/>
          </w:tcPr>
          <w:p>
            <w:pPr>
              <w:spacing w:before="0" w:after="0" w:line="252" w:lineRule="auto"/>
              <w:jc w:val="center"/>
            </w:pPr>
            <w:r>
              <w:rPr>
                <w:rFonts w:ascii="Times New Roman" w:hAnsi="Times New Roman" w:eastAsia="宋体"/>
                <w:color w:val="182B3A"/>
                <w:sz w:val="17"/>
              </w:rPr>
              <w:t>Π^ω</w:t>
            </w:r>
          </w:p>
        </w:tc>
        <w:tc>
          <w:tcPr>
            <w:tcW w:type="dxa" w:w="6122"/>
          </w:tcPr>
          <w:p>
            <w:pPr>
              <w:spacing w:before="0" w:after="0" w:line="252" w:lineRule="auto"/>
              <w:jc w:val="left"/>
            </w:pPr>
            <w:r>
              <w:rPr>
                <w:rFonts w:ascii="Times New Roman" w:hAnsi="Times New Roman" w:eastAsia="宋体"/>
                <w:color w:val="182B3A"/>
                <w:sz w:val="17"/>
              </w:rPr>
              <w:t>场景 ω 下整体利润</w:t>
            </w:r>
          </w:p>
        </w:tc>
        <w:tc>
          <w:tcPr>
            <w:tcW w:type="dxa" w:w="1500"/>
          </w:tcPr>
          <w:p>
            <w:pPr>
              <w:spacing w:before="0" w:after="0" w:line="252" w:lineRule="auto"/>
              <w:jc w:val="center"/>
            </w:pPr>
            <w:r>
              <w:rPr>
                <w:rFonts w:ascii="Times New Roman" w:hAnsi="Times New Roman" w:eastAsia="宋体"/>
                <w:color w:val="182B3A"/>
                <w:sz w:val="17"/>
              </w:rPr>
              <w:t>元</w:t>
            </w:r>
          </w:p>
        </w:tc>
      </w:tr>
      <w:tr>
        <w:tc>
          <w:tcPr>
            <w:tcW w:type="dxa" w:w="1450"/>
          </w:tcPr>
          <w:p>
            <w:pPr>
              <w:spacing w:before="0" w:after="0" w:line="252" w:lineRule="auto"/>
              <w:jc w:val="center"/>
            </w:pPr>
            <w:r>
              <w:rPr>
                <w:rFonts w:ascii="Times New Roman" w:hAnsi="Times New Roman" w:eastAsia="宋体"/>
                <w:color w:val="182B3A"/>
                <w:sz w:val="17"/>
              </w:rPr>
              <w:t>L</w:t>
            </w:r>
          </w:p>
        </w:tc>
        <w:tc>
          <w:tcPr>
            <w:tcW w:type="dxa" w:w="6122"/>
          </w:tcPr>
          <w:p>
            <w:pPr>
              <w:spacing w:before="0" w:after="0" w:line="252" w:lineRule="auto"/>
              <w:jc w:val="left"/>
            </w:pPr>
            <w:r>
              <w:rPr>
                <w:rFonts w:ascii="Times New Roman" w:hAnsi="Times New Roman" w:eastAsia="宋体"/>
                <w:color w:val="182B3A"/>
                <w:sz w:val="17"/>
              </w:rPr>
              <w:t>六品类等权的平均标准化缺货率</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α</w:t>
            </w:r>
          </w:p>
        </w:tc>
        <w:tc>
          <w:tcPr>
            <w:tcW w:type="dxa" w:w="6122"/>
          </w:tcPr>
          <w:p>
            <w:pPr>
              <w:spacing w:before="0" w:after="0" w:line="252" w:lineRule="auto"/>
              <w:jc w:val="left"/>
            </w:pPr>
            <w:r>
              <w:rPr>
                <w:rFonts w:ascii="Times New Roman" w:hAnsi="Times New Roman" w:eastAsia="宋体"/>
                <w:color w:val="182B3A"/>
                <w:sz w:val="17"/>
              </w:rPr>
              <w:t>尾部概率，本模型取 0.10</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γ</w:t>
            </w:r>
          </w:p>
        </w:tc>
        <w:tc>
          <w:tcPr>
            <w:tcW w:type="dxa" w:w="6122"/>
          </w:tcPr>
          <w:p>
            <w:pPr>
              <w:spacing w:before="0" w:after="0" w:line="252" w:lineRule="auto"/>
              <w:jc w:val="left"/>
            </w:pPr>
            <w:r>
              <w:rPr>
                <w:rFonts w:ascii="Times New Roman" w:hAnsi="Times New Roman" w:eastAsia="宋体"/>
                <w:color w:val="182B3A"/>
                <w:sz w:val="17"/>
              </w:rPr>
              <w:t>尾部风险权重，本模型取 0.25</w:t>
            </w:r>
          </w:p>
        </w:tc>
        <w:tc>
          <w:tcPr>
            <w:tcW w:type="dxa" w:w="1500"/>
          </w:tcPr>
          <w:p>
            <w:pPr>
              <w:spacing w:before="0" w:after="0" w:line="252" w:lineRule="auto"/>
              <w:jc w:val="center"/>
            </w:pPr>
            <w:r>
              <w:rPr>
                <w:rFonts w:ascii="Times New Roman" w:hAnsi="Times New Roman" w:eastAsia="宋体"/>
                <w:color w:val="182B3A"/>
                <w:sz w:val="17"/>
              </w:rPr>
              <w:t>—</w:t>
            </w:r>
          </w:p>
        </w:tc>
      </w:tr>
      <w:tr>
        <w:tc>
          <w:tcPr>
            <w:tcW w:type="dxa" w:w="1450"/>
          </w:tcPr>
          <w:p>
            <w:pPr>
              <w:spacing w:before="0" w:after="0" w:line="252" w:lineRule="auto"/>
              <w:jc w:val="center"/>
            </w:pPr>
            <w:r>
              <w:rPr>
                <w:rFonts w:ascii="Times New Roman" w:hAnsi="Times New Roman" w:eastAsia="宋体"/>
                <w:color w:val="182B3A"/>
                <w:sz w:val="17"/>
              </w:rPr>
              <w:t>η, ξ_ω</w:t>
            </w:r>
          </w:p>
        </w:tc>
        <w:tc>
          <w:tcPr>
            <w:tcW w:type="dxa" w:w="6122"/>
          </w:tcPr>
          <w:p>
            <w:pPr>
              <w:spacing w:before="0" w:after="0" w:line="252" w:lineRule="auto"/>
              <w:jc w:val="left"/>
            </w:pPr>
            <w:r>
              <w:rPr>
                <w:rFonts w:ascii="Times New Roman" w:hAnsi="Times New Roman" w:eastAsia="宋体"/>
                <w:color w:val="182B3A"/>
                <w:sz w:val="17"/>
              </w:rPr>
              <w:t>最差 α 比例平均利润线性化辅助变量</w:t>
            </w:r>
          </w:p>
        </w:tc>
        <w:tc>
          <w:tcPr>
            <w:tcW w:type="dxa" w:w="1500"/>
          </w:tcPr>
          <w:p>
            <w:pPr>
              <w:spacing w:before="0" w:after="0" w:line="252" w:lineRule="auto"/>
              <w:jc w:val="center"/>
            </w:pPr>
            <w:r>
              <w:rPr>
                <w:rFonts w:ascii="Times New Roman" w:hAnsi="Times New Roman" w:eastAsia="宋体"/>
                <w:color w:val="182B3A"/>
                <w:sz w:val="17"/>
              </w:rPr>
              <w:t>元</w:t>
            </w:r>
          </w:p>
        </w:tc>
      </w:tr>
      <w:tr>
        <w:tc>
          <w:tcPr>
            <w:tcW w:type="dxa" w:w="1450"/>
          </w:tcPr>
          <w:p>
            <w:pPr>
              <w:spacing w:before="0" w:after="0" w:line="252" w:lineRule="auto"/>
              <w:jc w:val="center"/>
            </w:pPr>
            <w:r>
              <w:rPr>
                <w:rFonts w:ascii="Times New Roman" w:hAnsi="Times New Roman" w:eastAsia="宋体"/>
                <w:color w:val="182B3A"/>
                <w:sz w:val="17"/>
              </w:rPr>
              <w:t>M_i</w:t>
            </w:r>
          </w:p>
        </w:tc>
        <w:tc>
          <w:tcPr>
            <w:tcW w:type="dxa" w:w="6122"/>
          </w:tcPr>
          <w:p>
            <w:pPr>
              <w:spacing w:before="0" w:after="0" w:line="252" w:lineRule="auto"/>
              <w:jc w:val="left"/>
            </w:pPr>
            <w:r>
              <w:rPr>
                <w:rFonts w:ascii="Times New Roman" w:hAnsi="Times New Roman" w:eastAsia="宋体"/>
                <w:color w:val="182B3A"/>
                <w:sz w:val="17"/>
              </w:rPr>
              <w:t>单品 i 的数据尺度化订货上界</w:t>
            </w:r>
          </w:p>
        </w:tc>
        <w:tc>
          <w:tcPr>
            <w:tcW w:type="dxa" w:w="1500"/>
          </w:tcPr>
          <w:p>
            <w:pPr>
              <w:spacing w:before="0" w:after="0" w:line="252" w:lineRule="auto"/>
              <w:jc w:val="center"/>
            </w:pPr>
            <w:r>
              <w:rPr>
                <w:rFonts w:ascii="Times New Roman" w:hAnsi="Times New Roman" w:eastAsia="宋体"/>
                <w:color w:val="182B3A"/>
                <w:sz w:val="17"/>
              </w:rPr>
              <w:t>kg</w:t>
            </w:r>
          </w:p>
        </w:tc>
      </w:tr>
      <w:tr>
        <w:tc>
          <w:tcPr>
            <w:tcW w:type="dxa" w:w="1450"/>
          </w:tcPr>
          <w:p>
            <w:pPr>
              <w:spacing w:before="0" w:after="0" w:line="252" w:lineRule="auto"/>
              <w:jc w:val="center"/>
            </w:pPr>
            <w:r>
              <w:rPr>
                <w:rFonts w:ascii="Times New Roman" w:hAnsi="Times New Roman" w:eastAsia="宋体"/>
                <w:color w:val="182B3A"/>
                <w:sz w:val="17"/>
              </w:rPr>
              <w:t>Q^Q2</w:t>
            </w:r>
          </w:p>
        </w:tc>
        <w:tc>
          <w:tcPr>
            <w:tcW w:type="dxa" w:w="6122"/>
          </w:tcPr>
          <w:p>
            <w:pPr>
              <w:spacing w:before="0" w:after="0" w:line="252" w:lineRule="auto"/>
              <w:jc w:val="left"/>
            </w:pPr>
            <w:r>
              <w:rPr>
                <w:rFonts w:ascii="Times New Roman" w:hAnsi="Times New Roman" w:eastAsia="宋体"/>
                <w:color w:val="182B3A"/>
                <w:sz w:val="17"/>
              </w:rPr>
              <w:t>第二问 7 月 1 日总补货量上限</w:t>
            </w:r>
          </w:p>
        </w:tc>
        <w:tc>
          <w:tcPr>
            <w:tcW w:type="dxa" w:w="1500"/>
          </w:tcPr>
          <w:p>
            <w:pPr>
              <w:spacing w:before="0" w:after="0" w:line="252" w:lineRule="auto"/>
              <w:jc w:val="center"/>
            </w:pPr>
            <w:r>
              <w:rPr>
                <w:rFonts w:ascii="Times New Roman" w:hAnsi="Times New Roman" w:eastAsia="宋体"/>
                <w:color w:val="182B3A"/>
                <w:sz w:val="17"/>
              </w:rPr>
              <w:t>kg</w:t>
            </w:r>
          </w:p>
        </w:tc>
      </w:tr>
    </w:tbl>
    <w:p>
      <w:pPr>
        <w:widowControl/>
        <w:spacing w:after="40"/>
      </w:pPr>
    </w:p>
    <w:p>
      <w:pPr>
        <w:pStyle w:val="Heading1"/>
        <w:widowControl/>
      </w:pPr>
      <w:r>
        <w:t>5 模型建立与求解及结果分析</w:t>
      </w:r>
    </w:p>
    <w:p>
      <w:pPr>
        <w:pStyle w:val="Heading2"/>
        <w:widowControl/>
      </w:pPr>
      <w:r>
        <w:t>5.1 模型构建</w:t>
      </w:r>
    </w:p>
    <w:p>
      <w:pPr>
        <w:pStyle w:val="Heading3"/>
        <w:widowControl/>
      </w:pPr>
      <w:r>
        <w:t>5.1.1 候选集合与数据口径</w:t>
      </w:r>
    </w:p>
    <w:p>
      <w:pPr>
        <w:widowControl/>
      </w:pPr>
      <w:r>
        <w:t>对日粒度单品销售表进行日期筛选，仅保留 2023 年 6 月 24 日至 6 月 30 日且毛销售量大于 0 的记录，按单品编码去重后得到候选集合 I。该口径得到 49 个候选单品，覆盖六个品类。损耗率采用近期销售量加权值，参考价格采用该周销售收入与销量之比；最新批发价取候选周内该单品最后一个非空批发价。</w:t>
      </w:r>
    </w:p>
    <w:p>
      <w:pPr>
        <w:widowControl/>
      </w:pPr>
      <w:r>
        <w:t>为了与第二问成本预测保持一致，先计算候选周各品类的销量加权批发成本，再以第二问 7 月 1 日品类成本预测相对该近期成本的比例，调整各单品最新批发价：</w:t>
      </w:r>
    </w:p>
    <w:p>
      <w:pPr>
        <w:pStyle w:val="Equation"/>
        <w:widowControl/>
      </w:pPr>
      <w:r>
        <w:t>ŵ_i = w_(i,latest) × ŵ_(c(i),Q2) / w̄_(c(i),recent)                                      (1)</w:t>
      </w:r>
    </w:p>
    <w:p>
      <w:pPr>
        <w:widowControl/>
      </w:pPr>
      <w:r>
        <w:t>该比例缩放既保留了同品类单品之间的成本差异，又使单品成本整体变化方向与第二问一致。场景成本进一步叠加第二问成本残差：</w:t>
      </w:r>
    </w:p>
    <w:p>
      <w:pPr>
        <w:pStyle w:val="Equation"/>
        <w:widowControl/>
      </w:pPr>
      <w:r>
        <w:t>w_i^ω = ŵ_i × exp(e_(c(i))^ω)                                                            (2)</w:t>
      </w:r>
    </w:p>
    <w:p>
      <w:pPr>
        <w:pStyle w:val="Heading3"/>
        <w:widowControl/>
      </w:pPr>
      <w:r>
        <w:t>5.1.2 动态单品份额与经验贝叶斯收缩</w:t>
      </w:r>
    </w:p>
    <w:p>
      <w:pPr>
        <w:widowControl/>
      </w:pPr>
      <w:r>
        <w:t>对品类 c 内的单品 i，记最近 7 日销量为 Q_i^recent，品类最近 7 日总销量为 Q_c^recent，历史可比星期六长期份额为 r_i^long。构造经验贝叶斯份额：</w:t>
      </w:r>
    </w:p>
    <w:p>
      <w:pPr>
        <w:pStyle w:val="Equation"/>
        <w:widowControl/>
      </w:pPr>
      <w:r>
        <w:t>r̂_i = [Q_i^recent + κ_c r_i^long] / [Q_c^recent + κ_c],   Σ_(i:c(i)=c) r̂_i = 1          (3)</w:t>
      </w:r>
    </w:p>
    <w:p>
      <w:pPr>
        <w:widowControl/>
      </w:pPr>
      <w:r>
        <w:t>式（3）可解释为在近期观测上加入 κ_c kg 的长期先验“伪样本”。当近期样本充分时，Q_c^recent 远大于 κ_c，份额主要由最近一周决定；当近期样本有限时，估计值向长期可比日结构收缩。κ_c 不主观指定，而是在目标日前的历史星期六上滚动验证，从候选网格中选择预测误差较小的值。</w:t>
      </w:r>
    </w:p>
    <w:p>
      <w:pPr>
        <w:widowControl/>
      </w:pPr>
      <w:r>
        <w:t>为了形成单品份额场景，从过去三年的可比星期六中按整日有放回抽样，计算抽样日内份额 r_i^{obs,ω}，再与后验份额混合：</w:t>
      </w:r>
    </w:p>
    <w:p>
      <w:pPr>
        <w:pStyle w:val="Equation"/>
        <w:widowControl/>
      </w:pPr>
      <w:r>
        <w:t>r_i^ω = h r_i^(obs,ω) + (1-h) r̂_i,   h = 0.50                                           (4)</w:t>
      </w:r>
    </w:p>
    <w:p>
      <w:pPr>
        <w:widowControl/>
      </w:pPr>
      <w:r>
        <w:t>每个场景、每个品类内部重新归一化，确保份额之和严格为 1。该设计保留了同一日各单品份额间的相关变化。</w:t>
      </w:r>
    </w:p>
    <w:p>
      <w:pPr>
        <w:pStyle w:val="Heading3"/>
        <w:widowControl/>
      </w:pPr>
      <w:r>
        <w:t>5.1.3 价格网格与价格响应需求</w:t>
      </w:r>
    </w:p>
    <w:p>
      <w:pPr>
        <w:widowControl/>
      </w:pPr>
      <w:r>
        <w:t>连续定价会使价格响应项产生非线性，也可能给出历史中从未出现过的难执行价格。故对每个单品建立有限价格网格：优先使用该单品近一年实际加价率的 10%、30%、50%、70%、90% 销量加权分位点；若有效销售天数少于 30 天或不同价格少于 5 个，则回退到所属品类历史加价率。所有加价率均截断在第二问估计的品类合理边界内，最终价格按 0.1 元/kg 取整。</w:t>
      </w:r>
    </w:p>
    <w:p>
      <w:pPr>
        <w:widowControl/>
      </w:pPr>
      <w:r>
        <w:t>对单品 i 的价格方案 k，复用第二问所属品类价格弹性 ε_c，构造场景需求：</w:t>
      </w:r>
    </w:p>
    <w:p>
      <w:pPr>
        <w:pStyle w:val="Equation"/>
        <w:widowControl/>
      </w:pPr>
      <w:r>
        <w:t>d_ik^ω = r_i^ω D_(c(i))^ω (p_ik / p_i^ref)^(ε_(c(i)))                                   (5)</w:t>
      </w:r>
    </w:p>
    <w:p>
      <w:pPr>
        <w:widowControl/>
      </w:pPr>
      <w:r>
        <w:t>由于蔬菜需求通常随价格上升而下降，估计弹性为负时，价格高于参考价会压低需求。式（5）把第二问的品类需求、第三问的单品结构和定价决策连接为统一口径。</w:t>
      </w:r>
    </w:p>
    <w:p>
      <w:pPr>
        <w:pStyle w:val="Heading3"/>
        <w:widowControl/>
      </w:pPr>
      <w:r>
        <w:t>5.1.4 决策变量与硬约束</w:t>
      </w:r>
    </w:p>
    <w:p>
      <w:pPr>
        <w:widowControl/>
      </w:pPr>
      <w:r>
        <w:t>设置二元变量 x_i 表示单品是否入选，y_ik 表示是否采用价格 k；连续变量 q_i 表示订货量，s_ik^ω 表示场景销量，u_c^ω 表示品类未满足需求。</w:t>
      </w:r>
    </w:p>
    <w:p>
      <w:pPr>
        <w:widowControl/>
      </w:pPr>
      <w:r>
        <w:t>商品数量约束为：</w:t>
      </w:r>
    </w:p>
    <w:p>
      <w:pPr>
        <w:pStyle w:val="Equation"/>
        <w:widowControl/>
      </w:pPr>
      <w:r>
        <w:t>27 ≤ Σ_(i∈I) x_i ≤ 33                                                                   (6)</w:t>
      </w:r>
    </w:p>
    <w:p>
      <w:pPr>
        <w:widowControl/>
      </w:pPr>
      <w:r>
        <w:t>实际求解中分别固定 K=27,…,33 枚举，以便获得完整的组合规模前沿。每个单品至多选择一个价格，未入选时不定价：</w:t>
      </w:r>
    </w:p>
    <w:p>
      <w:pPr>
        <w:pStyle w:val="Equation"/>
        <w:widowControl/>
      </w:pPr>
      <w:r>
        <w:t>Σ_(k∈K_i) y_ik = x_i                                                                    (7)</w:t>
      </w:r>
    </w:p>
    <w:p>
      <w:pPr>
        <w:widowControl/>
      </w:pPr>
      <w:r>
        <w:t>最低陈列量与数据尺度化订货上界为：</w:t>
      </w:r>
    </w:p>
    <w:p>
      <w:pPr>
        <w:pStyle w:val="Equation"/>
        <w:widowControl/>
      </w:pPr>
      <w:r>
        <w:t>2.5 x_i ≤ q_i ≤ M_i x_i                                                                 (8)</w:t>
      </w:r>
    </w:p>
    <w:p>
      <w:pPr>
        <w:widowControl/>
      </w:pPr>
      <w:r>
        <w:t>其中 M_i 取各价格方案场景需求 99% 分位数的 1.2 倍，并除以可售比例 1-λ_i，且不低于 2.5 kg。这比使用任意巨大常数更紧，可减少 MILP 松弛区间而不截断常规需求。</w:t>
      </w:r>
    </w:p>
    <w:p>
      <w:pPr>
        <w:widowControl/>
      </w:pPr>
      <w:r>
        <w:t>第三问在总量尺度上承接第二问，但允许六品类之间根据单品可售性、损耗和价格重新平衡，并非把第二问各品类补货量机械拆分到单品。最新版将总订货量约束在第二问结果上下 0.05% 的窄带内：</w:t>
      </w:r>
    </w:p>
    <w:p>
      <w:pPr>
        <w:pStyle w:val="Equation"/>
        <w:widowControl/>
      </w:pPr>
      <w:r>
        <w:t>Σ_(i∈I) q_i ≤ Q^Q2 = 362.262664                                                         (9)</w:t>
      </w:r>
    </w:p>
    <w:p>
      <w:pPr>
        <w:widowControl/>
      </w:pPr>
      <w:r>
        <w:t>场景销量同时受需求和损耗后库存限制：</w:t>
      </w:r>
    </w:p>
    <w:p>
      <w:pPr>
        <w:pStyle w:val="Equation"/>
        <w:widowControl/>
      </w:pPr>
      <w:r>
        <w:t>0 ≤ s_ik^ω ≤ d_ik^ω y_ik                                                              (10)</w:t>
      </w:r>
    </w:p>
    <w:p>
      <w:pPr>
        <w:pStyle w:val="Equation"/>
        <w:widowControl/>
      </w:pPr>
      <w:r>
        <w:t>Σ_(k∈K_i) s_ik^ω ≤ (1-λ_i)q_i                                                         (11)</w:t>
      </w:r>
    </w:p>
    <w:p>
      <w:pPr>
        <w:widowControl/>
      </w:pPr>
      <w:r>
        <w:t>品类未满足需求满足：</w:t>
      </w:r>
    </w:p>
    <w:p>
      <w:pPr>
        <w:pStyle w:val="Equation"/>
        <w:widowControl/>
      </w:pPr>
      <w:r>
        <w:t>u_c^ω + Σ_(i:c(i)=c) Σ_(k∈K_i) s_ik^ω ≥ D_c^ω,   u_c^ω ≥ 0                            (12)</w:t>
      </w:r>
    </w:p>
    <w:p>
      <w:pPr>
        <w:pStyle w:val="Heading3"/>
        <w:widowControl/>
      </w:pPr>
      <w:r>
        <w:t>5.1.5 第一阶段：最小化品类等权服务损失</w:t>
      </w:r>
    </w:p>
    <w:p>
      <w:pPr>
        <w:widowControl/>
      </w:pPr>
      <w:r>
        <w:t>若直接最小化总缺货量，大需求的花叶类和辣椒类会支配目标，小体量品类可能被忽视。为体现题目“各品类需求”，定义六品类等权的平均标准化缺货率：</w:t>
      </w:r>
    </w:p>
    <w:p>
      <w:pPr>
        <w:pStyle w:val="Equation"/>
        <w:widowControl/>
      </w:pPr>
      <w:r>
        <w:t>L = [1/(|Ω||C|)] Σ_(ω∈Ω) Σ_(c∈C) u_c^ω / max(D_c^ω, 10⁻⁹)                             (13)</w:t>
      </w:r>
    </w:p>
    <w:p>
      <w:pPr>
        <w:widowControl/>
      </w:pPr>
      <w:r>
        <w:t>第一阶段求解：</w:t>
      </w:r>
    </w:p>
    <w:p>
      <w:pPr>
        <w:pStyle w:val="Equation"/>
        <w:widowControl/>
      </w:pPr>
      <w:r>
        <w:t>L* = min L,   s.t. constraints (6)-(12)                                                (14)</w:t>
      </w:r>
    </w:p>
    <w:p>
      <w:pPr>
        <w:widowControl/>
      </w:pPr>
      <w:r>
        <w:t>该目标的补量是平均需求满足率 1-L，具有直观解释。</w:t>
      </w:r>
    </w:p>
    <w:p>
      <w:pPr>
        <w:pStyle w:val="Heading3"/>
        <w:widowControl/>
      </w:pPr>
      <w:r>
        <w:t>5.1.6 第二阶段：在服务容差内优化风险调整利润</w:t>
      </w:r>
    </w:p>
    <w:p>
      <w:pPr>
        <w:widowControl/>
      </w:pPr>
      <w:r>
        <w:t>场景利润为销售收入减去订货成本，成本按损耗前订货量计：</w:t>
      </w:r>
    </w:p>
    <w:p>
      <w:pPr>
        <w:pStyle w:val="Equation"/>
        <w:widowControl/>
      </w:pPr>
      <w:r>
        <w:t>Π^ω = Σ_i Σ_k p_ik s_ik^ω - Σ_i w_i^ω q_i                                             (15)</w:t>
      </w:r>
    </w:p>
    <w:p>
      <w:pPr>
        <w:widowControl/>
      </w:pPr>
      <w:r>
        <w:t>第一阶段使用有限代表场景，若强制第二阶段严格等于 L*，可能因微小场景离散和数值误差排除大量利润更优方案。故根据第一阶段各场景服务损失的离散度设置工程近优容差 δ，并增加约束：</w:t>
      </w:r>
    </w:p>
    <w:p>
      <w:pPr>
        <w:pStyle w:val="Equation"/>
        <w:widowControl/>
      </w:pPr>
      <w:r>
        <w:t>L ≤ L* + δ                                                                             (16)</w:t>
      </w:r>
    </w:p>
    <w:p>
      <w:pPr>
        <w:widowControl/>
      </w:pPr>
      <w:r>
        <w:t>为避免只优化均值掩盖极端亏损，引入最差 α=10% 场景平均利润 LTM_α。利用辅助变量 η 和 ξ_ω 进行线性化：</w:t>
      </w:r>
    </w:p>
    <w:p>
      <w:pPr>
        <w:pStyle w:val="Equation"/>
        <w:widowControl/>
      </w:pPr>
      <w:r>
        <w:t>ξ_ω ≥ η - Π^ω,   ξ_ω ≥ 0                                                              (17)</w:t>
      </w:r>
    </w:p>
    <w:p>
      <w:pPr>
        <w:pStyle w:val="Equation"/>
        <w:widowControl/>
      </w:pPr>
      <w:r>
        <w:t>LTM_α(Π) = η - [1/(α|Ω|)] Σ_(ω∈Ω) ξ_ω                                                 (18)</w:t>
      </w:r>
    </w:p>
    <w:p>
      <w:pPr>
        <w:widowControl/>
      </w:pPr>
      <w:r>
        <w:t>第二阶段目标为：</w:t>
      </w:r>
    </w:p>
    <w:p>
      <w:pPr>
        <w:pStyle w:val="Equation"/>
        <w:widowControl/>
      </w:pPr>
      <w:r>
        <w:t>max {(1-γ)E[Π] + γLTM_0.10(Π)},   γ = 0.25                                             (19)</w:t>
      </w:r>
    </w:p>
    <w:p>
      <w:pPr>
        <w:widowControl/>
      </w:pPr>
      <w:r>
        <w:t>并满足式（6）-（12）及式（16）-（18）。该目标不是把缺货和利润任意相加，而是在服务水平已基本锁定后处理风险-收益权衡，符合题目优先级。</w:t>
      </w:r>
    </w:p>
    <w:p>
      <w:pPr>
        <w:pStyle w:val="Heading3"/>
        <w:widowControl/>
      </w:pPr>
      <w:r>
        <w:t>5.1.7 场景压缩与规模选择</w:t>
      </w:r>
    </w:p>
    <w:p>
      <w:pPr>
        <w:widowControl/>
      </w:pPr>
      <w:r>
        <w:t>第二问提供 600 个保留跨品类相关性的联合场景。为控制含场景销量变量的 MILP 规模，按六品类总需求从低到高排序，在等距分位位置确定 60 个代表场景，且强制保留两端极端场景。该方法不是从 600 个场景中任意随机抽取 10%，而是对同一固定场景全集作确定性分位覆盖，因此能够覆盖低、中、高需求尺度并避免人为挑选。对 K=27,…,33 分别执行两阶段优化，再将每个方案放回完整 600 场景计算满足率、期望利润和最差 10% 平均利润，最终按服务优先原则选取 K。</w:t>
      </w:r>
    </w:p>
    <w:p>
      <w:pPr>
        <w:widowControl/>
      </w:pPr>
      <w:r>
        <w:t>为判断 10% 场景压缩是否会改变决策，另在相同随机种子、相同 600 场景全集和相同参数下进行一次全量重优化对照。全量方案与 60 场景方案的选品集合完全一致（Jaccard=1.000），完整场景满足率仅相差 0.18 个百分点，期望利润相差 1.85%，最差 10% 平均利润相差 3.15%，均低于预先设定的 1 个百分点、10%、10% 和 Jaccard≥0.80 判据。全量第二阶段运行约 3606 s 后得到可行 incumbent，但仍有 2.89% MIP gap，故该实验用于检验抽样结论的稳定性，不宣称得到了 600 场景下的严格全局最优解。由于结论差异较小而计算成本显著增加，正式模型保留 60 场景优化、600 场景评价的方案；全量求解程序与中间输出不纳入最终支撑材料，只在论文中保留验证事实和适用边界。</w:t>
      </w:r>
    </w:p>
    <w:p>
      <w:pPr>
        <w:pStyle w:val="Heading2"/>
        <w:widowControl/>
      </w:pPr>
      <w:r>
        <w:t>5.2 求解方法</w:t>
      </w:r>
    </w:p>
    <w:p>
      <w:pPr>
        <w:pStyle w:val="Heading3"/>
        <w:widowControl/>
      </w:pPr>
      <w:r>
        <w:t>5.2.1 工具与实现</w:t>
      </w:r>
    </w:p>
    <w:p>
      <w:pPr>
        <w:widowControl/>
      </w:pPr>
      <w:r>
        <w:t>模型使用 Python 实现。数据清洗和表连接使用 pandas、NumPy；混合整数线性规划使用 SciPy 的 milp 接口及 HiGHS 求解器；稀疏约束矩阵采用 SciPy sparse 构造。二元变量包括选品变量和价格变量，连续变量包括订货量、场景销量、缺货量及尾部风险辅助变量。</w:t>
      </w:r>
    </w:p>
    <w:p>
      <w:pPr>
        <w:widowControl/>
      </w:pPr>
      <w:r>
        <w:t>正式 60 场景模型的求解器开启 presolve，MILP 相对间隙设为 1×10^-7，单阶段时间上限 180 s。对 K=27 至 33 枚举时，每个 K 先求第一阶段服务最优值，再求第二阶段风险调整利润。风险权重改变但需求、补货窄带和 K 不变时，可严格复用第一阶段最优值；已有 K 前沿只有在当前 600 场景重算的服务、利润、尾部利润、订货量和价格网格均完全一致，且核心代码指纹未变化时才复用。辅助全量对照因规模更大将单阶段时限放宽到 3600 s，并按“可行性误差合格但存在 MIP gap”的口径报告。</w:t>
      </w:r>
    </w:p>
    <w:p>
      <w:pPr>
        <w:pStyle w:val="Heading3"/>
        <w:widowControl/>
      </w:pPr>
      <w:r>
        <w:t>5.2.2 求解步骤</w:t>
      </w:r>
    </w:p>
    <w:p>
      <w:pPr>
        <w:spacing w:after="80" w:line="300" w:lineRule="auto"/>
        <w:ind w:left="720" w:hanging="363"/>
        <w:widowControl/>
        <w:numPr>
          <w:ilvl w:val="0"/>
          <w:numId w:val="11"/>
        </w:numPr>
      </w:pPr>
      <w:r>
        <w:t>读取附件处理数据与第一、二问输出，识别 49 个候选单品并验证字段完整性。</w:t>
      </w:r>
    </w:p>
    <w:p>
      <w:pPr>
        <w:spacing w:after="80" w:line="300" w:lineRule="auto"/>
        <w:ind w:left="720" w:hanging="363"/>
        <w:widowControl/>
        <w:numPr>
          <w:ilvl w:val="0"/>
          <w:numId w:val="11"/>
        </w:numPr>
      </w:pPr>
      <w:r>
        <w:t>估计单品成本、损耗率、参考价格和动态份额，生成 600 组单品份额场景。</w:t>
      </w:r>
    </w:p>
    <w:p>
      <w:pPr>
        <w:spacing w:after="80" w:line="300" w:lineRule="auto"/>
        <w:ind w:left="720" w:hanging="363"/>
        <w:widowControl/>
        <w:numPr>
          <w:ilvl w:val="0"/>
          <w:numId w:val="11"/>
        </w:numPr>
      </w:pPr>
      <w:r>
        <w:t>将份额场景与第二问 600 组品类需求-成本场景对齐，构建所有单品价格方案的需求张量。</w:t>
      </w:r>
    </w:p>
    <w:p>
      <w:pPr>
        <w:spacing w:after="80" w:line="300" w:lineRule="auto"/>
        <w:ind w:left="720" w:hanging="363"/>
        <w:widowControl/>
        <w:numPr>
          <w:ilvl w:val="0"/>
          <w:numId w:val="11"/>
        </w:numPr>
      </w:pPr>
      <w:r>
        <w:t>从 600 场景中分层选出 60 个代表场景，对 K=27,…,33 依次求解两阶段 MILP。</w:t>
      </w:r>
    </w:p>
    <w:p>
      <w:pPr>
        <w:spacing w:after="80" w:line="300" w:lineRule="auto"/>
        <w:ind w:left="720" w:hanging="363"/>
        <w:widowControl/>
        <w:numPr>
          <w:ilvl w:val="0"/>
          <w:numId w:val="11"/>
        </w:numPr>
      </w:pPr>
      <w:r>
        <w:t>把每个 K 的决策回代到完整 600 场景，按服务优先规则确定最终规模。</w:t>
      </w:r>
    </w:p>
    <w:p>
      <w:pPr>
        <w:spacing w:after="80" w:line="300" w:lineRule="auto"/>
        <w:ind w:left="720" w:hanging="363"/>
        <w:widowControl/>
        <w:numPr>
          <w:ilvl w:val="0"/>
          <w:numId w:val="11"/>
        </w:numPr>
      </w:pPr>
      <w:r>
        <w:t>生成单品清单、品类汇总、规模前沿、基线比较、模型检验和灵敏度分析表。</w:t>
      </w:r>
    </w:p>
    <w:p>
      <w:pPr>
        <w:spacing w:after="80" w:line="300" w:lineRule="auto"/>
        <w:ind w:left="720" w:hanging="363"/>
        <w:widowControl/>
        <w:numPr>
          <w:ilvl w:val="0"/>
          <w:numId w:val="11"/>
        </w:numPr>
      </w:pPr>
      <w:r>
        <w:t>运行 20 项单元测试和 83 项独立输出校验，确认候选、约束、价格、会计恒等式、泛化与敏感性结果一致。</w:t>
      </w:r>
    </w:p>
    <w:p>
      <w:pPr>
        <w:pStyle w:val="Heading3"/>
        <w:widowControl/>
      </w:pPr>
      <w:r>
        <w:t>5.2.3 求解加速与精度保持</w:t>
      </w:r>
    </w:p>
    <w:p>
      <w:pPr>
        <w:widowControl/>
      </w:pPr>
      <w:r>
        <w:t>首次完整重算耗时 642.2 s。通过两项等价加速，默认重复求解耗时降至 322.9 s，减少 319.3 s，即 49.7%。第一项是当风险权重变体的需求、补货上限和 K 完全一致时复用第一阶段服务最优值，因为风险权重只影响第二阶段目标，不改变第一阶段。第二项是验证式 K 前沿缓存：程序必须用当前完整 600 场景重新计算关键指标并核对价格网格和核心函数指纹，全部一致才跳过重复基准 MILP；任何输入或代码变化都会自动拒绝缓存并完整重算。该优化不减少 600 个评价场景，不放宽 1×10^-7 的 MIP 间隙，也不改变任何约束，因此精度未受损失。</w:t>
      </w:r>
    </w:p>
    <w:p>
      <w:pPr>
        <w:pStyle w:val="Heading2"/>
        <w:widowControl/>
      </w:pPr>
      <w:r>
        <w:t>5.3 求解结果</w:t>
      </w:r>
    </w:p>
    <w:p>
      <w:pPr>
        <w:pStyle w:val="Heading3"/>
        <w:widowControl/>
      </w:pPr>
      <w:r>
        <w:t>5.3.1 题意与可行性审查</w:t>
      </w:r>
    </w:p>
    <w:p>
      <w:pPr>
        <w:widowControl/>
      </w:pPr>
      <w:r>
        <w:t>表 2 将原题要求与实际输出逐项对应。所有硬约束均通过独立校验。</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2100"/>
        <w:gridCol w:w="4472"/>
        <w:gridCol w:w="2500"/>
      </w:tblGrid>
      <w:tr>
        <w:trPr>
          <w:tblHeader w:val="true"/>
        </w:trPr>
        <w:tc>
          <w:tcPr>
            <w:tcW w:type="dxa" w:w="2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原题要求</w:t>
            </w:r>
          </w:p>
        </w:tc>
        <w:tc>
          <w:tcPr>
            <w:tcW w:type="dxa" w:w="447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模型实现</w:t>
            </w:r>
          </w:p>
        </w:tc>
        <w:tc>
          <w:tcPr>
            <w:tcW w:type="dxa" w:w="25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实际核验</w:t>
            </w:r>
          </w:p>
        </w:tc>
      </w:tr>
      <w:tr>
        <w:tc>
          <w:tcPr>
            <w:tcW w:type="dxa" w:w="2100"/>
          </w:tcPr>
          <w:p>
            <w:pPr>
              <w:spacing w:before="0" w:after="0" w:line="252" w:lineRule="auto"/>
              <w:jc w:val="center"/>
            </w:pPr>
            <w:r>
              <w:rPr>
                <w:rFonts w:ascii="Times New Roman" w:hAnsi="Times New Roman" w:eastAsia="宋体"/>
                <w:color w:val="182B3A"/>
                <w:sz w:val="17"/>
              </w:rPr>
              <w:t>候选来自 6 月 24–30 日可售品种</w:t>
            </w:r>
          </w:p>
        </w:tc>
        <w:tc>
          <w:tcPr>
            <w:tcW w:type="dxa" w:w="4472"/>
          </w:tcPr>
          <w:p>
            <w:pPr>
              <w:spacing w:before="0" w:after="0" w:line="252" w:lineRule="auto"/>
              <w:jc w:val="left"/>
            </w:pPr>
            <w:r>
              <w:rPr>
                <w:rFonts w:ascii="Times New Roman" w:hAnsi="Times New Roman" w:eastAsia="宋体"/>
                <w:color w:val="182B3A"/>
                <w:sz w:val="17"/>
              </w:rPr>
              <w:t>仅保留该周正向零售销量单品</w:t>
            </w:r>
          </w:p>
        </w:tc>
        <w:tc>
          <w:tcPr>
            <w:tcW w:type="dxa" w:w="2500"/>
          </w:tcPr>
          <w:p>
            <w:pPr>
              <w:spacing w:before="0" w:after="0" w:line="252" w:lineRule="auto"/>
              <w:jc w:val="center"/>
            </w:pPr>
            <w:r>
              <w:rPr>
                <w:rFonts w:ascii="Times New Roman" w:hAnsi="Times New Roman" w:eastAsia="宋体"/>
                <w:color w:val="182B3A"/>
                <w:sz w:val="17"/>
              </w:rPr>
              <w:t>49 个候选，与原始流水集合完全一致</w:t>
            </w:r>
          </w:p>
        </w:tc>
      </w:tr>
      <w:tr>
        <w:tc>
          <w:tcPr>
            <w:tcW w:type="dxa" w:w="2100"/>
          </w:tcPr>
          <w:p>
            <w:pPr>
              <w:spacing w:before="0" w:after="0" w:line="252" w:lineRule="auto"/>
              <w:jc w:val="center"/>
            </w:pPr>
            <w:r>
              <w:rPr>
                <w:rFonts w:ascii="Times New Roman" w:hAnsi="Times New Roman" w:eastAsia="宋体"/>
                <w:color w:val="182B3A"/>
                <w:sz w:val="17"/>
              </w:rPr>
              <w:t>决策日期为 7 月 1 日</w:t>
            </w:r>
          </w:p>
        </w:tc>
        <w:tc>
          <w:tcPr>
            <w:tcW w:type="dxa" w:w="4472"/>
          </w:tcPr>
          <w:p>
            <w:pPr>
              <w:spacing w:before="0" w:after="0" w:line="252" w:lineRule="auto"/>
              <w:jc w:val="left"/>
            </w:pPr>
            <w:r>
              <w:rPr>
                <w:rFonts w:ascii="Times New Roman" w:hAnsi="Times New Roman" w:eastAsia="宋体"/>
                <w:color w:val="182B3A"/>
                <w:sz w:val="17"/>
              </w:rPr>
              <w:t>全部策略行写入统一决策日</w:t>
            </w:r>
          </w:p>
        </w:tc>
        <w:tc>
          <w:tcPr>
            <w:tcW w:type="dxa" w:w="2500"/>
          </w:tcPr>
          <w:p>
            <w:pPr>
              <w:spacing w:before="0" w:after="0" w:line="252" w:lineRule="auto"/>
              <w:jc w:val="center"/>
            </w:pPr>
            <w:r>
              <w:rPr>
                <w:rFonts w:ascii="Times New Roman" w:hAnsi="Times New Roman" w:eastAsia="宋体"/>
                <w:color w:val="182B3A"/>
                <w:sz w:val="17"/>
              </w:rPr>
              <w:t>33 行均为 2023-07-01</w:t>
            </w:r>
          </w:p>
        </w:tc>
      </w:tr>
      <w:tr>
        <w:tc>
          <w:tcPr>
            <w:tcW w:type="dxa" w:w="2100"/>
          </w:tcPr>
          <w:p>
            <w:pPr>
              <w:spacing w:before="0" w:after="0" w:line="252" w:lineRule="auto"/>
              <w:jc w:val="center"/>
            </w:pPr>
            <w:r>
              <w:rPr>
                <w:rFonts w:ascii="Times New Roman" w:hAnsi="Times New Roman" w:eastAsia="宋体"/>
                <w:color w:val="182B3A"/>
                <w:sz w:val="17"/>
              </w:rPr>
              <w:t>可售单品 27–33 个</w:t>
            </w:r>
          </w:p>
        </w:tc>
        <w:tc>
          <w:tcPr>
            <w:tcW w:type="dxa" w:w="4472"/>
          </w:tcPr>
          <w:p>
            <w:pPr>
              <w:spacing w:before="0" w:after="0" w:line="252" w:lineRule="auto"/>
              <w:jc w:val="left"/>
            </w:pPr>
            <w:r>
              <w:rPr>
                <w:rFonts w:ascii="Times New Roman" w:hAnsi="Times New Roman" w:eastAsia="宋体"/>
                <w:color w:val="182B3A"/>
                <w:sz w:val="17"/>
              </w:rPr>
              <w:t>枚举 K=27,…,33 并按服务优先选择</w:t>
            </w:r>
          </w:p>
        </w:tc>
        <w:tc>
          <w:tcPr>
            <w:tcW w:type="dxa" w:w="2500"/>
          </w:tcPr>
          <w:p>
            <w:pPr>
              <w:spacing w:before="0" w:after="0" w:line="252" w:lineRule="auto"/>
              <w:jc w:val="center"/>
            </w:pPr>
            <w:r>
              <w:rPr>
                <w:rFonts w:ascii="Times New Roman" w:hAnsi="Times New Roman" w:eastAsia="宋体"/>
                <w:color w:val="182B3A"/>
                <w:sz w:val="17"/>
              </w:rPr>
              <w:t>最终 K=33</w:t>
            </w:r>
          </w:p>
        </w:tc>
      </w:tr>
      <w:tr>
        <w:tc>
          <w:tcPr>
            <w:tcW w:type="dxa" w:w="2100"/>
          </w:tcPr>
          <w:p>
            <w:pPr>
              <w:spacing w:before="0" w:after="0" w:line="252" w:lineRule="auto"/>
              <w:jc w:val="center"/>
            </w:pPr>
            <w:r>
              <w:rPr>
                <w:rFonts w:ascii="Times New Roman" w:hAnsi="Times New Roman" w:eastAsia="宋体"/>
                <w:color w:val="182B3A"/>
                <w:sz w:val="17"/>
              </w:rPr>
              <w:t>每个入选单品不低于 2.5 kg</w:t>
            </w:r>
          </w:p>
        </w:tc>
        <w:tc>
          <w:tcPr>
            <w:tcW w:type="dxa" w:w="4472"/>
          </w:tcPr>
          <w:p>
            <w:pPr>
              <w:spacing w:before="0" w:after="0" w:line="252" w:lineRule="auto"/>
              <w:jc w:val="left"/>
            </w:pPr>
            <w:r>
              <w:rPr>
                <w:rFonts w:ascii="Times New Roman" w:hAnsi="Times New Roman" w:eastAsia="宋体"/>
                <w:color w:val="182B3A"/>
                <w:sz w:val="17"/>
              </w:rPr>
              <w:t>2.5x_i≤q_i≤M_ix_i</w:t>
            </w:r>
          </w:p>
        </w:tc>
        <w:tc>
          <w:tcPr>
            <w:tcW w:type="dxa" w:w="2500"/>
          </w:tcPr>
          <w:p>
            <w:pPr>
              <w:spacing w:before="0" w:after="0" w:line="252" w:lineRule="auto"/>
              <w:jc w:val="center"/>
            </w:pPr>
            <w:r>
              <w:rPr>
                <w:rFonts w:ascii="Times New Roman" w:hAnsi="Times New Roman" w:eastAsia="宋体"/>
                <w:color w:val="182B3A"/>
                <w:sz w:val="17"/>
              </w:rPr>
              <w:t>最小订货量恰为 2.5 kg</w:t>
            </w:r>
          </w:p>
        </w:tc>
      </w:tr>
      <w:tr>
        <w:tc>
          <w:tcPr>
            <w:tcW w:type="dxa" w:w="2100"/>
          </w:tcPr>
          <w:p>
            <w:pPr>
              <w:spacing w:before="0" w:after="0" w:line="252" w:lineRule="auto"/>
              <w:jc w:val="center"/>
            </w:pPr>
            <w:r>
              <w:rPr>
                <w:rFonts w:ascii="Times New Roman" w:hAnsi="Times New Roman" w:eastAsia="宋体"/>
                <w:color w:val="182B3A"/>
                <w:sz w:val="17"/>
              </w:rPr>
              <w:t>尽量满足各品类需求</w:t>
            </w:r>
          </w:p>
        </w:tc>
        <w:tc>
          <w:tcPr>
            <w:tcW w:type="dxa" w:w="4472"/>
          </w:tcPr>
          <w:p>
            <w:pPr>
              <w:spacing w:before="0" w:after="0" w:line="252" w:lineRule="auto"/>
              <w:jc w:val="left"/>
            </w:pPr>
            <w:r>
              <w:rPr>
                <w:rFonts w:ascii="Times New Roman" w:hAnsi="Times New Roman" w:eastAsia="宋体"/>
                <w:color w:val="182B3A"/>
                <w:sz w:val="17"/>
              </w:rPr>
              <w:t>第一阶段最小化六品类等权缺货率</w:t>
            </w:r>
          </w:p>
        </w:tc>
        <w:tc>
          <w:tcPr>
            <w:tcW w:type="dxa" w:w="2500"/>
          </w:tcPr>
          <w:p>
            <w:pPr>
              <w:spacing w:before="0" w:after="0" w:line="252" w:lineRule="auto"/>
              <w:jc w:val="center"/>
            </w:pPr>
            <w:r>
              <w:rPr>
                <w:rFonts w:ascii="Times New Roman" w:hAnsi="Times New Roman" w:eastAsia="宋体"/>
                <w:color w:val="182B3A"/>
                <w:sz w:val="17"/>
              </w:rPr>
              <w:t>完整场景平均满足率 77.81%</w:t>
            </w:r>
          </w:p>
        </w:tc>
      </w:tr>
      <w:tr>
        <w:tc>
          <w:tcPr>
            <w:tcW w:type="dxa" w:w="2100"/>
          </w:tcPr>
          <w:p>
            <w:pPr>
              <w:spacing w:before="0" w:after="0" w:line="252" w:lineRule="auto"/>
              <w:jc w:val="center"/>
            </w:pPr>
            <w:r>
              <w:rPr>
                <w:rFonts w:ascii="Times New Roman" w:hAnsi="Times New Roman" w:eastAsia="宋体"/>
                <w:color w:val="182B3A"/>
                <w:sz w:val="17"/>
              </w:rPr>
              <w:t>在服务前提下收益最大</w:t>
            </w:r>
          </w:p>
        </w:tc>
        <w:tc>
          <w:tcPr>
            <w:tcW w:type="dxa" w:w="4472"/>
          </w:tcPr>
          <w:p>
            <w:pPr>
              <w:spacing w:before="0" w:after="0" w:line="252" w:lineRule="auto"/>
              <w:jc w:val="left"/>
            </w:pPr>
            <w:r>
              <w:rPr>
                <w:rFonts w:ascii="Times New Roman" w:hAnsi="Times New Roman" w:eastAsia="宋体"/>
                <w:color w:val="182B3A"/>
                <w:sz w:val="17"/>
              </w:rPr>
              <w:t>第二阶段优化期望与尾部利润</w:t>
            </w:r>
          </w:p>
        </w:tc>
        <w:tc>
          <w:tcPr>
            <w:tcW w:type="dxa" w:w="2500"/>
          </w:tcPr>
          <w:p>
            <w:pPr>
              <w:spacing w:before="0" w:after="0" w:line="252" w:lineRule="auto"/>
              <w:jc w:val="center"/>
            </w:pPr>
            <w:r>
              <w:rPr>
                <w:rFonts w:ascii="Times New Roman" w:hAnsi="Times New Roman" w:eastAsia="宋体"/>
                <w:color w:val="182B3A"/>
                <w:sz w:val="17"/>
              </w:rPr>
              <w:t>期望利润 163.57 元</w:t>
            </w:r>
          </w:p>
        </w:tc>
      </w:tr>
      <w:tr>
        <w:tc>
          <w:tcPr>
            <w:tcW w:type="dxa" w:w="2100"/>
          </w:tcPr>
          <w:p>
            <w:pPr>
              <w:spacing w:before="0" w:after="0" w:line="252" w:lineRule="auto"/>
              <w:jc w:val="center"/>
            </w:pPr>
            <w:r>
              <w:rPr>
                <w:rFonts w:ascii="Times New Roman" w:hAnsi="Times New Roman" w:eastAsia="宋体"/>
                <w:color w:val="182B3A"/>
                <w:sz w:val="17"/>
              </w:rPr>
              <w:t>补货与定价均需给出</w:t>
            </w:r>
          </w:p>
        </w:tc>
        <w:tc>
          <w:tcPr>
            <w:tcW w:type="dxa" w:w="4472"/>
          </w:tcPr>
          <w:p>
            <w:pPr>
              <w:spacing w:before="0" w:after="0" w:line="252" w:lineRule="auto"/>
              <w:jc w:val="left"/>
            </w:pPr>
            <w:r>
              <w:rPr>
                <w:rFonts w:ascii="Times New Roman" w:hAnsi="Times New Roman" w:eastAsia="宋体"/>
                <w:color w:val="182B3A"/>
                <w:sz w:val="17"/>
              </w:rPr>
              <w:t>联合决定 q_i 与离散价格 p_ik</w:t>
            </w:r>
          </w:p>
        </w:tc>
        <w:tc>
          <w:tcPr>
            <w:tcW w:type="dxa" w:w="2500"/>
          </w:tcPr>
          <w:p>
            <w:pPr>
              <w:spacing w:before="0" w:after="0" w:line="252" w:lineRule="auto"/>
              <w:jc w:val="center"/>
            </w:pPr>
            <w:r>
              <w:rPr>
                <w:rFonts w:ascii="Times New Roman" w:hAnsi="Times New Roman" w:eastAsia="宋体"/>
                <w:color w:val="182B3A"/>
                <w:sz w:val="17"/>
              </w:rPr>
              <w:t>33 个单品均有价格和订货量</w:t>
            </w:r>
          </w:p>
        </w:tc>
      </w:tr>
    </w:tbl>
    <w:p>
      <w:pPr>
        <w:widowControl/>
        <w:spacing w:after="40"/>
      </w:pPr>
    </w:p>
    <w:p>
      <w:pPr>
        <w:pStyle w:val="Heading3"/>
        <w:widowControl/>
      </w:pPr>
      <w:r>
        <w:t>5.3.2 组合规模前沿</w:t>
      </w:r>
    </w:p>
    <w:p>
      <w:pPr>
        <w:widowControl/>
      </w:pPr>
      <w:r>
        <w:t>表 3 显示 K 从 27 增至 33 时，完整场景需求满足率由 76.94% 单调升至 77.82%，期望利润由 62.14 元增至 163.57 元，风险调整利润由 -81.96 元改善为 16.88 元。在给定的 Q2 补货总量约束下，增加单品并没有挤压利润，反而提高了需求覆盖和价格匹配能力，因此最终选取上限 K=33 具有数据依据，并非人为固定。</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000"/>
        <w:gridCol w:w="1430"/>
        <w:gridCol w:w="1320"/>
        <w:gridCol w:w="1750"/>
        <w:gridCol w:w="1750"/>
        <w:gridCol w:w="1822"/>
      </w:tblGrid>
      <w:tr>
        <w:trPr>
          <w:tblHeader w:val="true"/>
        </w:trPr>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K</w:t>
            </w:r>
          </w:p>
        </w:tc>
        <w:tc>
          <w:tcPr>
            <w:tcW w:type="dxa" w:w="143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需求满足率/%</w:t>
            </w:r>
          </w:p>
        </w:tc>
        <w:tc>
          <w:tcPr>
            <w:tcW w:type="dxa" w:w="132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期望利润/元</w:t>
            </w:r>
          </w:p>
        </w:tc>
        <w:tc>
          <w:tcPr>
            <w:tcW w:type="dxa" w:w="17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最差10%平均利润/元</w:t>
            </w:r>
          </w:p>
        </w:tc>
        <w:tc>
          <w:tcPr>
            <w:tcW w:type="dxa" w:w="17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风险调整利润/元</w:t>
            </w:r>
          </w:p>
        </w:tc>
        <w:tc>
          <w:tcPr>
            <w:tcW w:type="dxa" w:w="182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总订货/kg</w:t>
            </w:r>
          </w:p>
        </w:tc>
      </w:tr>
      <w:tr>
        <w:tc>
          <w:tcPr>
            <w:tcW w:type="dxa" w:w="1000"/>
          </w:tcPr>
          <w:p>
            <w:pPr>
              <w:spacing w:before="0" w:after="0" w:line="252" w:lineRule="auto"/>
              <w:jc w:val="center"/>
            </w:pPr>
            <w:r>
              <w:rPr>
                <w:rFonts w:ascii="Times New Roman" w:hAnsi="Times New Roman" w:eastAsia="宋体"/>
                <w:color w:val="182B3A"/>
                <w:sz w:val="17"/>
              </w:rPr>
              <w:t>27</w:t>
            </w:r>
          </w:p>
        </w:tc>
        <w:tc>
          <w:tcPr>
            <w:tcW w:type="dxa" w:w="1430"/>
          </w:tcPr>
          <w:p>
            <w:pPr>
              <w:spacing w:before="0" w:after="0" w:line="252" w:lineRule="auto"/>
              <w:jc w:val="left"/>
            </w:pPr>
            <w:r>
              <w:rPr>
                <w:rFonts w:ascii="Times New Roman" w:hAnsi="Times New Roman" w:eastAsia="宋体"/>
                <w:color w:val="182B3A"/>
                <w:sz w:val="17"/>
              </w:rPr>
              <w:t>76.94</w:t>
            </w:r>
          </w:p>
        </w:tc>
        <w:tc>
          <w:tcPr>
            <w:tcW w:type="dxa" w:w="1320"/>
          </w:tcPr>
          <w:p>
            <w:pPr>
              <w:spacing w:before="0" w:after="0" w:line="252" w:lineRule="auto"/>
              <w:jc w:val="center"/>
            </w:pPr>
            <w:r>
              <w:rPr>
                <w:rFonts w:ascii="Times New Roman" w:hAnsi="Times New Roman" w:eastAsia="宋体"/>
                <w:color w:val="182B3A"/>
                <w:sz w:val="17"/>
              </w:rPr>
              <w:t>62.14</w:t>
            </w:r>
          </w:p>
        </w:tc>
        <w:tc>
          <w:tcPr>
            <w:tcW w:type="dxa" w:w="1750"/>
          </w:tcPr>
          <w:p>
            <w:pPr>
              <w:spacing w:before="0" w:after="0" w:line="252" w:lineRule="auto"/>
              <w:jc w:val="center"/>
            </w:pPr>
            <w:r>
              <w:rPr>
                <w:rFonts w:ascii="Times New Roman" w:hAnsi="Times New Roman" w:eastAsia="宋体"/>
                <w:color w:val="182B3A"/>
                <w:sz w:val="17"/>
              </w:rPr>
              <w:t>-514.27</w:t>
            </w:r>
          </w:p>
        </w:tc>
        <w:tc>
          <w:tcPr>
            <w:tcW w:type="dxa" w:w="1750"/>
          </w:tcPr>
          <w:p>
            <w:pPr>
              <w:spacing w:before="0" w:after="0" w:line="252" w:lineRule="auto"/>
              <w:jc w:val="center"/>
            </w:pPr>
            <w:r>
              <w:rPr>
                <w:rFonts w:ascii="Times New Roman" w:hAnsi="Times New Roman" w:eastAsia="宋体"/>
                <w:color w:val="182B3A"/>
                <w:sz w:val="17"/>
              </w:rPr>
              <w:t>-81.96</w:t>
            </w:r>
          </w:p>
        </w:tc>
        <w:tc>
          <w:tcPr>
            <w:tcW w:type="dxa" w:w="1822"/>
          </w:tcPr>
          <w:p>
            <w:pPr>
              <w:spacing w:before="0" w:after="0" w:line="252" w:lineRule="auto"/>
              <w:jc w:val="center"/>
            </w:pPr>
            <w:r>
              <w:rPr>
                <w:rFonts w:ascii="Times New Roman" w:hAnsi="Times New Roman" w:eastAsia="宋体"/>
                <w:color w:val="182B3A"/>
                <w:sz w:val="17"/>
              </w:rPr>
              <w:t>362.444</w:t>
            </w:r>
          </w:p>
        </w:tc>
      </w:tr>
      <w:tr>
        <w:tc>
          <w:tcPr>
            <w:tcW w:type="dxa" w:w="1000"/>
          </w:tcPr>
          <w:p>
            <w:pPr>
              <w:spacing w:before="0" w:after="0" w:line="252" w:lineRule="auto"/>
              <w:jc w:val="center"/>
            </w:pPr>
            <w:r>
              <w:rPr>
                <w:rFonts w:ascii="Times New Roman" w:hAnsi="Times New Roman" w:eastAsia="宋体"/>
                <w:color w:val="182B3A"/>
                <w:sz w:val="17"/>
              </w:rPr>
              <w:t>28</w:t>
            </w:r>
          </w:p>
        </w:tc>
        <w:tc>
          <w:tcPr>
            <w:tcW w:type="dxa" w:w="1430"/>
          </w:tcPr>
          <w:p>
            <w:pPr>
              <w:spacing w:before="0" w:after="0" w:line="252" w:lineRule="auto"/>
              <w:jc w:val="left"/>
            </w:pPr>
            <w:r>
              <w:rPr>
                <w:rFonts w:ascii="Times New Roman" w:hAnsi="Times New Roman" w:eastAsia="宋体"/>
                <w:color w:val="182B3A"/>
                <w:sz w:val="17"/>
              </w:rPr>
              <w:t>77.01</w:t>
            </w:r>
          </w:p>
        </w:tc>
        <w:tc>
          <w:tcPr>
            <w:tcW w:type="dxa" w:w="1320"/>
          </w:tcPr>
          <w:p>
            <w:pPr>
              <w:spacing w:before="0" w:after="0" w:line="252" w:lineRule="auto"/>
              <w:jc w:val="center"/>
            </w:pPr>
            <w:r>
              <w:rPr>
                <w:rFonts w:ascii="Times New Roman" w:hAnsi="Times New Roman" w:eastAsia="宋体"/>
                <w:color w:val="182B3A"/>
                <w:sz w:val="17"/>
              </w:rPr>
              <w:t>94.80</w:t>
            </w:r>
          </w:p>
        </w:tc>
        <w:tc>
          <w:tcPr>
            <w:tcW w:type="dxa" w:w="1750"/>
          </w:tcPr>
          <w:p>
            <w:pPr>
              <w:spacing w:before="0" w:after="0" w:line="252" w:lineRule="auto"/>
              <w:jc w:val="center"/>
            </w:pPr>
            <w:r>
              <w:rPr>
                <w:rFonts w:ascii="Times New Roman" w:hAnsi="Times New Roman" w:eastAsia="宋体"/>
                <w:color w:val="182B3A"/>
                <w:sz w:val="17"/>
              </w:rPr>
              <w:t>-488.35</w:t>
            </w:r>
          </w:p>
        </w:tc>
        <w:tc>
          <w:tcPr>
            <w:tcW w:type="dxa" w:w="1750"/>
          </w:tcPr>
          <w:p>
            <w:pPr>
              <w:spacing w:before="0" w:after="0" w:line="252" w:lineRule="auto"/>
              <w:jc w:val="center"/>
            </w:pPr>
            <w:r>
              <w:rPr>
                <w:rFonts w:ascii="Times New Roman" w:hAnsi="Times New Roman" w:eastAsia="宋体"/>
                <w:color w:val="182B3A"/>
                <w:sz w:val="17"/>
              </w:rPr>
              <w:t>-50.99</w:t>
            </w:r>
          </w:p>
        </w:tc>
        <w:tc>
          <w:tcPr>
            <w:tcW w:type="dxa" w:w="1822"/>
          </w:tcPr>
          <w:p>
            <w:pPr>
              <w:spacing w:before="0" w:after="0" w:line="252" w:lineRule="auto"/>
              <w:jc w:val="center"/>
            </w:pPr>
            <w:r>
              <w:rPr>
                <w:rFonts w:ascii="Times New Roman" w:hAnsi="Times New Roman" w:eastAsia="宋体"/>
                <w:color w:val="182B3A"/>
                <w:sz w:val="17"/>
              </w:rPr>
              <w:t>362.444</w:t>
            </w:r>
          </w:p>
        </w:tc>
      </w:tr>
      <w:tr>
        <w:tc>
          <w:tcPr>
            <w:tcW w:type="dxa" w:w="1000"/>
          </w:tcPr>
          <w:p>
            <w:pPr>
              <w:spacing w:before="0" w:after="0" w:line="252" w:lineRule="auto"/>
              <w:jc w:val="center"/>
            </w:pPr>
            <w:r>
              <w:rPr>
                <w:rFonts w:ascii="Times New Roman" w:hAnsi="Times New Roman" w:eastAsia="宋体"/>
                <w:color w:val="182B3A"/>
                <w:sz w:val="17"/>
              </w:rPr>
              <w:t>29</w:t>
            </w:r>
          </w:p>
        </w:tc>
        <w:tc>
          <w:tcPr>
            <w:tcW w:type="dxa" w:w="1430"/>
          </w:tcPr>
          <w:p>
            <w:pPr>
              <w:spacing w:before="0" w:after="0" w:line="252" w:lineRule="auto"/>
              <w:jc w:val="left"/>
            </w:pPr>
            <w:r>
              <w:rPr>
                <w:rFonts w:ascii="Times New Roman" w:hAnsi="Times New Roman" w:eastAsia="宋体"/>
                <w:color w:val="182B3A"/>
                <w:sz w:val="17"/>
              </w:rPr>
              <w:t>77.06</w:t>
            </w:r>
          </w:p>
        </w:tc>
        <w:tc>
          <w:tcPr>
            <w:tcW w:type="dxa" w:w="1320"/>
          </w:tcPr>
          <w:p>
            <w:pPr>
              <w:spacing w:before="0" w:after="0" w:line="252" w:lineRule="auto"/>
              <w:jc w:val="center"/>
            </w:pPr>
            <w:r>
              <w:rPr>
                <w:rFonts w:ascii="Times New Roman" w:hAnsi="Times New Roman" w:eastAsia="宋体"/>
                <w:color w:val="182B3A"/>
                <w:sz w:val="17"/>
              </w:rPr>
              <w:t>110.11</w:t>
            </w:r>
          </w:p>
        </w:tc>
        <w:tc>
          <w:tcPr>
            <w:tcW w:type="dxa" w:w="1750"/>
          </w:tcPr>
          <w:p>
            <w:pPr>
              <w:spacing w:before="0" w:after="0" w:line="252" w:lineRule="auto"/>
              <w:jc w:val="center"/>
            </w:pPr>
            <w:r>
              <w:rPr>
                <w:rFonts w:ascii="Times New Roman" w:hAnsi="Times New Roman" w:eastAsia="宋体"/>
                <w:color w:val="182B3A"/>
                <w:sz w:val="17"/>
              </w:rPr>
              <w:t>-475.94</w:t>
            </w:r>
          </w:p>
        </w:tc>
        <w:tc>
          <w:tcPr>
            <w:tcW w:type="dxa" w:w="1750"/>
          </w:tcPr>
          <w:p>
            <w:pPr>
              <w:spacing w:before="0" w:after="0" w:line="252" w:lineRule="auto"/>
              <w:jc w:val="center"/>
            </w:pPr>
            <w:r>
              <w:rPr>
                <w:rFonts w:ascii="Times New Roman" w:hAnsi="Times New Roman" w:eastAsia="宋体"/>
                <w:color w:val="182B3A"/>
                <w:sz w:val="17"/>
              </w:rPr>
              <w:t>-36.41</w:t>
            </w:r>
          </w:p>
        </w:tc>
        <w:tc>
          <w:tcPr>
            <w:tcW w:type="dxa" w:w="1822"/>
          </w:tcPr>
          <w:p>
            <w:pPr>
              <w:spacing w:before="0" w:after="0" w:line="252" w:lineRule="auto"/>
              <w:jc w:val="center"/>
            </w:pPr>
            <w:r>
              <w:rPr>
                <w:rFonts w:ascii="Times New Roman" w:hAnsi="Times New Roman" w:eastAsia="宋体"/>
                <w:color w:val="182B3A"/>
                <w:sz w:val="17"/>
              </w:rPr>
              <w:t>362.444</w:t>
            </w:r>
          </w:p>
        </w:tc>
      </w:tr>
      <w:tr>
        <w:tc>
          <w:tcPr>
            <w:tcW w:type="dxa" w:w="1000"/>
          </w:tcPr>
          <w:p>
            <w:pPr>
              <w:spacing w:before="0" w:after="0" w:line="252" w:lineRule="auto"/>
              <w:jc w:val="center"/>
            </w:pPr>
            <w:r>
              <w:rPr>
                <w:rFonts w:ascii="Times New Roman" w:hAnsi="Times New Roman" w:eastAsia="宋体"/>
                <w:color w:val="182B3A"/>
                <w:sz w:val="17"/>
              </w:rPr>
              <w:t>30</w:t>
            </w:r>
          </w:p>
        </w:tc>
        <w:tc>
          <w:tcPr>
            <w:tcW w:type="dxa" w:w="1430"/>
          </w:tcPr>
          <w:p>
            <w:pPr>
              <w:spacing w:before="0" w:after="0" w:line="252" w:lineRule="auto"/>
              <w:jc w:val="left"/>
            </w:pPr>
            <w:r>
              <w:rPr>
                <w:rFonts w:ascii="Times New Roman" w:hAnsi="Times New Roman" w:eastAsia="宋体"/>
                <w:color w:val="182B3A"/>
                <w:sz w:val="17"/>
              </w:rPr>
              <w:t>77.38</w:t>
            </w:r>
          </w:p>
        </w:tc>
        <w:tc>
          <w:tcPr>
            <w:tcW w:type="dxa" w:w="1320"/>
          </w:tcPr>
          <w:p>
            <w:pPr>
              <w:spacing w:before="0" w:after="0" w:line="252" w:lineRule="auto"/>
              <w:jc w:val="center"/>
            </w:pPr>
            <w:r>
              <w:rPr>
                <w:rFonts w:ascii="Times New Roman" w:hAnsi="Times New Roman" w:eastAsia="宋体"/>
                <w:color w:val="182B3A"/>
                <w:sz w:val="17"/>
              </w:rPr>
              <w:t>126.65</w:t>
            </w:r>
          </w:p>
        </w:tc>
        <w:tc>
          <w:tcPr>
            <w:tcW w:type="dxa" w:w="1750"/>
          </w:tcPr>
          <w:p>
            <w:pPr>
              <w:spacing w:before="0" w:after="0" w:line="252" w:lineRule="auto"/>
              <w:jc w:val="center"/>
            </w:pPr>
            <w:r>
              <w:rPr>
                <w:rFonts w:ascii="Times New Roman" w:hAnsi="Times New Roman" w:eastAsia="宋体"/>
                <w:color w:val="182B3A"/>
                <w:sz w:val="17"/>
              </w:rPr>
              <w:t>-462.43</w:t>
            </w:r>
          </w:p>
        </w:tc>
        <w:tc>
          <w:tcPr>
            <w:tcW w:type="dxa" w:w="1750"/>
          </w:tcPr>
          <w:p>
            <w:pPr>
              <w:spacing w:before="0" w:after="0" w:line="252" w:lineRule="auto"/>
              <w:jc w:val="center"/>
            </w:pPr>
            <w:r>
              <w:rPr>
                <w:rFonts w:ascii="Times New Roman" w:hAnsi="Times New Roman" w:eastAsia="宋体"/>
                <w:color w:val="182B3A"/>
                <w:sz w:val="17"/>
              </w:rPr>
              <w:t>-20.62</w:t>
            </w:r>
          </w:p>
        </w:tc>
        <w:tc>
          <w:tcPr>
            <w:tcW w:type="dxa" w:w="1822"/>
          </w:tcPr>
          <w:p>
            <w:pPr>
              <w:spacing w:before="0" w:after="0" w:line="252" w:lineRule="auto"/>
              <w:jc w:val="center"/>
            </w:pPr>
            <w:r>
              <w:rPr>
                <w:rFonts w:ascii="Times New Roman" w:hAnsi="Times New Roman" w:eastAsia="宋体"/>
                <w:color w:val="182B3A"/>
                <w:sz w:val="17"/>
              </w:rPr>
              <w:t>362.444</w:t>
            </w:r>
          </w:p>
        </w:tc>
      </w:tr>
      <w:tr>
        <w:tc>
          <w:tcPr>
            <w:tcW w:type="dxa" w:w="1000"/>
          </w:tcPr>
          <w:p>
            <w:pPr>
              <w:spacing w:before="0" w:after="0" w:line="252" w:lineRule="auto"/>
              <w:jc w:val="center"/>
            </w:pPr>
            <w:r>
              <w:rPr>
                <w:rFonts w:ascii="Times New Roman" w:hAnsi="Times New Roman" w:eastAsia="宋体"/>
                <w:color w:val="182B3A"/>
                <w:sz w:val="17"/>
              </w:rPr>
              <w:t>31</w:t>
            </w:r>
          </w:p>
        </w:tc>
        <w:tc>
          <w:tcPr>
            <w:tcW w:type="dxa" w:w="1430"/>
          </w:tcPr>
          <w:p>
            <w:pPr>
              <w:spacing w:before="0" w:after="0" w:line="252" w:lineRule="auto"/>
              <w:jc w:val="left"/>
            </w:pPr>
            <w:r>
              <w:rPr>
                <w:rFonts w:ascii="Times New Roman" w:hAnsi="Times New Roman" w:eastAsia="宋体"/>
                <w:color w:val="182B3A"/>
                <w:sz w:val="17"/>
              </w:rPr>
              <w:t>77.53</w:t>
            </w:r>
          </w:p>
        </w:tc>
        <w:tc>
          <w:tcPr>
            <w:tcW w:type="dxa" w:w="1320"/>
          </w:tcPr>
          <w:p>
            <w:pPr>
              <w:spacing w:before="0" w:after="0" w:line="252" w:lineRule="auto"/>
              <w:jc w:val="center"/>
            </w:pPr>
            <w:r>
              <w:rPr>
                <w:rFonts w:ascii="Times New Roman" w:hAnsi="Times New Roman" w:eastAsia="宋体"/>
                <w:color w:val="182B3A"/>
                <w:sz w:val="17"/>
              </w:rPr>
              <w:t>138.42</w:t>
            </w:r>
          </w:p>
        </w:tc>
        <w:tc>
          <w:tcPr>
            <w:tcW w:type="dxa" w:w="1750"/>
          </w:tcPr>
          <w:p>
            <w:pPr>
              <w:spacing w:before="0" w:after="0" w:line="252" w:lineRule="auto"/>
              <w:jc w:val="center"/>
            </w:pPr>
            <w:r>
              <w:rPr>
                <w:rFonts w:ascii="Times New Roman" w:hAnsi="Times New Roman" w:eastAsia="宋体"/>
                <w:color w:val="182B3A"/>
                <w:sz w:val="17"/>
              </w:rPr>
              <w:t>-449.30</w:t>
            </w:r>
          </w:p>
        </w:tc>
        <w:tc>
          <w:tcPr>
            <w:tcW w:type="dxa" w:w="1750"/>
          </w:tcPr>
          <w:p>
            <w:pPr>
              <w:spacing w:before="0" w:after="0" w:line="252" w:lineRule="auto"/>
              <w:jc w:val="center"/>
            </w:pPr>
            <w:r>
              <w:rPr>
                <w:rFonts w:ascii="Times New Roman" w:hAnsi="Times New Roman" w:eastAsia="宋体"/>
                <w:color w:val="182B3A"/>
                <w:sz w:val="17"/>
              </w:rPr>
              <w:t>-8.51</w:t>
            </w:r>
          </w:p>
        </w:tc>
        <w:tc>
          <w:tcPr>
            <w:tcW w:type="dxa" w:w="1822"/>
          </w:tcPr>
          <w:p>
            <w:pPr>
              <w:spacing w:before="0" w:after="0" w:line="252" w:lineRule="auto"/>
              <w:jc w:val="center"/>
            </w:pPr>
            <w:r>
              <w:rPr>
                <w:rFonts w:ascii="Times New Roman" w:hAnsi="Times New Roman" w:eastAsia="宋体"/>
                <w:color w:val="182B3A"/>
                <w:sz w:val="17"/>
              </w:rPr>
              <w:t>362.444</w:t>
            </w:r>
          </w:p>
        </w:tc>
      </w:tr>
      <w:tr>
        <w:tc>
          <w:tcPr>
            <w:tcW w:type="dxa" w:w="1000"/>
          </w:tcPr>
          <w:p>
            <w:pPr>
              <w:spacing w:before="0" w:after="0" w:line="252" w:lineRule="auto"/>
              <w:jc w:val="center"/>
            </w:pPr>
            <w:r>
              <w:rPr>
                <w:rFonts w:ascii="Times New Roman" w:hAnsi="Times New Roman" w:eastAsia="宋体"/>
                <w:color w:val="182B3A"/>
                <w:sz w:val="17"/>
              </w:rPr>
              <w:t>32</w:t>
            </w:r>
          </w:p>
        </w:tc>
        <w:tc>
          <w:tcPr>
            <w:tcW w:type="dxa" w:w="1430"/>
          </w:tcPr>
          <w:p>
            <w:pPr>
              <w:spacing w:before="0" w:after="0" w:line="252" w:lineRule="auto"/>
              <w:jc w:val="left"/>
            </w:pPr>
            <w:r>
              <w:rPr>
                <w:rFonts w:ascii="Times New Roman" w:hAnsi="Times New Roman" w:eastAsia="宋体"/>
                <w:color w:val="182B3A"/>
                <w:sz w:val="17"/>
              </w:rPr>
              <w:t>77.67</w:t>
            </w:r>
          </w:p>
        </w:tc>
        <w:tc>
          <w:tcPr>
            <w:tcW w:type="dxa" w:w="1320"/>
          </w:tcPr>
          <w:p>
            <w:pPr>
              <w:spacing w:before="0" w:after="0" w:line="252" w:lineRule="auto"/>
              <w:jc w:val="center"/>
            </w:pPr>
            <w:r>
              <w:rPr>
                <w:rFonts w:ascii="Times New Roman" w:hAnsi="Times New Roman" w:eastAsia="宋体"/>
                <w:color w:val="182B3A"/>
                <w:sz w:val="17"/>
              </w:rPr>
              <w:t>149.42</w:t>
            </w:r>
          </w:p>
        </w:tc>
        <w:tc>
          <w:tcPr>
            <w:tcW w:type="dxa" w:w="1750"/>
          </w:tcPr>
          <w:p>
            <w:pPr>
              <w:spacing w:before="0" w:after="0" w:line="252" w:lineRule="auto"/>
              <w:jc w:val="center"/>
            </w:pPr>
            <w:r>
              <w:rPr>
                <w:rFonts w:ascii="Times New Roman" w:hAnsi="Times New Roman" w:eastAsia="宋体"/>
                <w:color w:val="182B3A"/>
                <w:sz w:val="17"/>
              </w:rPr>
              <w:t>-436.39</w:t>
            </w:r>
          </w:p>
        </w:tc>
        <w:tc>
          <w:tcPr>
            <w:tcW w:type="dxa" w:w="1750"/>
          </w:tcPr>
          <w:p>
            <w:pPr>
              <w:spacing w:before="0" w:after="0" w:line="252" w:lineRule="auto"/>
              <w:jc w:val="center"/>
            </w:pPr>
            <w:r>
              <w:rPr>
                <w:rFonts w:ascii="Times New Roman" w:hAnsi="Times New Roman" w:eastAsia="宋体"/>
                <w:color w:val="182B3A"/>
                <w:sz w:val="17"/>
              </w:rPr>
              <w:t>2.97</w:t>
            </w:r>
          </w:p>
        </w:tc>
        <w:tc>
          <w:tcPr>
            <w:tcW w:type="dxa" w:w="1822"/>
          </w:tcPr>
          <w:p>
            <w:pPr>
              <w:spacing w:before="0" w:after="0" w:line="252" w:lineRule="auto"/>
              <w:jc w:val="center"/>
            </w:pPr>
            <w:r>
              <w:rPr>
                <w:rFonts w:ascii="Times New Roman" w:hAnsi="Times New Roman" w:eastAsia="宋体"/>
                <w:color w:val="182B3A"/>
                <w:sz w:val="17"/>
              </w:rPr>
              <w:t>362.444</w:t>
            </w:r>
          </w:p>
        </w:tc>
      </w:tr>
      <w:tr>
        <w:tc>
          <w:tcPr>
            <w:tcW w:type="dxa" w:w="1000"/>
          </w:tcPr>
          <w:p>
            <w:pPr>
              <w:spacing w:before="0" w:after="0" w:line="252" w:lineRule="auto"/>
              <w:jc w:val="center"/>
            </w:pPr>
            <w:r>
              <w:rPr>
                <w:rFonts w:ascii="Times New Roman" w:hAnsi="Times New Roman" w:eastAsia="宋体"/>
                <w:color w:val="182B3A"/>
                <w:sz w:val="17"/>
              </w:rPr>
              <w:t>33</w:t>
            </w:r>
          </w:p>
        </w:tc>
        <w:tc>
          <w:tcPr>
            <w:tcW w:type="dxa" w:w="1430"/>
          </w:tcPr>
          <w:p>
            <w:pPr>
              <w:spacing w:before="0" w:after="0" w:line="252" w:lineRule="auto"/>
              <w:jc w:val="left"/>
            </w:pPr>
            <w:r>
              <w:rPr>
                <w:rFonts w:ascii="Times New Roman" w:hAnsi="Times New Roman" w:eastAsia="宋体"/>
                <w:color w:val="182B3A"/>
                <w:sz w:val="17"/>
              </w:rPr>
              <w:t>77.82</w:t>
            </w:r>
          </w:p>
        </w:tc>
        <w:tc>
          <w:tcPr>
            <w:tcW w:type="dxa" w:w="1320"/>
          </w:tcPr>
          <w:p>
            <w:pPr>
              <w:spacing w:before="0" w:after="0" w:line="252" w:lineRule="auto"/>
              <w:jc w:val="center"/>
            </w:pPr>
            <w:r>
              <w:rPr>
                <w:rFonts w:ascii="Times New Roman" w:hAnsi="Times New Roman" w:eastAsia="宋体"/>
                <w:color w:val="182B3A"/>
                <w:sz w:val="17"/>
              </w:rPr>
              <w:t>163.57</w:t>
            </w:r>
          </w:p>
        </w:tc>
        <w:tc>
          <w:tcPr>
            <w:tcW w:type="dxa" w:w="1750"/>
          </w:tcPr>
          <w:p>
            <w:pPr>
              <w:spacing w:before="0" w:after="0" w:line="252" w:lineRule="auto"/>
              <w:jc w:val="center"/>
            </w:pPr>
            <w:r>
              <w:rPr>
                <w:rFonts w:ascii="Times New Roman" w:hAnsi="Times New Roman" w:eastAsia="宋体"/>
                <w:color w:val="182B3A"/>
                <w:sz w:val="17"/>
              </w:rPr>
              <w:t>-423.21</w:t>
            </w:r>
          </w:p>
        </w:tc>
        <w:tc>
          <w:tcPr>
            <w:tcW w:type="dxa" w:w="1750"/>
          </w:tcPr>
          <w:p>
            <w:pPr>
              <w:spacing w:before="0" w:after="0" w:line="252" w:lineRule="auto"/>
              <w:jc w:val="center"/>
            </w:pPr>
            <w:r>
              <w:rPr>
                <w:rFonts w:ascii="Times New Roman" w:hAnsi="Times New Roman" w:eastAsia="宋体"/>
                <w:color w:val="182B3A"/>
                <w:sz w:val="17"/>
              </w:rPr>
              <w:t>16.88</w:t>
            </w:r>
          </w:p>
        </w:tc>
        <w:tc>
          <w:tcPr>
            <w:tcW w:type="dxa" w:w="1822"/>
          </w:tcPr>
          <w:p>
            <w:pPr>
              <w:spacing w:before="0" w:after="0" w:line="252" w:lineRule="auto"/>
              <w:jc w:val="center"/>
            </w:pPr>
            <w:r>
              <w:rPr>
                <w:rFonts w:ascii="Times New Roman" w:hAnsi="Times New Roman" w:eastAsia="宋体"/>
                <w:color w:val="182B3A"/>
                <w:sz w:val="17"/>
              </w:rPr>
              <w:t>362.444</w:t>
            </w:r>
          </w:p>
        </w:tc>
      </w:tr>
    </w:tbl>
    <w:p>
      <w:pPr>
        <w:widowControl/>
        <w:spacing w:after="40"/>
      </w:pPr>
    </w:p>
    <w:p>
      <w:pPr>
        <w:pStyle w:val="Heading3"/>
        <w:widowControl/>
      </w:pPr>
      <w:r>
        <w:t>5.3.3 最终方案总体结果</w:t>
      </w:r>
    </w:p>
    <w:p>
      <w:pPr>
        <w:widowControl/>
      </w:pPr>
      <w:r>
        <w:t>最终方案选择 33 个单品，总订货量为 362.443796 kg，位于第二问结果 ±0.05% 的衔接窄带内。完整 600 场景平均需求满足率为 77.8185%，期望利润为 163.5738 元，最差 10% 场景平均利润为 -423.2096 元，按 γ=0.25 计算的风险调整利润为 16.8779 元。</w:t>
      </w:r>
    </w:p>
    <w:p>
      <w:pPr>
        <w:widowControl/>
      </w:pPr>
      <w:r>
        <w:t>作为透明基线，选择近期销量最高的 33 个单品，采用中位可行价格和近期日均订货量。基线满足率为 64.6075%，期望利润 56.4775 元，最差 10% 平均利润 -439.7558 元。主模型相对基线的满足率提高 13.2110 个百分点，期望利润增加 107.0963 元，尾部利润改善 16.5462 元。由于透明基线的总订货量为 314.878 kg，低于主模型，以上差异应解释为订货总量、品类覆盖、单品结构与价格联合调整的综合效果，而不能写成严格的等预算归因。</w:t>
      </w:r>
    </w:p>
    <w:p>
      <w:pPr>
        <w:pStyle w:val="Heading3"/>
        <w:widowControl/>
      </w:pPr>
      <w:r>
        <w:t>5.3.4 品类层面结果</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300"/>
        <w:gridCol w:w="800"/>
        <w:gridCol w:w="800"/>
        <w:gridCol w:w="1150"/>
        <w:gridCol w:w="1150"/>
        <w:gridCol w:w="1100"/>
        <w:gridCol w:w="1100"/>
        <w:gridCol w:w="1672"/>
      </w:tblGrid>
      <w:tr>
        <w:trPr>
          <w:tblHeader w:val="true"/>
        </w:trPr>
        <w:tc>
          <w:tcPr>
            <w:tcW w:type="dxa" w:w="13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品类</w:t>
            </w:r>
          </w:p>
        </w:tc>
        <w:tc>
          <w:tcPr>
            <w:tcW w:type="dxa" w:w="8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候选数</w:t>
            </w:r>
          </w:p>
        </w:tc>
        <w:tc>
          <w:tcPr>
            <w:tcW w:type="dxa" w:w="8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入选数</w:t>
            </w:r>
          </w:p>
        </w:tc>
        <w:tc>
          <w:tcPr>
            <w:tcW w:type="dxa" w:w="11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期望需求/kg</w:t>
            </w:r>
          </w:p>
        </w:tc>
        <w:tc>
          <w:tcPr>
            <w:tcW w:type="dxa" w:w="11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期望销量/kg</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满足率/%</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订货量/kg</w:t>
            </w:r>
          </w:p>
        </w:tc>
        <w:tc>
          <w:tcPr>
            <w:tcW w:type="dxa" w:w="167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期望利润/元</w:t>
            </w:r>
          </w:p>
        </w:tc>
      </w:tr>
      <w:tr>
        <w:tc>
          <w:tcPr>
            <w:tcW w:type="dxa" w:w="1300"/>
          </w:tcPr>
          <w:p>
            <w:pPr>
              <w:spacing w:before="0" w:after="0" w:line="252" w:lineRule="auto"/>
              <w:jc w:val="center"/>
            </w:pPr>
            <w:r>
              <w:rPr>
                <w:rFonts w:ascii="Times New Roman" w:hAnsi="Times New Roman" w:eastAsia="宋体"/>
                <w:color w:val="182B3A"/>
                <w:sz w:val="16"/>
              </w:rPr>
              <w:t>水生根茎类</w:t>
            </w:r>
          </w:p>
        </w:tc>
        <w:tc>
          <w:tcPr>
            <w:tcW w:type="dxa" w:w="800"/>
          </w:tcPr>
          <w:p>
            <w:pPr>
              <w:spacing w:before="0" w:after="0" w:line="252" w:lineRule="auto"/>
              <w:jc w:val="left"/>
            </w:pPr>
            <w:r>
              <w:rPr>
                <w:rFonts w:ascii="Times New Roman" w:hAnsi="Times New Roman" w:eastAsia="宋体"/>
                <w:color w:val="182B3A"/>
                <w:sz w:val="16"/>
              </w:rPr>
              <w:t>7</w:t>
            </w:r>
          </w:p>
        </w:tc>
        <w:tc>
          <w:tcPr>
            <w:tcW w:type="dxa" w:w="800"/>
          </w:tcPr>
          <w:p>
            <w:pPr>
              <w:spacing w:before="0" w:after="0" w:line="252" w:lineRule="auto"/>
              <w:jc w:val="center"/>
            </w:pPr>
            <w:r>
              <w:rPr>
                <w:rFonts w:ascii="Times New Roman" w:hAnsi="Times New Roman" w:eastAsia="宋体"/>
                <w:color w:val="182B3A"/>
                <w:sz w:val="16"/>
              </w:rPr>
              <w:t>4</w:t>
            </w:r>
          </w:p>
        </w:tc>
        <w:tc>
          <w:tcPr>
            <w:tcW w:type="dxa" w:w="1150"/>
          </w:tcPr>
          <w:p>
            <w:pPr>
              <w:spacing w:before="0" w:after="0" w:line="252" w:lineRule="auto"/>
              <w:jc w:val="center"/>
            </w:pPr>
            <w:r>
              <w:rPr>
                <w:rFonts w:ascii="Times New Roman" w:hAnsi="Times New Roman" w:eastAsia="宋体"/>
                <w:color w:val="182B3A"/>
                <w:sz w:val="16"/>
              </w:rPr>
              <w:t>17.63</w:t>
            </w:r>
          </w:p>
        </w:tc>
        <w:tc>
          <w:tcPr>
            <w:tcW w:type="dxa" w:w="1150"/>
          </w:tcPr>
          <w:p>
            <w:pPr>
              <w:spacing w:before="0" w:after="0" w:line="252" w:lineRule="auto"/>
              <w:jc w:val="center"/>
            </w:pPr>
            <w:r>
              <w:rPr>
                <w:rFonts w:ascii="Times New Roman" w:hAnsi="Times New Roman" w:eastAsia="宋体"/>
                <w:color w:val="182B3A"/>
                <w:sz w:val="16"/>
              </w:rPr>
              <w:t>14.91</w:t>
            </w:r>
          </w:p>
        </w:tc>
        <w:tc>
          <w:tcPr>
            <w:tcW w:type="dxa" w:w="1100"/>
          </w:tcPr>
          <w:p>
            <w:pPr>
              <w:spacing w:before="0" w:after="0" w:line="252" w:lineRule="auto"/>
              <w:jc w:val="center"/>
            </w:pPr>
            <w:r>
              <w:rPr>
                <w:rFonts w:ascii="Times New Roman" w:hAnsi="Times New Roman" w:eastAsia="宋体"/>
                <w:color w:val="182B3A"/>
                <w:sz w:val="16"/>
              </w:rPr>
              <w:t>91.78</w:t>
            </w:r>
          </w:p>
        </w:tc>
        <w:tc>
          <w:tcPr>
            <w:tcW w:type="dxa" w:w="1100"/>
          </w:tcPr>
          <w:p>
            <w:pPr>
              <w:spacing w:before="0" w:after="0" w:line="252" w:lineRule="auto"/>
              <w:jc w:val="center"/>
            </w:pPr>
            <w:r>
              <w:rPr>
                <w:rFonts w:ascii="Times New Roman" w:hAnsi="Times New Roman" w:eastAsia="宋体"/>
                <w:color w:val="182B3A"/>
                <w:sz w:val="16"/>
              </w:rPr>
              <w:t>25.87</w:t>
            </w:r>
          </w:p>
        </w:tc>
        <w:tc>
          <w:tcPr>
            <w:tcW w:type="dxa" w:w="1672"/>
          </w:tcPr>
          <w:p>
            <w:pPr>
              <w:spacing w:before="0" w:after="0" w:line="252" w:lineRule="auto"/>
              <w:jc w:val="center"/>
            </w:pPr>
            <w:r>
              <w:rPr>
                <w:rFonts w:ascii="Times New Roman" w:hAnsi="Times New Roman" w:eastAsia="宋体"/>
                <w:color w:val="182B3A"/>
                <w:sz w:val="16"/>
              </w:rPr>
              <w:t>-66.31</w:t>
            </w:r>
          </w:p>
        </w:tc>
      </w:tr>
      <w:tr>
        <w:tc>
          <w:tcPr>
            <w:tcW w:type="dxa" w:w="1300"/>
          </w:tcPr>
          <w:p>
            <w:pPr>
              <w:spacing w:before="0" w:after="0" w:line="252" w:lineRule="auto"/>
              <w:jc w:val="center"/>
            </w:pPr>
            <w:r>
              <w:rPr>
                <w:rFonts w:ascii="Times New Roman" w:hAnsi="Times New Roman" w:eastAsia="宋体"/>
                <w:color w:val="182B3A"/>
                <w:sz w:val="16"/>
              </w:rPr>
              <w:t>花叶类</w:t>
            </w:r>
          </w:p>
        </w:tc>
        <w:tc>
          <w:tcPr>
            <w:tcW w:type="dxa" w:w="800"/>
          </w:tcPr>
          <w:p>
            <w:pPr>
              <w:spacing w:before="0" w:after="0" w:line="252" w:lineRule="auto"/>
              <w:jc w:val="left"/>
            </w:pPr>
            <w:r>
              <w:rPr>
                <w:rFonts w:ascii="Times New Roman" w:hAnsi="Times New Roman" w:eastAsia="宋体"/>
                <w:color w:val="182B3A"/>
                <w:sz w:val="16"/>
              </w:rPr>
              <w:t>17</w:t>
            </w:r>
          </w:p>
        </w:tc>
        <w:tc>
          <w:tcPr>
            <w:tcW w:type="dxa" w:w="800"/>
          </w:tcPr>
          <w:p>
            <w:pPr>
              <w:spacing w:before="0" w:after="0" w:line="252" w:lineRule="auto"/>
              <w:jc w:val="center"/>
            </w:pPr>
            <w:r>
              <w:rPr>
                <w:rFonts w:ascii="Times New Roman" w:hAnsi="Times New Roman" w:eastAsia="宋体"/>
                <w:color w:val="182B3A"/>
                <w:sz w:val="16"/>
              </w:rPr>
              <w:t>11</w:t>
            </w:r>
          </w:p>
        </w:tc>
        <w:tc>
          <w:tcPr>
            <w:tcW w:type="dxa" w:w="1150"/>
          </w:tcPr>
          <w:p>
            <w:pPr>
              <w:spacing w:before="0" w:after="0" w:line="252" w:lineRule="auto"/>
              <w:jc w:val="center"/>
            </w:pPr>
            <w:r>
              <w:rPr>
                <w:rFonts w:ascii="Times New Roman" w:hAnsi="Times New Roman" w:eastAsia="宋体"/>
                <w:color w:val="182B3A"/>
                <w:sz w:val="16"/>
              </w:rPr>
              <w:t>195.47</w:t>
            </w:r>
          </w:p>
        </w:tc>
        <w:tc>
          <w:tcPr>
            <w:tcW w:type="dxa" w:w="1150"/>
          </w:tcPr>
          <w:p>
            <w:pPr>
              <w:spacing w:before="0" w:after="0" w:line="252" w:lineRule="auto"/>
              <w:jc w:val="center"/>
            </w:pPr>
            <w:r>
              <w:rPr>
                <w:rFonts w:ascii="Times New Roman" w:hAnsi="Times New Roman" w:eastAsia="宋体"/>
                <w:color w:val="182B3A"/>
                <w:sz w:val="16"/>
              </w:rPr>
              <w:t>85.56</w:t>
            </w:r>
          </w:p>
        </w:tc>
        <w:tc>
          <w:tcPr>
            <w:tcW w:type="dxa" w:w="1100"/>
          </w:tcPr>
          <w:p>
            <w:pPr>
              <w:spacing w:before="0" w:after="0" w:line="252" w:lineRule="auto"/>
              <w:jc w:val="center"/>
            </w:pPr>
            <w:r>
              <w:rPr>
                <w:rFonts w:ascii="Times New Roman" w:hAnsi="Times New Roman" w:eastAsia="宋体"/>
                <w:color w:val="182B3A"/>
                <w:sz w:val="16"/>
              </w:rPr>
              <w:t>55.12</w:t>
            </w:r>
          </w:p>
        </w:tc>
        <w:tc>
          <w:tcPr>
            <w:tcW w:type="dxa" w:w="1100"/>
          </w:tcPr>
          <w:p>
            <w:pPr>
              <w:spacing w:before="0" w:after="0" w:line="252" w:lineRule="auto"/>
              <w:jc w:val="center"/>
            </w:pPr>
            <w:r>
              <w:rPr>
                <w:rFonts w:ascii="Times New Roman" w:hAnsi="Times New Roman" w:eastAsia="宋体"/>
                <w:color w:val="182B3A"/>
                <w:sz w:val="16"/>
              </w:rPr>
              <w:t>116.03</w:t>
            </w:r>
          </w:p>
        </w:tc>
        <w:tc>
          <w:tcPr>
            <w:tcW w:type="dxa" w:w="1672"/>
          </w:tcPr>
          <w:p>
            <w:pPr>
              <w:spacing w:before="0" w:after="0" w:line="252" w:lineRule="auto"/>
              <w:jc w:val="center"/>
            </w:pPr>
            <w:r>
              <w:rPr>
                <w:rFonts w:ascii="Times New Roman" w:hAnsi="Times New Roman" w:eastAsia="宋体"/>
                <w:color w:val="182B3A"/>
                <w:sz w:val="16"/>
              </w:rPr>
              <w:t>158.98</w:t>
            </w:r>
          </w:p>
        </w:tc>
      </w:tr>
      <w:tr>
        <w:tc>
          <w:tcPr>
            <w:tcW w:type="dxa" w:w="1300"/>
          </w:tcPr>
          <w:p>
            <w:pPr>
              <w:spacing w:before="0" w:after="0" w:line="252" w:lineRule="auto"/>
              <w:jc w:val="center"/>
            </w:pPr>
            <w:r>
              <w:rPr>
                <w:rFonts w:ascii="Times New Roman" w:hAnsi="Times New Roman" w:eastAsia="宋体"/>
                <w:color w:val="182B3A"/>
                <w:sz w:val="16"/>
              </w:rPr>
              <w:t>花菜类</w:t>
            </w:r>
          </w:p>
        </w:tc>
        <w:tc>
          <w:tcPr>
            <w:tcW w:type="dxa" w:w="800"/>
          </w:tcPr>
          <w:p>
            <w:pPr>
              <w:spacing w:before="0" w:after="0" w:line="252" w:lineRule="auto"/>
              <w:jc w:val="left"/>
            </w:pPr>
            <w:r>
              <w:rPr>
                <w:rFonts w:ascii="Times New Roman" w:hAnsi="Times New Roman" w:eastAsia="宋体"/>
                <w:color w:val="182B3A"/>
                <w:sz w:val="16"/>
              </w:rPr>
              <w:t>2</w:t>
            </w:r>
          </w:p>
        </w:tc>
        <w:tc>
          <w:tcPr>
            <w:tcW w:type="dxa" w:w="800"/>
          </w:tcPr>
          <w:p>
            <w:pPr>
              <w:spacing w:before="0" w:after="0" w:line="252" w:lineRule="auto"/>
              <w:jc w:val="center"/>
            </w:pPr>
            <w:r>
              <w:rPr>
                <w:rFonts w:ascii="Times New Roman" w:hAnsi="Times New Roman" w:eastAsia="宋体"/>
                <w:color w:val="182B3A"/>
                <w:sz w:val="16"/>
              </w:rPr>
              <w:t>2</w:t>
            </w:r>
          </w:p>
        </w:tc>
        <w:tc>
          <w:tcPr>
            <w:tcW w:type="dxa" w:w="1150"/>
          </w:tcPr>
          <w:p>
            <w:pPr>
              <w:spacing w:before="0" w:after="0" w:line="252" w:lineRule="auto"/>
              <w:jc w:val="center"/>
            </w:pPr>
            <w:r>
              <w:rPr>
                <w:rFonts w:ascii="Times New Roman" w:hAnsi="Times New Roman" w:eastAsia="宋体"/>
                <w:color w:val="182B3A"/>
                <w:sz w:val="16"/>
              </w:rPr>
              <w:t>16.90</w:t>
            </w:r>
          </w:p>
        </w:tc>
        <w:tc>
          <w:tcPr>
            <w:tcW w:type="dxa" w:w="1150"/>
          </w:tcPr>
          <w:p>
            <w:pPr>
              <w:spacing w:before="0" w:after="0" w:line="252" w:lineRule="auto"/>
              <w:jc w:val="center"/>
            </w:pPr>
            <w:r>
              <w:rPr>
                <w:rFonts w:ascii="Times New Roman" w:hAnsi="Times New Roman" w:eastAsia="宋体"/>
                <w:color w:val="182B3A"/>
                <w:sz w:val="16"/>
              </w:rPr>
              <w:t>14.94</w:t>
            </w:r>
          </w:p>
        </w:tc>
        <w:tc>
          <w:tcPr>
            <w:tcW w:type="dxa" w:w="1100"/>
          </w:tcPr>
          <w:p>
            <w:pPr>
              <w:spacing w:before="0" w:after="0" w:line="252" w:lineRule="auto"/>
              <w:jc w:val="center"/>
            </w:pPr>
            <w:r>
              <w:rPr>
                <w:rFonts w:ascii="Times New Roman" w:hAnsi="Times New Roman" w:eastAsia="宋体"/>
                <w:color w:val="182B3A"/>
                <w:sz w:val="16"/>
              </w:rPr>
              <w:t>94.46</w:t>
            </w:r>
          </w:p>
        </w:tc>
        <w:tc>
          <w:tcPr>
            <w:tcW w:type="dxa" w:w="1100"/>
          </w:tcPr>
          <w:p>
            <w:pPr>
              <w:spacing w:before="0" w:after="0" w:line="252" w:lineRule="auto"/>
              <w:jc w:val="center"/>
            </w:pPr>
            <w:r>
              <w:rPr>
                <w:rFonts w:ascii="Times New Roman" w:hAnsi="Times New Roman" w:eastAsia="宋体"/>
                <w:color w:val="182B3A"/>
                <w:sz w:val="16"/>
              </w:rPr>
              <w:t>23.68</w:t>
            </w:r>
          </w:p>
        </w:tc>
        <w:tc>
          <w:tcPr>
            <w:tcW w:type="dxa" w:w="1672"/>
          </w:tcPr>
          <w:p>
            <w:pPr>
              <w:spacing w:before="0" w:after="0" w:line="252" w:lineRule="auto"/>
              <w:jc w:val="center"/>
            </w:pPr>
            <w:r>
              <w:rPr>
                <w:rFonts w:ascii="Times New Roman" w:hAnsi="Times New Roman" w:eastAsia="宋体"/>
                <w:color w:val="182B3A"/>
                <w:sz w:val="16"/>
              </w:rPr>
              <w:t>-32.22</w:t>
            </w:r>
          </w:p>
        </w:tc>
      </w:tr>
      <w:tr>
        <w:tc>
          <w:tcPr>
            <w:tcW w:type="dxa" w:w="1300"/>
          </w:tcPr>
          <w:p>
            <w:pPr>
              <w:spacing w:before="0" w:after="0" w:line="252" w:lineRule="auto"/>
              <w:jc w:val="center"/>
            </w:pPr>
            <w:r>
              <w:rPr>
                <w:rFonts w:ascii="Times New Roman" w:hAnsi="Times New Roman" w:eastAsia="宋体"/>
                <w:color w:val="182B3A"/>
                <w:sz w:val="16"/>
              </w:rPr>
              <w:t>茄类</w:t>
            </w:r>
          </w:p>
        </w:tc>
        <w:tc>
          <w:tcPr>
            <w:tcW w:type="dxa" w:w="800"/>
          </w:tcPr>
          <w:p>
            <w:pPr>
              <w:spacing w:before="0" w:after="0" w:line="252" w:lineRule="auto"/>
              <w:jc w:val="left"/>
            </w:pPr>
            <w:r>
              <w:rPr>
                <w:rFonts w:ascii="Times New Roman" w:hAnsi="Times New Roman" w:eastAsia="宋体"/>
                <w:color w:val="182B3A"/>
                <w:sz w:val="16"/>
              </w:rPr>
              <w:t>5</w:t>
            </w:r>
          </w:p>
        </w:tc>
        <w:tc>
          <w:tcPr>
            <w:tcW w:type="dxa" w:w="800"/>
          </w:tcPr>
          <w:p>
            <w:pPr>
              <w:spacing w:before="0" w:after="0" w:line="252" w:lineRule="auto"/>
              <w:jc w:val="center"/>
            </w:pPr>
            <w:r>
              <w:rPr>
                <w:rFonts w:ascii="Times New Roman" w:hAnsi="Times New Roman" w:eastAsia="宋体"/>
                <w:color w:val="182B3A"/>
                <w:sz w:val="16"/>
              </w:rPr>
              <w:t>4</w:t>
            </w:r>
          </w:p>
        </w:tc>
        <w:tc>
          <w:tcPr>
            <w:tcW w:type="dxa" w:w="1150"/>
          </w:tcPr>
          <w:p>
            <w:pPr>
              <w:spacing w:before="0" w:after="0" w:line="252" w:lineRule="auto"/>
              <w:jc w:val="center"/>
            </w:pPr>
            <w:r>
              <w:rPr>
                <w:rFonts w:ascii="Times New Roman" w:hAnsi="Times New Roman" w:eastAsia="宋体"/>
                <w:color w:val="182B3A"/>
                <w:sz w:val="16"/>
              </w:rPr>
              <w:t>33.50</w:t>
            </w:r>
          </w:p>
        </w:tc>
        <w:tc>
          <w:tcPr>
            <w:tcW w:type="dxa" w:w="1150"/>
          </w:tcPr>
          <w:p>
            <w:pPr>
              <w:spacing w:before="0" w:after="0" w:line="252" w:lineRule="auto"/>
              <w:jc w:val="center"/>
            </w:pPr>
            <w:r>
              <w:rPr>
                <w:rFonts w:ascii="Times New Roman" w:hAnsi="Times New Roman" w:eastAsia="宋体"/>
                <w:color w:val="182B3A"/>
                <w:sz w:val="16"/>
              </w:rPr>
              <w:t>26.71</w:t>
            </w:r>
          </w:p>
        </w:tc>
        <w:tc>
          <w:tcPr>
            <w:tcW w:type="dxa" w:w="1100"/>
          </w:tcPr>
          <w:p>
            <w:pPr>
              <w:spacing w:before="0" w:after="0" w:line="252" w:lineRule="auto"/>
              <w:jc w:val="center"/>
            </w:pPr>
            <w:r>
              <w:rPr>
                <w:rFonts w:ascii="Times New Roman" w:hAnsi="Times New Roman" w:eastAsia="宋体"/>
                <w:color w:val="182B3A"/>
                <w:sz w:val="16"/>
              </w:rPr>
              <w:t>90.86</w:t>
            </w:r>
          </w:p>
        </w:tc>
        <w:tc>
          <w:tcPr>
            <w:tcW w:type="dxa" w:w="1100"/>
          </w:tcPr>
          <w:p>
            <w:pPr>
              <w:spacing w:before="0" w:after="0" w:line="252" w:lineRule="auto"/>
              <w:jc w:val="center"/>
            </w:pPr>
            <w:r>
              <w:rPr>
                <w:rFonts w:ascii="Times New Roman" w:hAnsi="Times New Roman" w:eastAsia="宋体"/>
                <w:color w:val="182B3A"/>
                <w:sz w:val="16"/>
              </w:rPr>
              <w:t>45.15</w:t>
            </w:r>
          </w:p>
        </w:tc>
        <w:tc>
          <w:tcPr>
            <w:tcW w:type="dxa" w:w="1672"/>
          </w:tcPr>
          <w:p>
            <w:pPr>
              <w:spacing w:before="0" w:after="0" w:line="252" w:lineRule="auto"/>
              <w:jc w:val="center"/>
            </w:pPr>
            <w:r>
              <w:rPr>
                <w:rFonts w:ascii="Times New Roman" w:hAnsi="Times New Roman" w:eastAsia="宋体"/>
                <w:color w:val="182B3A"/>
                <w:sz w:val="16"/>
              </w:rPr>
              <w:t>-9.40</w:t>
            </w:r>
          </w:p>
        </w:tc>
      </w:tr>
      <w:tr>
        <w:tc>
          <w:tcPr>
            <w:tcW w:type="dxa" w:w="1300"/>
          </w:tcPr>
          <w:p>
            <w:pPr>
              <w:spacing w:before="0" w:after="0" w:line="252" w:lineRule="auto"/>
              <w:jc w:val="center"/>
            </w:pPr>
            <w:r>
              <w:rPr>
                <w:rFonts w:ascii="Times New Roman" w:hAnsi="Times New Roman" w:eastAsia="宋体"/>
                <w:color w:val="182B3A"/>
                <w:sz w:val="16"/>
              </w:rPr>
              <w:t>辣椒类</w:t>
            </w:r>
          </w:p>
        </w:tc>
        <w:tc>
          <w:tcPr>
            <w:tcW w:type="dxa" w:w="800"/>
          </w:tcPr>
          <w:p>
            <w:pPr>
              <w:spacing w:before="0" w:after="0" w:line="252" w:lineRule="auto"/>
              <w:jc w:val="left"/>
            </w:pPr>
            <w:r>
              <w:rPr>
                <w:rFonts w:ascii="Times New Roman" w:hAnsi="Times New Roman" w:eastAsia="宋体"/>
                <w:color w:val="182B3A"/>
                <w:sz w:val="16"/>
              </w:rPr>
              <w:t>10</w:t>
            </w:r>
          </w:p>
        </w:tc>
        <w:tc>
          <w:tcPr>
            <w:tcW w:type="dxa" w:w="800"/>
          </w:tcPr>
          <w:p>
            <w:pPr>
              <w:spacing w:before="0" w:after="0" w:line="252" w:lineRule="auto"/>
              <w:jc w:val="center"/>
            </w:pPr>
            <w:r>
              <w:rPr>
                <w:rFonts w:ascii="Times New Roman" w:hAnsi="Times New Roman" w:eastAsia="宋体"/>
                <w:color w:val="182B3A"/>
                <w:sz w:val="16"/>
              </w:rPr>
              <w:t>6</w:t>
            </w:r>
          </w:p>
        </w:tc>
        <w:tc>
          <w:tcPr>
            <w:tcW w:type="dxa" w:w="1150"/>
          </w:tcPr>
          <w:p>
            <w:pPr>
              <w:spacing w:before="0" w:after="0" w:line="252" w:lineRule="auto"/>
              <w:jc w:val="center"/>
            </w:pPr>
            <w:r>
              <w:rPr>
                <w:rFonts w:ascii="Times New Roman" w:hAnsi="Times New Roman" w:eastAsia="宋体"/>
                <w:color w:val="182B3A"/>
                <w:sz w:val="16"/>
              </w:rPr>
              <w:t>135.22</w:t>
            </w:r>
          </w:p>
        </w:tc>
        <w:tc>
          <w:tcPr>
            <w:tcW w:type="dxa" w:w="1150"/>
          </w:tcPr>
          <w:p>
            <w:pPr>
              <w:spacing w:before="0" w:after="0" w:line="252" w:lineRule="auto"/>
              <w:jc w:val="center"/>
            </w:pPr>
            <w:r>
              <w:rPr>
                <w:rFonts w:ascii="Times New Roman" w:hAnsi="Times New Roman" w:eastAsia="宋体"/>
                <w:color w:val="182B3A"/>
                <w:sz w:val="16"/>
              </w:rPr>
              <w:t>63.55</w:t>
            </w:r>
          </w:p>
        </w:tc>
        <w:tc>
          <w:tcPr>
            <w:tcW w:type="dxa" w:w="1100"/>
          </w:tcPr>
          <w:p>
            <w:pPr>
              <w:spacing w:before="0" w:after="0" w:line="252" w:lineRule="auto"/>
              <w:jc w:val="center"/>
            </w:pPr>
            <w:r>
              <w:rPr>
                <w:rFonts w:ascii="Times New Roman" w:hAnsi="Times New Roman" w:eastAsia="宋体"/>
                <w:color w:val="182B3A"/>
                <w:sz w:val="16"/>
              </w:rPr>
              <w:t>66.26</w:t>
            </w:r>
          </w:p>
        </w:tc>
        <w:tc>
          <w:tcPr>
            <w:tcW w:type="dxa" w:w="1100"/>
          </w:tcPr>
          <w:p>
            <w:pPr>
              <w:spacing w:before="0" w:after="0" w:line="252" w:lineRule="auto"/>
              <w:jc w:val="center"/>
            </w:pPr>
            <w:r>
              <w:rPr>
                <w:rFonts w:ascii="Times New Roman" w:hAnsi="Times New Roman" w:eastAsia="宋体"/>
                <w:color w:val="182B3A"/>
                <w:sz w:val="16"/>
              </w:rPr>
              <w:t>90.94</w:t>
            </w:r>
          </w:p>
        </w:tc>
        <w:tc>
          <w:tcPr>
            <w:tcW w:type="dxa" w:w="1672"/>
          </w:tcPr>
          <w:p>
            <w:pPr>
              <w:spacing w:before="0" w:after="0" w:line="252" w:lineRule="auto"/>
              <w:jc w:val="center"/>
            </w:pPr>
            <w:r>
              <w:rPr>
                <w:rFonts w:ascii="Times New Roman" w:hAnsi="Times New Roman" w:eastAsia="宋体"/>
                <w:color w:val="182B3A"/>
                <w:sz w:val="16"/>
              </w:rPr>
              <w:t>119.87</w:t>
            </w:r>
          </w:p>
        </w:tc>
      </w:tr>
      <w:tr>
        <w:tc>
          <w:tcPr>
            <w:tcW w:type="dxa" w:w="1300"/>
          </w:tcPr>
          <w:p>
            <w:pPr>
              <w:spacing w:before="0" w:after="0" w:line="252" w:lineRule="auto"/>
              <w:jc w:val="center"/>
            </w:pPr>
            <w:r>
              <w:rPr>
                <w:rFonts w:ascii="Times New Roman" w:hAnsi="Times New Roman" w:eastAsia="宋体"/>
                <w:color w:val="182B3A"/>
                <w:sz w:val="16"/>
              </w:rPr>
              <w:t>食用菌</w:t>
            </w:r>
          </w:p>
        </w:tc>
        <w:tc>
          <w:tcPr>
            <w:tcW w:type="dxa" w:w="800"/>
          </w:tcPr>
          <w:p>
            <w:pPr>
              <w:spacing w:before="0" w:after="0" w:line="252" w:lineRule="auto"/>
              <w:jc w:val="left"/>
            </w:pPr>
            <w:r>
              <w:rPr>
                <w:rFonts w:ascii="Times New Roman" w:hAnsi="Times New Roman" w:eastAsia="宋体"/>
                <w:color w:val="182B3A"/>
                <w:sz w:val="16"/>
              </w:rPr>
              <w:t>8</w:t>
            </w:r>
          </w:p>
        </w:tc>
        <w:tc>
          <w:tcPr>
            <w:tcW w:type="dxa" w:w="800"/>
          </w:tcPr>
          <w:p>
            <w:pPr>
              <w:spacing w:before="0" w:after="0" w:line="252" w:lineRule="auto"/>
              <w:jc w:val="center"/>
            </w:pPr>
            <w:r>
              <w:rPr>
                <w:rFonts w:ascii="Times New Roman" w:hAnsi="Times New Roman" w:eastAsia="宋体"/>
                <w:color w:val="182B3A"/>
                <w:sz w:val="16"/>
              </w:rPr>
              <w:t>6</w:t>
            </w:r>
          </w:p>
        </w:tc>
        <w:tc>
          <w:tcPr>
            <w:tcW w:type="dxa" w:w="1150"/>
          </w:tcPr>
          <w:p>
            <w:pPr>
              <w:spacing w:before="0" w:after="0" w:line="252" w:lineRule="auto"/>
              <w:jc w:val="center"/>
            </w:pPr>
            <w:r>
              <w:rPr>
                <w:rFonts w:ascii="Times New Roman" w:hAnsi="Times New Roman" w:eastAsia="宋体"/>
                <w:color w:val="182B3A"/>
                <w:sz w:val="16"/>
              </w:rPr>
              <w:t>71.09</w:t>
            </w:r>
          </w:p>
        </w:tc>
        <w:tc>
          <w:tcPr>
            <w:tcW w:type="dxa" w:w="1150"/>
          </w:tcPr>
          <w:p>
            <w:pPr>
              <w:spacing w:before="0" w:after="0" w:line="252" w:lineRule="auto"/>
              <w:jc w:val="center"/>
            </w:pPr>
            <w:r>
              <w:rPr>
                <w:rFonts w:ascii="Times New Roman" w:hAnsi="Times New Roman" w:eastAsia="宋体"/>
                <w:color w:val="182B3A"/>
                <w:sz w:val="16"/>
              </w:rPr>
              <w:t>37.66</w:t>
            </w:r>
          </w:p>
        </w:tc>
        <w:tc>
          <w:tcPr>
            <w:tcW w:type="dxa" w:w="1100"/>
          </w:tcPr>
          <w:p>
            <w:pPr>
              <w:spacing w:before="0" w:after="0" w:line="252" w:lineRule="auto"/>
              <w:jc w:val="center"/>
            </w:pPr>
            <w:r>
              <w:rPr>
                <w:rFonts w:ascii="Times New Roman" w:hAnsi="Times New Roman" w:eastAsia="宋体"/>
                <w:color w:val="182B3A"/>
                <w:sz w:val="16"/>
              </w:rPr>
              <w:t>68.37</w:t>
            </w:r>
          </w:p>
        </w:tc>
        <w:tc>
          <w:tcPr>
            <w:tcW w:type="dxa" w:w="1100"/>
          </w:tcPr>
          <w:p>
            <w:pPr>
              <w:spacing w:before="0" w:after="0" w:line="252" w:lineRule="auto"/>
              <w:jc w:val="center"/>
            </w:pPr>
            <w:r>
              <w:rPr>
                <w:rFonts w:ascii="Times New Roman" w:hAnsi="Times New Roman" w:eastAsia="宋体"/>
                <w:color w:val="182B3A"/>
                <w:sz w:val="16"/>
              </w:rPr>
              <w:t>60.60</w:t>
            </w:r>
          </w:p>
        </w:tc>
        <w:tc>
          <w:tcPr>
            <w:tcW w:type="dxa" w:w="1672"/>
          </w:tcPr>
          <w:p>
            <w:pPr>
              <w:spacing w:before="0" w:after="0" w:line="252" w:lineRule="auto"/>
              <w:jc w:val="center"/>
            </w:pPr>
            <w:r>
              <w:rPr>
                <w:rFonts w:ascii="Times New Roman" w:hAnsi="Times New Roman" w:eastAsia="宋体"/>
                <w:color w:val="182B3A"/>
                <w:sz w:val="16"/>
              </w:rPr>
              <w:t>-7.16</w:t>
            </w:r>
          </w:p>
        </w:tc>
      </w:tr>
    </w:tbl>
    <w:p>
      <w:pPr>
        <w:widowControl/>
        <w:spacing w:after="40"/>
      </w:pPr>
    </w:p>
    <w:p>
      <w:pPr>
        <w:widowControl/>
      </w:pPr>
      <w:r>
        <w:t>水生根茎、花菜和茄类的满足率均超过 90%，说明较小品类没有被大品类目标吞没；花叶类和辣椒类需求体量大，在总订货上限下仍是主要缺口来源。部分品类期望利润为负并非计算错误，而是服务优先目标的直接结果：模型为维持品类覆盖保留了若干低毛利或高损耗单品。整体利润仍为正，且显著高于基线，体现了词典序目标的经营含义。</w:t>
      </w:r>
    </w:p>
    <w:p>
      <w:pPr>
        <w:pStyle w:val="Heading2"/>
        <w:widowControl/>
      </w:pPr>
      <w:r>
        <w:t>5.4 结果分析</w:t>
      </w:r>
    </w:p>
    <w:p>
      <w:pPr>
        <w:pStyle w:val="Heading3"/>
        <w:widowControl/>
      </w:pPr>
      <w:r>
        <w:t>5.4.1 基础分析</w:t>
      </w:r>
    </w:p>
    <w:p>
      <w:pPr>
        <w:widowControl/>
      </w:pPr>
      <w:r>
        <w:t>最终选择数、最低订货量、价格来源、总订货上限、销量-需求关系和损耗后库存关系全部满足约束。K 前沿中服务水平和利润随商品数增加呈一致改善，说明在 27-33 的允许区间内，33 个单品能够利用更丰富的品类内部结构提高需求匹配度。模型选择的总订货量达到 Q2 上限，表明当前主要矛盾不是订货预算闲置，而是总量有限时如何在 49 个候选和不同价格间分配。</w:t>
      </w:r>
    </w:p>
    <w:p>
      <w:pPr>
        <w:pStyle w:val="Heading3"/>
        <w:widowControl/>
      </w:pPr>
      <w:r>
        <w:t>5.4.2 深层分析</w:t>
      </w:r>
    </w:p>
    <w:p>
      <w:pPr>
        <w:widowControl/>
      </w:pPr>
      <w:r>
        <w:t>第一，模型最值得信赖的改进是相对基线的服务与利润同步提升。满足率增加 13.21 个百分点的同时，期望利润增加 107.10 元。由于两方案订货总量并不相同，这一结果说明联合决策整体优于透明经验规则，但不能把增益完全归因于某一个因素。</w:t>
      </w:r>
    </w:p>
    <w:p>
      <w:pPr>
        <w:widowControl/>
      </w:pPr>
      <w:r>
        <w:t>第二，品类之间仍存在明显资源竞争。花叶类需求约占六品类总期望需求的最大部分，但满足率只有 55.12%；若继续提高花叶类服务，需要压缩其他品类或突破 Q2 总量。模型按六品类等权缺货率而非总缺货千克优化，因而优先保证各品类均有合理覆盖。这与题目“满足各品类需求”的表述更一致，但也意味着总销量并非唯一目标。</w:t>
      </w:r>
    </w:p>
    <w:p>
      <w:pPr>
        <w:widowControl/>
      </w:pPr>
      <w:r>
        <w:t>第三，尾部风险不能忽略。虽然期望利润为正，最差 10% 场景平均利润仍为 -423.21 元，说明在高成本、低需求或结构偏移同时出现时，单日策略可能亏损。风险权重从 0 提高至 0.5 后，期望利润从 167.15 元下降至 151.17 元，尾部利润从 -433.01 元改善至 -422.04 元，体现了风险与均值之间的真实交换，而不是模型失效。</w:t>
      </w:r>
    </w:p>
    <w:p>
      <w:pPr>
        <w:widowControl/>
      </w:pPr>
      <w:r>
        <w:t>第四，历史单品份额是最关键的数据环节。当历史抽样份额权重由 0.25 增至 0.75 时，满足率从 82.83% 降至 71.86%，期望利润从 356.56 元降至 -51.83 元，选品 Jaccard 系数最低为 0.833。这一结果说明品类总需求预测相对稳定，但“需求落到哪些单品”会显著改变补货和利润，应在实际经营中优先补充逐时库存可得性、缺货替代和陈列曝光数据。</w:t>
      </w:r>
    </w:p>
    <w:p>
      <w:pPr>
        <w:pStyle w:val="Heading3"/>
        <w:widowControl/>
      </w:pPr>
      <w:r>
        <w:t>5.4.3 对问题的直接回应</w:t>
      </w:r>
    </w:p>
    <w:p>
      <w:pPr>
        <w:widowControl/>
      </w:pPr>
      <w:r>
        <w:t>模型最终给出 2023 年 7 月 1 日 33 个单品的价格与订货量，所有单品订货量均不低于 2.5 kg，总量位于第二问计划的 ±0.05% 衔接带内。该方案在六品类需求优先的条件下，把完整场景平均满足率提高到 77.82%，并获得 163.57 元期望利润，解决了题目要求的“有限销售空间下如何选择单品、如何补货以及如何定价”三个核心决策。论文附录列出完整执行清单，可直接用于门店订货和标价。</w:t>
      </w:r>
    </w:p>
    <w:p>
      <w:pPr>
        <w:pStyle w:val="Heading2"/>
        <w:widowControl/>
      </w:pPr>
      <w:r>
        <w:t>5.5 模型检验</w:t>
      </w:r>
    </w:p>
    <w:p>
      <w:pPr>
        <w:pStyle w:val="Heading3"/>
        <w:widowControl/>
      </w:pPr>
      <w:r>
        <w:t>5.5.1 可行性与一致性检验</w:t>
      </w:r>
    </w:p>
    <w:p>
      <w:pPr>
        <w:widowControl/>
      </w:pPr>
      <w:r>
        <w:t>独立输出校验器重新从原始流水识别候选集合，并检查候选唯一性、成本与损耗范围、品类份额和为 1、价格网格来源、K=27-33 前沿、最低订货量、总量窄带、销量不超过需求、未售量恒等式、六品类汇总与单品汇总勾稽、利润汇总和敏感性参数范围。共 83 项检查全部通过。另有 20 项单元测试覆盖日期边界、经验贝叶斯收缩、价格回退、损耗口径、MILP 约束、第一阶段复用和缓存失效拒绝，全部通过。</w:t>
      </w:r>
    </w:p>
    <w:p>
      <w:pPr>
        <w:pStyle w:val="Heading3"/>
        <w:widowControl/>
      </w:pPr>
      <w:r>
        <w:t>5.5.2 代表场景泛化检验</w:t>
      </w:r>
    </w:p>
    <w:p>
      <w:pPr>
        <w:widowControl/>
      </w:pPr>
      <w:r>
        <w:t>优化使用 60 个代表场景，最终在 600 个完整场景上评价。代表场景的第二阶段服务损失为 0.214328，完整场景服务损失为 0.221815，绝对差为 0.007487，即 0.749 个百分点，明显低于预设阈值 0.03。这表明场景压缩没有造成显著的服务水平高估。</w:t>
      </w:r>
    </w:p>
    <w:p>
      <w:pPr>
        <w:pStyle w:val="Heading3"/>
        <w:widowControl/>
      </w:pPr>
      <w:r>
        <w:t>5.5.3 全量重优化对照与六折稳定性检验</w:t>
      </w:r>
    </w:p>
    <w:p>
      <w:pPr>
        <w:widowControl/>
      </w:pPr>
      <w:r>
        <w:t>在相同参数和同一 600 场景全集上进行辅助全量重优化后，选品集合与 60 场景方案完全一致；完整评价口径下，满足率、期望利润与尾部利润的差异分别仅为 0.18 个百分点、1.85% 和 3.15%。全量第二阶段达到 3600 s 时限时已有严格可行解，但最优性间隙为 2.89%，因此该对照足以支持“抽样没有实质改变结论”，不足以支持“全量方案必为全局最优”。</w:t>
      </w:r>
    </w:p>
    <w:p>
      <w:pPr>
        <w:widowControl/>
      </w:pPr>
      <w:r>
        <w:t>将 600 个场景分为 6 折，每折 100 个场景，分别计算固定最终策略的满足率和利润。六折满足率依次为 77.26%、76.72%、78.91%、77.52%、79.02% 和 77.41%，均值 77.81%，样本标准差 0.009405，低于 0.05 的稳定性阈值；最小与最大满足率仅相差约 2.31 个百分点。六折期望利润标准差为 31.69 元，反映利润对成本与需求联合波动比服务率更敏感，因此模型报告尾部利润是必要的。</w:t>
      </w:r>
    </w:p>
    <w:p>
      <w:pPr>
        <w:pStyle w:val="Heading3"/>
        <w:widowControl/>
      </w:pPr>
      <w:r>
        <w:t>5.5.4 基线有效性检验</w:t>
      </w:r>
    </w:p>
    <w:p>
      <w:pPr>
        <w:widowControl/>
      </w:pPr>
      <w:r>
        <w:t>与近期销量排序基线相比，主模型的满足率、期望利润和最差 10% 平均利润三个核心指标均改善。由于基线规则透明、使用相同候选、相同价格可行域和同一 600 场景评价，比较不依赖隐藏的外部数据，能够证明联合优化相对常规经验策略具有实际增益。</w:t>
      </w:r>
    </w:p>
    <w:p>
      <w:pPr>
        <w:widowControl/>
      </w:pPr>
      <w:r>
        <w:t>综合上述检验，模型在硬约束正确性、代表场景泛化、不同场景折稳定性和相对基线有效性四个层面均达到要求。检验支持“结果正常且可用于论文结论”，但不支持“极端场景保证盈利”的过度表述。</w:t>
      </w:r>
    </w:p>
    <w:p>
      <w:pPr>
        <w:pStyle w:val="Heading2"/>
        <w:widowControl/>
      </w:pPr>
      <w:r>
        <w:t>5.6 灵敏度分析</w:t>
      </w:r>
    </w:p>
    <w:p>
      <w:pPr>
        <w:widowControl/>
      </w:pPr>
      <w:r>
        <w:t>灵敏度分析采用“改变一个参数并完整重求解”的方式，参数包括风险权重 γ、价格弹性缩放、历史份额权重 h 和补货上限系数。表 5 汇总 9 个不重复方案。</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000"/>
        <w:gridCol w:w="1430"/>
        <w:gridCol w:w="1320"/>
        <w:gridCol w:w="1750"/>
        <w:gridCol w:w="1750"/>
        <w:gridCol w:w="1822"/>
      </w:tblGrid>
      <w:tr>
        <w:trPr>
          <w:tblHeader w:val="true"/>
        </w:trPr>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方案</w:t>
            </w:r>
          </w:p>
        </w:tc>
        <w:tc>
          <w:tcPr>
            <w:tcW w:type="dxa" w:w="143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参数变化</w:t>
            </w:r>
          </w:p>
        </w:tc>
        <w:tc>
          <w:tcPr>
            <w:tcW w:type="dxa" w:w="132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满足率/%</w:t>
            </w:r>
          </w:p>
        </w:tc>
        <w:tc>
          <w:tcPr>
            <w:tcW w:type="dxa" w:w="17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期望利润/元</w:t>
            </w:r>
          </w:p>
        </w:tc>
        <w:tc>
          <w:tcPr>
            <w:tcW w:type="dxa" w:w="17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最差10%利润/元</w:t>
            </w:r>
          </w:p>
        </w:tc>
        <w:tc>
          <w:tcPr>
            <w:tcW w:type="dxa" w:w="182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7"/>
              </w:rPr>
              <w:t>选品Jaccard</w:t>
            </w:r>
          </w:p>
        </w:tc>
      </w:tr>
      <w:tr>
        <w:tc>
          <w:tcPr>
            <w:tcW w:type="dxa" w:w="1000"/>
          </w:tcPr>
          <w:p>
            <w:pPr>
              <w:spacing w:before="0" w:after="0" w:line="252" w:lineRule="auto"/>
              <w:jc w:val="center"/>
            </w:pPr>
            <w:r>
              <w:rPr>
                <w:rFonts w:ascii="Times New Roman" w:hAnsi="Times New Roman" w:eastAsia="宋体"/>
                <w:color w:val="182B3A"/>
                <w:sz w:val="17"/>
              </w:rPr>
              <w:t>基准</w:t>
            </w:r>
          </w:p>
        </w:tc>
        <w:tc>
          <w:tcPr>
            <w:tcW w:type="dxa" w:w="1430"/>
          </w:tcPr>
          <w:p>
            <w:pPr>
              <w:spacing w:before="0" w:after="0" w:line="252" w:lineRule="auto"/>
              <w:jc w:val="left"/>
            </w:pPr>
            <w:r>
              <w:rPr>
                <w:rFonts w:ascii="Times New Roman" w:hAnsi="Times New Roman" w:eastAsia="宋体"/>
                <w:color w:val="182B3A"/>
                <w:sz w:val="17"/>
              </w:rPr>
              <w:t>γ=0.25，h=0.50，上限=1.00</w:t>
            </w:r>
          </w:p>
        </w:tc>
        <w:tc>
          <w:tcPr>
            <w:tcW w:type="dxa" w:w="1320"/>
          </w:tcPr>
          <w:p>
            <w:pPr>
              <w:spacing w:before="0" w:after="0" w:line="252" w:lineRule="auto"/>
              <w:jc w:val="center"/>
            </w:pPr>
            <w:r>
              <w:rPr>
                <w:rFonts w:ascii="Times New Roman" w:hAnsi="Times New Roman" w:eastAsia="宋体"/>
                <w:color w:val="182B3A"/>
                <w:sz w:val="17"/>
              </w:rPr>
              <w:t>77.82</w:t>
            </w:r>
          </w:p>
        </w:tc>
        <w:tc>
          <w:tcPr>
            <w:tcW w:type="dxa" w:w="1750"/>
          </w:tcPr>
          <w:p>
            <w:pPr>
              <w:spacing w:before="0" w:after="0" w:line="252" w:lineRule="auto"/>
              <w:jc w:val="center"/>
            </w:pPr>
            <w:r>
              <w:rPr>
                <w:rFonts w:ascii="Times New Roman" w:hAnsi="Times New Roman" w:eastAsia="宋体"/>
                <w:color w:val="182B3A"/>
                <w:sz w:val="17"/>
              </w:rPr>
              <w:t>163.57</w:t>
            </w:r>
          </w:p>
        </w:tc>
        <w:tc>
          <w:tcPr>
            <w:tcW w:type="dxa" w:w="1750"/>
          </w:tcPr>
          <w:p>
            <w:pPr>
              <w:spacing w:before="0" w:after="0" w:line="252" w:lineRule="auto"/>
              <w:jc w:val="center"/>
            </w:pPr>
            <w:r>
              <w:rPr>
                <w:rFonts w:ascii="Times New Roman" w:hAnsi="Times New Roman" w:eastAsia="宋体"/>
                <w:color w:val="182B3A"/>
                <w:sz w:val="17"/>
              </w:rPr>
              <w:t>-423.21</w:t>
            </w:r>
          </w:p>
        </w:tc>
        <w:tc>
          <w:tcPr>
            <w:tcW w:type="dxa" w:w="1822"/>
          </w:tcPr>
          <w:p>
            <w:pPr>
              <w:spacing w:before="0" w:after="0" w:line="252" w:lineRule="auto"/>
              <w:jc w:val="center"/>
            </w:pPr>
            <w:r>
              <w:rPr>
                <w:rFonts w:ascii="Times New Roman" w:hAnsi="Times New Roman" w:eastAsia="宋体"/>
                <w:color w:val="182B3A"/>
                <w:sz w:val="17"/>
              </w:rPr>
              <w:t>1.000</w:t>
            </w:r>
          </w:p>
        </w:tc>
      </w:tr>
      <w:tr>
        <w:tc>
          <w:tcPr>
            <w:tcW w:type="dxa" w:w="1000"/>
          </w:tcPr>
          <w:p>
            <w:pPr>
              <w:spacing w:before="0" w:after="0" w:line="252" w:lineRule="auto"/>
              <w:jc w:val="center"/>
            </w:pPr>
            <w:r>
              <w:rPr>
                <w:rFonts w:ascii="Times New Roman" w:hAnsi="Times New Roman" w:eastAsia="宋体"/>
                <w:color w:val="182B3A"/>
                <w:sz w:val="17"/>
              </w:rPr>
              <w:t>风险权重 0</w:t>
            </w:r>
          </w:p>
        </w:tc>
        <w:tc>
          <w:tcPr>
            <w:tcW w:type="dxa" w:w="1430"/>
          </w:tcPr>
          <w:p>
            <w:pPr>
              <w:spacing w:before="0" w:after="0" w:line="252" w:lineRule="auto"/>
              <w:jc w:val="left"/>
            </w:pPr>
            <w:r>
              <w:rPr>
                <w:rFonts w:ascii="Times New Roman" w:hAnsi="Times New Roman" w:eastAsia="宋体"/>
                <w:color w:val="182B3A"/>
                <w:sz w:val="17"/>
              </w:rPr>
              <w:t>γ=0</w:t>
            </w:r>
          </w:p>
        </w:tc>
        <w:tc>
          <w:tcPr>
            <w:tcW w:type="dxa" w:w="1320"/>
          </w:tcPr>
          <w:p>
            <w:pPr>
              <w:spacing w:before="0" w:after="0" w:line="252" w:lineRule="auto"/>
              <w:jc w:val="center"/>
            </w:pPr>
            <w:r>
              <w:rPr>
                <w:rFonts w:ascii="Times New Roman" w:hAnsi="Times New Roman" w:eastAsia="宋体"/>
                <w:color w:val="182B3A"/>
                <w:sz w:val="17"/>
              </w:rPr>
              <w:t>77.83</w:t>
            </w:r>
          </w:p>
        </w:tc>
        <w:tc>
          <w:tcPr>
            <w:tcW w:type="dxa" w:w="1750"/>
          </w:tcPr>
          <w:p>
            <w:pPr>
              <w:spacing w:before="0" w:after="0" w:line="252" w:lineRule="auto"/>
              <w:jc w:val="center"/>
            </w:pPr>
            <w:r>
              <w:rPr>
                <w:rFonts w:ascii="Times New Roman" w:hAnsi="Times New Roman" w:eastAsia="宋体"/>
                <w:color w:val="182B3A"/>
                <w:sz w:val="17"/>
              </w:rPr>
              <w:t>167.15</w:t>
            </w:r>
          </w:p>
        </w:tc>
        <w:tc>
          <w:tcPr>
            <w:tcW w:type="dxa" w:w="1750"/>
          </w:tcPr>
          <w:p>
            <w:pPr>
              <w:spacing w:before="0" w:after="0" w:line="252" w:lineRule="auto"/>
              <w:jc w:val="center"/>
            </w:pPr>
            <w:r>
              <w:rPr>
                <w:rFonts w:ascii="Times New Roman" w:hAnsi="Times New Roman" w:eastAsia="宋体"/>
                <w:color w:val="182B3A"/>
                <w:sz w:val="17"/>
              </w:rPr>
              <w:t>-433.01</w:t>
            </w:r>
          </w:p>
        </w:tc>
        <w:tc>
          <w:tcPr>
            <w:tcW w:type="dxa" w:w="1822"/>
          </w:tcPr>
          <w:p>
            <w:pPr>
              <w:spacing w:before="0" w:after="0" w:line="252" w:lineRule="auto"/>
              <w:jc w:val="center"/>
            </w:pPr>
            <w:r>
              <w:rPr>
                <w:rFonts w:ascii="Times New Roman" w:hAnsi="Times New Roman" w:eastAsia="宋体"/>
                <w:color w:val="182B3A"/>
                <w:sz w:val="17"/>
              </w:rPr>
              <w:t>1.000</w:t>
            </w:r>
          </w:p>
        </w:tc>
      </w:tr>
      <w:tr>
        <w:tc>
          <w:tcPr>
            <w:tcW w:type="dxa" w:w="1000"/>
          </w:tcPr>
          <w:p>
            <w:pPr>
              <w:spacing w:before="0" w:after="0" w:line="252" w:lineRule="auto"/>
              <w:jc w:val="center"/>
            </w:pPr>
            <w:r>
              <w:rPr>
                <w:rFonts w:ascii="Times New Roman" w:hAnsi="Times New Roman" w:eastAsia="宋体"/>
                <w:color w:val="182B3A"/>
                <w:sz w:val="17"/>
              </w:rPr>
              <w:t>风险权重 0.5</w:t>
            </w:r>
          </w:p>
        </w:tc>
        <w:tc>
          <w:tcPr>
            <w:tcW w:type="dxa" w:w="1430"/>
          </w:tcPr>
          <w:p>
            <w:pPr>
              <w:spacing w:before="0" w:after="0" w:line="252" w:lineRule="auto"/>
              <w:jc w:val="left"/>
            </w:pPr>
            <w:r>
              <w:rPr>
                <w:rFonts w:ascii="Times New Roman" w:hAnsi="Times New Roman" w:eastAsia="宋体"/>
                <w:color w:val="182B3A"/>
                <w:sz w:val="17"/>
              </w:rPr>
              <w:t>γ=0.50</w:t>
            </w:r>
          </w:p>
        </w:tc>
        <w:tc>
          <w:tcPr>
            <w:tcW w:type="dxa" w:w="1320"/>
          </w:tcPr>
          <w:p>
            <w:pPr>
              <w:spacing w:before="0" w:after="0" w:line="252" w:lineRule="auto"/>
              <w:jc w:val="center"/>
            </w:pPr>
            <w:r>
              <w:rPr>
                <w:rFonts w:ascii="Times New Roman" w:hAnsi="Times New Roman" w:eastAsia="宋体"/>
                <w:color w:val="182B3A"/>
                <w:sz w:val="17"/>
              </w:rPr>
              <w:t>78.01</w:t>
            </w:r>
          </w:p>
        </w:tc>
        <w:tc>
          <w:tcPr>
            <w:tcW w:type="dxa" w:w="1750"/>
          </w:tcPr>
          <w:p>
            <w:pPr>
              <w:spacing w:before="0" w:after="0" w:line="252" w:lineRule="auto"/>
              <w:jc w:val="center"/>
            </w:pPr>
            <w:r>
              <w:rPr>
                <w:rFonts w:ascii="Times New Roman" w:hAnsi="Times New Roman" w:eastAsia="宋体"/>
                <w:color w:val="182B3A"/>
                <w:sz w:val="17"/>
              </w:rPr>
              <w:t>151.17</w:t>
            </w:r>
          </w:p>
        </w:tc>
        <w:tc>
          <w:tcPr>
            <w:tcW w:type="dxa" w:w="1750"/>
          </w:tcPr>
          <w:p>
            <w:pPr>
              <w:spacing w:before="0" w:after="0" w:line="252" w:lineRule="auto"/>
              <w:jc w:val="center"/>
            </w:pPr>
            <w:r>
              <w:rPr>
                <w:rFonts w:ascii="Times New Roman" w:hAnsi="Times New Roman" w:eastAsia="宋体"/>
                <w:color w:val="182B3A"/>
                <w:sz w:val="17"/>
              </w:rPr>
              <w:t>-422.04</w:t>
            </w:r>
          </w:p>
        </w:tc>
        <w:tc>
          <w:tcPr>
            <w:tcW w:type="dxa" w:w="1822"/>
          </w:tcPr>
          <w:p>
            <w:pPr>
              <w:spacing w:before="0" w:after="0" w:line="252" w:lineRule="auto"/>
              <w:jc w:val="center"/>
            </w:pPr>
            <w:r>
              <w:rPr>
                <w:rFonts w:ascii="Times New Roman" w:hAnsi="Times New Roman" w:eastAsia="宋体"/>
                <w:color w:val="182B3A"/>
                <w:sz w:val="17"/>
              </w:rPr>
              <w:t>1.000</w:t>
            </w:r>
          </w:p>
        </w:tc>
      </w:tr>
      <w:tr>
        <w:tc>
          <w:tcPr>
            <w:tcW w:type="dxa" w:w="1000"/>
          </w:tcPr>
          <w:p>
            <w:pPr>
              <w:spacing w:before="0" w:after="0" w:line="252" w:lineRule="auto"/>
              <w:jc w:val="center"/>
            </w:pPr>
            <w:r>
              <w:rPr>
                <w:rFonts w:ascii="Times New Roman" w:hAnsi="Times New Roman" w:eastAsia="宋体"/>
                <w:color w:val="182B3A"/>
                <w:sz w:val="17"/>
              </w:rPr>
              <w:t>弹性 ×0.8</w:t>
            </w:r>
          </w:p>
        </w:tc>
        <w:tc>
          <w:tcPr>
            <w:tcW w:type="dxa" w:w="1430"/>
          </w:tcPr>
          <w:p>
            <w:pPr>
              <w:spacing w:before="0" w:after="0" w:line="252" w:lineRule="auto"/>
              <w:jc w:val="left"/>
            </w:pPr>
            <w:r>
              <w:rPr>
                <w:rFonts w:ascii="Times New Roman" w:hAnsi="Times New Roman" w:eastAsia="宋体"/>
                <w:color w:val="182B3A"/>
                <w:sz w:val="17"/>
              </w:rPr>
              <w:t>ε×0.8</w:t>
            </w:r>
          </w:p>
        </w:tc>
        <w:tc>
          <w:tcPr>
            <w:tcW w:type="dxa" w:w="1320"/>
          </w:tcPr>
          <w:p>
            <w:pPr>
              <w:spacing w:before="0" w:after="0" w:line="252" w:lineRule="auto"/>
              <w:jc w:val="center"/>
            </w:pPr>
            <w:r>
              <w:rPr>
                <w:rFonts w:ascii="Times New Roman" w:hAnsi="Times New Roman" w:eastAsia="宋体"/>
                <w:color w:val="182B3A"/>
                <w:sz w:val="17"/>
              </w:rPr>
              <w:t>77.73</w:t>
            </w:r>
          </w:p>
        </w:tc>
        <w:tc>
          <w:tcPr>
            <w:tcW w:type="dxa" w:w="1750"/>
          </w:tcPr>
          <w:p>
            <w:pPr>
              <w:spacing w:before="0" w:after="0" w:line="252" w:lineRule="auto"/>
              <w:jc w:val="center"/>
            </w:pPr>
            <w:r>
              <w:rPr>
                <w:rFonts w:ascii="Times New Roman" w:hAnsi="Times New Roman" w:eastAsia="宋体"/>
                <w:color w:val="182B3A"/>
                <w:sz w:val="17"/>
              </w:rPr>
              <w:t>178.07</w:t>
            </w:r>
          </w:p>
        </w:tc>
        <w:tc>
          <w:tcPr>
            <w:tcW w:type="dxa" w:w="1750"/>
          </w:tcPr>
          <w:p>
            <w:pPr>
              <w:spacing w:before="0" w:after="0" w:line="252" w:lineRule="auto"/>
              <w:jc w:val="center"/>
            </w:pPr>
            <w:r>
              <w:rPr>
                <w:rFonts w:ascii="Times New Roman" w:hAnsi="Times New Roman" w:eastAsia="宋体"/>
                <w:color w:val="182B3A"/>
                <w:sz w:val="17"/>
              </w:rPr>
              <w:t>-411.75</w:t>
            </w:r>
          </w:p>
        </w:tc>
        <w:tc>
          <w:tcPr>
            <w:tcW w:type="dxa" w:w="1822"/>
          </w:tcPr>
          <w:p>
            <w:pPr>
              <w:spacing w:before="0" w:after="0" w:line="252" w:lineRule="auto"/>
              <w:jc w:val="center"/>
            </w:pPr>
            <w:r>
              <w:rPr>
                <w:rFonts w:ascii="Times New Roman" w:hAnsi="Times New Roman" w:eastAsia="宋体"/>
                <w:color w:val="182B3A"/>
                <w:sz w:val="17"/>
              </w:rPr>
              <w:t>1.000</w:t>
            </w:r>
          </w:p>
        </w:tc>
      </w:tr>
      <w:tr>
        <w:tc>
          <w:tcPr>
            <w:tcW w:type="dxa" w:w="1000"/>
          </w:tcPr>
          <w:p>
            <w:pPr>
              <w:spacing w:before="0" w:after="0" w:line="252" w:lineRule="auto"/>
              <w:jc w:val="center"/>
            </w:pPr>
            <w:r>
              <w:rPr>
                <w:rFonts w:ascii="Times New Roman" w:hAnsi="Times New Roman" w:eastAsia="宋体"/>
                <w:color w:val="182B3A"/>
                <w:sz w:val="17"/>
              </w:rPr>
              <w:t>弹性 ×1.2</w:t>
            </w:r>
          </w:p>
        </w:tc>
        <w:tc>
          <w:tcPr>
            <w:tcW w:type="dxa" w:w="1430"/>
          </w:tcPr>
          <w:p>
            <w:pPr>
              <w:spacing w:before="0" w:after="0" w:line="252" w:lineRule="auto"/>
              <w:jc w:val="left"/>
            </w:pPr>
            <w:r>
              <w:rPr>
                <w:rFonts w:ascii="Times New Roman" w:hAnsi="Times New Roman" w:eastAsia="宋体"/>
                <w:color w:val="182B3A"/>
                <w:sz w:val="17"/>
              </w:rPr>
              <w:t>ε×1.2</w:t>
            </w:r>
          </w:p>
        </w:tc>
        <w:tc>
          <w:tcPr>
            <w:tcW w:type="dxa" w:w="1320"/>
          </w:tcPr>
          <w:p>
            <w:pPr>
              <w:spacing w:before="0" w:after="0" w:line="252" w:lineRule="auto"/>
              <w:jc w:val="center"/>
            </w:pPr>
            <w:r>
              <w:rPr>
                <w:rFonts w:ascii="Times New Roman" w:hAnsi="Times New Roman" w:eastAsia="宋体"/>
                <w:color w:val="182B3A"/>
                <w:sz w:val="17"/>
              </w:rPr>
              <w:t>77.95</w:t>
            </w:r>
          </w:p>
        </w:tc>
        <w:tc>
          <w:tcPr>
            <w:tcW w:type="dxa" w:w="1750"/>
          </w:tcPr>
          <w:p>
            <w:pPr>
              <w:spacing w:before="0" w:after="0" w:line="252" w:lineRule="auto"/>
              <w:jc w:val="center"/>
            </w:pPr>
            <w:r>
              <w:rPr>
                <w:rFonts w:ascii="Times New Roman" w:hAnsi="Times New Roman" w:eastAsia="宋体"/>
                <w:color w:val="182B3A"/>
                <w:sz w:val="17"/>
              </w:rPr>
              <w:t>153.26</w:t>
            </w:r>
          </w:p>
        </w:tc>
        <w:tc>
          <w:tcPr>
            <w:tcW w:type="dxa" w:w="1750"/>
          </w:tcPr>
          <w:p>
            <w:pPr>
              <w:spacing w:before="0" w:after="0" w:line="252" w:lineRule="auto"/>
              <w:jc w:val="center"/>
            </w:pPr>
            <w:r>
              <w:rPr>
                <w:rFonts w:ascii="Times New Roman" w:hAnsi="Times New Roman" w:eastAsia="宋体"/>
                <w:color w:val="182B3A"/>
                <w:sz w:val="17"/>
              </w:rPr>
              <w:t>-433.02</w:t>
            </w:r>
          </w:p>
        </w:tc>
        <w:tc>
          <w:tcPr>
            <w:tcW w:type="dxa" w:w="1822"/>
          </w:tcPr>
          <w:p>
            <w:pPr>
              <w:spacing w:before="0" w:after="0" w:line="252" w:lineRule="auto"/>
              <w:jc w:val="center"/>
            </w:pPr>
            <w:r>
              <w:rPr>
                <w:rFonts w:ascii="Times New Roman" w:hAnsi="Times New Roman" w:eastAsia="宋体"/>
                <w:color w:val="182B3A"/>
                <w:sz w:val="17"/>
              </w:rPr>
              <w:t>1.000</w:t>
            </w:r>
          </w:p>
        </w:tc>
      </w:tr>
      <w:tr>
        <w:tc>
          <w:tcPr>
            <w:tcW w:type="dxa" w:w="1000"/>
          </w:tcPr>
          <w:p>
            <w:pPr>
              <w:spacing w:before="0" w:after="0" w:line="252" w:lineRule="auto"/>
              <w:jc w:val="center"/>
            </w:pPr>
            <w:r>
              <w:rPr>
                <w:rFonts w:ascii="Times New Roman" w:hAnsi="Times New Roman" w:eastAsia="宋体"/>
                <w:color w:val="182B3A"/>
                <w:sz w:val="17"/>
              </w:rPr>
              <w:t>历史份额权重 0.25</w:t>
            </w:r>
          </w:p>
        </w:tc>
        <w:tc>
          <w:tcPr>
            <w:tcW w:type="dxa" w:w="1430"/>
          </w:tcPr>
          <w:p>
            <w:pPr>
              <w:spacing w:before="0" w:after="0" w:line="252" w:lineRule="auto"/>
              <w:jc w:val="left"/>
            </w:pPr>
            <w:r>
              <w:rPr>
                <w:rFonts w:ascii="Times New Roman" w:hAnsi="Times New Roman" w:eastAsia="宋体"/>
                <w:color w:val="182B3A"/>
                <w:sz w:val="17"/>
              </w:rPr>
              <w:t>h=0.25</w:t>
            </w:r>
          </w:p>
        </w:tc>
        <w:tc>
          <w:tcPr>
            <w:tcW w:type="dxa" w:w="1320"/>
          </w:tcPr>
          <w:p>
            <w:pPr>
              <w:spacing w:before="0" w:after="0" w:line="252" w:lineRule="auto"/>
              <w:jc w:val="center"/>
            </w:pPr>
            <w:r>
              <w:rPr>
                <w:rFonts w:ascii="Times New Roman" w:hAnsi="Times New Roman" w:eastAsia="宋体"/>
                <w:color w:val="182B3A"/>
                <w:sz w:val="17"/>
              </w:rPr>
              <w:t>82.84</w:t>
            </w:r>
          </w:p>
        </w:tc>
        <w:tc>
          <w:tcPr>
            <w:tcW w:type="dxa" w:w="1750"/>
          </w:tcPr>
          <w:p>
            <w:pPr>
              <w:spacing w:before="0" w:after="0" w:line="252" w:lineRule="auto"/>
              <w:jc w:val="center"/>
            </w:pPr>
            <w:r>
              <w:rPr>
                <w:rFonts w:ascii="Times New Roman" w:hAnsi="Times New Roman" w:eastAsia="宋体"/>
                <w:color w:val="182B3A"/>
                <w:sz w:val="17"/>
              </w:rPr>
              <w:t>356.31</w:t>
            </w:r>
          </w:p>
        </w:tc>
        <w:tc>
          <w:tcPr>
            <w:tcW w:type="dxa" w:w="1750"/>
          </w:tcPr>
          <w:p>
            <w:pPr>
              <w:spacing w:before="0" w:after="0" w:line="252" w:lineRule="auto"/>
              <w:jc w:val="center"/>
            </w:pPr>
            <w:r>
              <w:rPr>
                <w:rFonts w:ascii="Times New Roman" w:hAnsi="Times New Roman" w:eastAsia="宋体"/>
                <w:color w:val="182B3A"/>
                <w:sz w:val="17"/>
              </w:rPr>
              <w:t>-269.74</w:t>
            </w:r>
          </w:p>
        </w:tc>
        <w:tc>
          <w:tcPr>
            <w:tcW w:type="dxa" w:w="1822"/>
          </w:tcPr>
          <w:p>
            <w:pPr>
              <w:spacing w:before="0" w:after="0" w:line="252" w:lineRule="auto"/>
              <w:jc w:val="center"/>
            </w:pPr>
            <w:r>
              <w:rPr>
                <w:rFonts w:ascii="Times New Roman" w:hAnsi="Times New Roman" w:eastAsia="宋体"/>
                <w:color w:val="182B3A"/>
                <w:sz w:val="17"/>
              </w:rPr>
              <w:t>0.941</w:t>
            </w:r>
          </w:p>
        </w:tc>
      </w:tr>
      <w:tr>
        <w:tc>
          <w:tcPr>
            <w:tcW w:type="dxa" w:w="1000"/>
          </w:tcPr>
          <w:p>
            <w:pPr>
              <w:spacing w:before="0" w:after="0" w:line="252" w:lineRule="auto"/>
              <w:jc w:val="center"/>
            </w:pPr>
            <w:r>
              <w:rPr>
                <w:rFonts w:ascii="Times New Roman" w:hAnsi="Times New Roman" w:eastAsia="宋体"/>
                <w:color w:val="182B3A"/>
                <w:sz w:val="17"/>
              </w:rPr>
              <w:t>历史份额权重 0.75</w:t>
            </w:r>
          </w:p>
        </w:tc>
        <w:tc>
          <w:tcPr>
            <w:tcW w:type="dxa" w:w="1430"/>
          </w:tcPr>
          <w:p>
            <w:pPr>
              <w:spacing w:before="0" w:after="0" w:line="252" w:lineRule="auto"/>
              <w:jc w:val="left"/>
            </w:pPr>
            <w:r>
              <w:rPr>
                <w:rFonts w:ascii="Times New Roman" w:hAnsi="Times New Roman" w:eastAsia="宋体"/>
                <w:color w:val="182B3A"/>
                <w:sz w:val="17"/>
              </w:rPr>
              <w:t>h=0.75</w:t>
            </w:r>
          </w:p>
        </w:tc>
        <w:tc>
          <w:tcPr>
            <w:tcW w:type="dxa" w:w="1320"/>
          </w:tcPr>
          <w:p>
            <w:pPr>
              <w:spacing w:before="0" w:after="0" w:line="252" w:lineRule="auto"/>
              <w:jc w:val="center"/>
            </w:pPr>
            <w:r>
              <w:rPr>
                <w:rFonts w:ascii="Times New Roman" w:hAnsi="Times New Roman" w:eastAsia="宋体"/>
                <w:color w:val="182B3A"/>
                <w:sz w:val="17"/>
              </w:rPr>
              <w:t>71.87</w:t>
            </w:r>
          </w:p>
        </w:tc>
        <w:tc>
          <w:tcPr>
            <w:tcW w:type="dxa" w:w="1750"/>
          </w:tcPr>
          <w:p>
            <w:pPr>
              <w:spacing w:before="0" w:after="0" w:line="252" w:lineRule="auto"/>
              <w:jc w:val="center"/>
            </w:pPr>
            <w:r>
              <w:rPr>
                <w:rFonts w:ascii="Times New Roman" w:hAnsi="Times New Roman" w:eastAsia="宋体"/>
                <w:color w:val="182B3A"/>
                <w:sz w:val="17"/>
              </w:rPr>
              <w:t>-52.24</w:t>
            </w:r>
          </w:p>
        </w:tc>
        <w:tc>
          <w:tcPr>
            <w:tcW w:type="dxa" w:w="1750"/>
          </w:tcPr>
          <w:p>
            <w:pPr>
              <w:spacing w:before="0" w:after="0" w:line="252" w:lineRule="auto"/>
              <w:jc w:val="center"/>
            </w:pPr>
            <w:r>
              <w:rPr>
                <w:rFonts w:ascii="Times New Roman" w:hAnsi="Times New Roman" w:eastAsia="宋体"/>
                <w:color w:val="182B3A"/>
                <w:sz w:val="17"/>
              </w:rPr>
              <w:t>-600.37</w:t>
            </w:r>
          </w:p>
        </w:tc>
        <w:tc>
          <w:tcPr>
            <w:tcW w:type="dxa" w:w="1822"/>
          </w:tcPr>
          <w:p>
            <w:pPr>
              <w:spacing w:before="0" w:after="0" w:line="252" w:lineRule="auto"/>
              <w:jc w:val="center"/>
            </w:pPr>
            <w:r>
              <w:rPr>
                <w:rFonts w:ascii="Times New Roman" w:hAnsi="Times New Roman" w:eastAsia="宋体"/>
                <w:color w:val="182B3A"/>
                <w:sz w:val="17"/>
              </w:rPr>
              <w:t>0.833</w:t>
            </w:r>
          </w:p>
        </w:tc>
      </w:tr>
      <w:tr>
        <w:tc>
          <w:tcPr>
            <w:tcW w:type="dxa" w:w="1000"/>
          </w:tcPr>
          <w:p>
            <w:pPr>
              <w:spacing w:before="0" w:after="0" w:line="252" w:lineRule="auto"/>
              <w:jc w:val="center"/>
            </w:pPr>
            <w:r>
              <w:rPr>
                <w:rFonts w:ascii="Times New Roman" w:hAnsi="Times New Roman" w:eastAsia="宋体"/>
                <w:color w:val="182B3A"/>
                <w:sz w:val="17"/>
              </w:rPr>
              <w:t>补货上限 0.85</w:t>
            </w:r>
          </w:p>
        </w:tc>
        <w:tc>
          <w:tcPr>
            <w:tcW w:type="dxa" w:w="1430"/>
          </w:tcPr>
          <w:p>
            <w:pPr>
              <w:spacing w:before="0" w:after="0" w:line="252" w:lineRule="auto"/>
              <w:jc w:val="left"/>
            </w:pPr>
            <w:r>
              <w:rPr>
                <w:rFonts w:ascii="Times New Roman" w:hAnsi="Times New Roman" w:eastAsia="宋体"/>
                <w:color w:val="182B3A"/>
                <w:sz w:val="17"/>
              </w:rPr>
              <w:t>Q上限×0.85</w:t>
            </w:r>
          </w:p>
        </w:tc>
        <w:tc>
          <w:tcPr>
            <w:tcW w:type="dxa" w:w="1320"/>
          </w:tcPr>
          <w:p>
            <w:pPr>
              <w:spacing w:before="0" w:after="0" w:line="252" w:lineRule="auto"/>
              <w:jc w:val="center"/>
            </w:pPr>
            <w:r>
              <w:rPr>
                <w:rFonts w:ascii="Times New Roman" w:hAnsi="Times New Roman" w:eastAsia="宋体"/>
                <w:color w:val="182B3A"/>
                <w:sz w:val="17"/>
              </w:rPr>
              <w:t>74.45</w:t>
            </w:r>
          </w:p>
        </w:tc>
        <w:tc>
          <w:tcPr>
            <w:tcW w:type="dxa" w:w="1750"/>
          </w:tcPr>
          <w:p>
            <w:pPr>
              <w:spacing w:before="0" w:after="0" w:line="252" w:lineRule="auto"/>
              <w:jc w:val="center"/>
            </w:pPr>
            <w:r>
              <w:rPr>
                <w:rFonts w:ascii="Times New Roman" w:hAnsi="Times New Roman" w:eastAsia="宋体"/>
                <w:color w:val="182B3A"/>
                <w:sz w:val="17"/>
              </w:rPr>
              <w:t>235.02</w:t>
            </w:r>
          </w:p>
        </w:tc>
        <w:tc>
          <w:tcPr>
            <w:tcW w:type="dxa" w:w="1750"/>
          </w:tcPr>
          <w:p>
            <w:pPr>
              <w:spacing w:before="0" w:after="0" w:line="252" w:lineRule="auto"/>
              <w:jc w:val="center"/>
            </w:pPr>
            <w:r>
              <w:rPr>
                <w:rFonts w:ascii="Times New Roman" w:hAnsi="Times New Roman" w:eastAsia="宋体"/>
                <w:color w:val="182B3A"/>
                <w:sz w:val="17"/>
              </w:rPr>
              <w:t>-265.38</w:t>
            </w:r>
          </w:p>
        </w:tc>
        <w:tc>
          <w:tcPr>
            <w:tcW w:type="dxa" w:w="1822"/>
          </w:tcPr>
          <w:p>
            <w:pPr>
              <w:spacing w:before="0" w:after="0" w:line="252" w:lineRule="auto"/>
              <w:jc w:val="center"/>
            </w:pPr>
            <w:r>
              <w:rPr>
                <w:rFonts w:ascii="Times New Roman" w:hAnsi="Times New Roman" w:eastAsia="宋体"/>
                <w:color w:val="182B3A"/>
                <w:sz w:val="17"/>
              </w:rPr>
              <w:t>1.000</w:t>
            </w:r>
          </w:p>
        </w:tc>
      </w:tr>
      <w:tr>
        <w:tc>
          <w:tcPr>
            <w:tcW w:type="dxa" w:w="1000"/>
          </w:tcPr>
          <w:p>
            <w:pPr>
              <w:spacing w:before="0" w:after="0" w:line="252" w:lineRule="auto"/>
              <w:jc w:val="center"/>
            </w:pPr>
            <w:r>
              <w:rPr>
                <w:rFonts w:ascii="Times New Roman" w:hAnsi="Times New Roman" w:eastAsia="宋体"/>
                <w:color w:val="182B3A"/>
                <w:sz w:val="17"/>
              </w:rPr>
              <w:t>补货上限 0.925</w:t>
            </w:r>
          </w:p>
        </w:tc>
        <w:tc>
          <w:tcPr>
            <w:tcW w:type="dxa" w:w="1430"/>
          </w:tcPr>
          <w:p>
            <w:pPr>
              <w:spacing w:before="0" w:after="0" w:line="252" w:lineRule="auto"/>
              <w:jc w:val="left"/>
            </w:pPr>
            <w:r>
              <w:rPr>
                <w:rFonts w:ascii="Times New Roman" w:hAnsi="Times New Roman" w:eastAsia="宋体"/>
                <w:color w:val="182B3A"/>
                <w:sz w:val="17"/>
              </w:rPr>
              <w:t>Q上限×0.925</w:t>
            </w:r>
          </w:p>
        </w:tc>
        <w:tc>
          <w:tcPr>
            <w:tcW w:type="dxa" w:w="1320"/>
          </w:tcPr>
          <w:p>
            <w:pPr>
              <w:spacing w:before="0" w:after="0" w:line="252" w:lineRule="auto"/>
              <w:jc w:val="center"/>
            </w:pPr>
            <w:r>
              <w:rPr>
                <w:rFonts w:ascii="Times New Roman" w:hAnsi="Times New Roman" w:eastAsia="宋体"/>
                <w:color w:val="182B3A"/>
                <w:sz w:val="17"/>
              </w:rPr>
              <w:t>76.28</w:t>
            </w:r>
          </w:p>
        </w:tc>
        <w:tc>
          <w:tcPr>
            <w:tcW w:type="dxa" w:w="1750"/>
          </w:tcPr>
          <w:p>
            <w:pPr>
              <w:spacing w:before="0" w:after="0" w:line="252" w:lineRule="auto"/>
              <w:jc w:val="center"/>
            </w:pPr>
            <w:r>
              <w:rPr>
                <w:rFonts w:ascii="Times New Roman" w:hAnsi="Times New Roman" w:eastAsia="宋体"/>
                <w:color w:val="182B3A"/>
                <w:sz w:val="17"/>
              </w:rPr>
              <w:t>196.73</w:t>
            </w:r>
          </w:p>
        </w:tc>
        <w:tc>
          <w:tcPr>
            <w:tcW w:type="dxa" w:w="1750"/>
          </w:tcPr>
          <w:p>
            <w:pPr>
              <w:spacing w:before="0" w:after="0" w:line="252" w:lineRule="auto"/>
              <w:jc w:val="center"/>
            </w:pPr>
            <w:r>
              <w:rPr>
                <w:rFonts w:ascii="Times New Roman" w:hAnsi="Times New Roman" w:eastAsia="宋体"/>
                <w:color w:val="182B3A"/>
                <w:sz w:val="17"/>
              </w:rPr>
              <w:t>-346.27</w:t>
            </w:r>
          </w:p>
        </w:tc>
        <w:tc>
          <w:tcPr>
            <w:tcW w:type="dxa" w:w="1822"/>
          </w:tcPr>
          <w:p>
            <w:pPr>
              <w:spacing w:before="0" w:after="0" w:line="252" w:lineRule="auto"/>
              <w:jc w:val="center"/>
            </w:pPr>
            <w:r>
              <w:rPr>
                <w:rFonts w:ascii="Times New Roman" w:hAnsi="Times New Roman" w:eastAsia="宋体"/>
                <w:color w:val="182B3A"/>
                <w:sz w:val="17"/>
              </w:rPr>
              <w:t>1.000</w:t>
            </w:r>
          </w:p>
        </w:tc>
      </w:tr>
    </w:tbl>
    <w:p>
      <w:pPr>
        <w:widowControl/>
        <w:spacing w:after="40"/>
      </w:pPr>
    </w:p>
    <w:p>
      <w:pPr>
        <w:widowControl/>
      </w:pPr>
      <w:r>
        <w:t>风险权重和弹性在所设范围内不会改变 33 个单品的选品集合，说明组合结构对这两类参数较稳定；它们主要改变价格与订货量。历史份额权重的扰动同时改变服务、利润和选品，是最敏感因素。补货上限从 100% 降至 85% 时，满足率下降 3.37 个百分点，但期望利润反而上升 71.47 元，说明服务优先模型在完整上限下为提高覆盖承担了额外库存和损耗；这正是词典序目标所揭示的服务-利润边界。</w:t>
      </w:r>
    </w:p>
    <w:p>
      <w:pPr>
        <w:widowControl/>
      </w:pPr>
      <w:r>
        <w:t>所有 9 个方案的最差 10% 平均利润均为负，范围为 -600.37 至 -265.38 元。因此灵敏度分析的合格结论应表述为：主方案在服务率与选品结构上具有较好稳定性，且明显优于朴素基线；但单品份额结构和极端场景亏损仍是主要风险，实际应用应结合当天到货价与开店后早期销量进行滚动修正。</w:t>
      </w:r>
    </w:p>
    <w:p>
      <w:pPr>
        <w:pStyle w:val="Heading2"/>
        <w:widowControl/>
      </w:pPr>
      <w:r>
        <w:t>5.7 模型评价</w:t>
      </w:r>
    </w:p>
    <w:p>
      <w:pPr>
        <w:pStyle w:val="Heading3"/>
        <w:widowControl/>
      </w:pPr>
      <w:r>
        <w:t>5.7.1 模型优点</w:t>
      </w:r>
    </w:p>
    <w:p>
      <w:pPr>
        <w:pStyle w:val="ListBullet"/>
        <w:widowControl/>
        <w:numPr>
          <w:ilvl w:val="0"/>
          <w:numId w:val="12"/>
        </w:numPr>
      </w:pPr>
      <w:r>
        <w:t>题意与数据口径高度一致。候选集合严格由规定窗口的正销量识别为 49 个单品，最终 33 个单品全部来自该集合，最低订货量为 2.5 kg，总订货量 362.444 kg 位于第二问结果 ±0.05% 的衔接带内。83 项独立检查全部通过，减少了日期、单位和汇总口径错误。</w:t>
      </w:r>
    </w:p>
    <w:p>
      <w:pPr>
        <w:pStyle w:val="ListBullet"/>
        <w:widowControl/>
        <w:numPr>
          <w:ilvl w:val="0"/>
          <w:numId w:val="12"/>
        </w:numPr>
      </w:pPr>
      <w:r>
        <w:t>目标优先级符合实际经营。模型先优化六品类等权服务，再在工程近优容差内优化利润，避免用主观罚系数混合不同量纲。相对透明基线，需求满足率提高 13.21 个百分点，期望利润增加 107.10 元，服务与收益同时改善。</w:t>
      </w:r>
    </w:p>
    <w:p>
      <w:pPr>
        <w:pStyle w:val="ListBullet"/>
        <w:widowControl/>
        <w:numPr>
          <w:ilvl w:val="0"/>
          <w:numId w:val="12"/>
        </w:numPr>
      </w:pPr>
      <w:r>
        <w:t>能处理需求、成本和单品结构的联合不确定性。模型在 60 个代表场景上优化并用完整 600 场景评价，还报告最差 10% 平均利润。代表-完整场景服务损失差仅 0.00749，六折满足率标准差仅 0.00940，说明场景压缩具有较好泛化性。</w:t>
      </w:r>
    </w:p>
    <w:p>
      <w:pPr>
        <w:pStyle w:val="ListBullet"/>
        <w:widowControl/>
        <w:numPr>
          <w:ilvl w:val="0"/>
          <w:numId w:val="12"/>
        </w:numPr>
      </w:pPr>
      <w:r>
        <w:t>复杂度与可执行性平衡良好。定价使用历史加价率形成 0.1 元/kg 精度的有限网格，结果可以直接落地；紧 Big-M、第一阶段等价复用和验证式缓存把重复求解时间从 642.2 s 降至 322.9 s，减少 49.7%，同时保持场景数、约束和 1×10^-7 求解间隙不变。</w:t>
      </w:r>
    </w:p>
    <w:p>
      <w:pPr>
        <w:pStyle w:val="ListBullet"/>
        <w:widowControl/>
        <w:numPr>
          <w:ilvl w:val="0"/>
          <w:numId w:val="12"/>
        </w:numPr>
      </w:pPr>
      <w:r>
        <w:t>创新建立在现有数据可支持的范围内。模型融合经验贝叶斯份额、跨问场景复用、词典序 MILP 和尾部风险，但没有因第一问关联网络覆盖不足而强行加入替代惩罚。该取舍提高了可解释性，也便于在其他生鲜门店中替换数据后复用。</w:t>
      </w:r>
    </w:p>
    <w:p>
      <w:pPr>
        <w:pStyle w:val="Heading3"/>
        <w:widowControl/>
      </w:pPr>
      <w:r>
        <w:t>5.7.2 模型缺点</w:t>
      </w:r>
    </w:p>
    <w:p>
      <w:pPr>
        <w:pStyle w:val="ListBullet"/>
        <w:widowControl/>
        <w:numPr>
          <w:ilvl w:val="0"/>
          <w:numId w:val="13"/>
        </w:numPr>
      </w:pPr>
      <w:r>
        <w:t>单品需求份额仍是主要不确定来源。历史份额权重从 0.25 变到 0.75 时，满足率范围达到 71.86%-82.83%，期望利润范围达到 -51.83-356.56 元，说明仅靠日汇总销量难以完全识别顾客真实偏好。需要逐时库存、缺货时点和陈列曝光数据进一步校正。</w:t>
      </w:r>
    </w:p>
    <w:p>
      <w:pPr>
        <w:pStyle w:val="ListBullet"/>
        <w:widowControl/>
        <w:numPr>
          <w:ilvl w:val="0"/>
          <w:numId w:val="13"/>
        </w:numPr>
      </w:pPr>
      <w:r>
        <w:t>模型未显式刻画单品间替代和购物篮效应。第一问对候选的覆盖为 26/49，明确关系只有 9 对，现有证据不足以建立可靠替代矩阵。因此当前需求在品类内通过份额分配，而不是由顾客选择模型内生决定；若发生大面积缺货，模型可能低估需求转移。</w:t>
      </w:r>
    </w:p>
    <w:p>
      <w:pPr>
        <w:pStyle w:val="ListBullet"/>
        <w:widowControl/>
        <w:numPr>
          <w:ilvl w:val="0"/>
          <w:numId w:val="13"/>
        </w:numPr>
      </w:pPr>
      <w:r>
        <w:t>极端场景仍存在亏损。基准方案最差 10% 平均利润为 -423.21 元，所有灵敏度方案的尾部利润均为负。模型能够识别并缓和风险，但不能在服务优先和现有补货机制下保证每个场景盈利。实际经营中应在凌晨真实批发价到达后快速重求解，或设置可接受亏损上限进行二次风险约束。</w:t>
      </w:r>
    </w:p>
    <w:p>
      <w:pPr>
        <w:pStyle w:val="Heading1"/>
        <w:widowControl/>
      </w:pPr>
      <w:r>
        <w:t>6 结论</w:t>
      </w:r>
    </w:p>
    <w:p>
      <w:pPr>
        <w:widowControl/>
      </w:pPr>
      <w:r>
        <w:t>第三问最终建立了一个与实际数据和前两问结果一致的单品级联合决策模型。模型从规定窗口识别 49 个候选，以经验贝叶斯动态份额把第二问品类需求分解到单品，利用历史加价率形成可执行价格网格，再通过两阶段词典序场景 MILP 同时决定选品、定价和补货。最终选择 33 个单品，总订货量 362.444 kg，完整 600 场景需求满足率 77.82%，期望利润 163.57 元；相对透明基线，满足率提高 13.21 个百分点、期望利润增加 107.10 元。</w:t>
      </w:r>
    </w:p>
    <w:p>
      <w:pPr>
        <w:widowControl/>
      </w:pPr>
      <w:r>
        <w:t>模型检验与灵敏度分析表明，代表场景压缩和场景分折具有较好稳定性，风险权重和弹性扰动不改变选品集合；同时，单品历史份额和极端场景亏损是必须保留的风险提示。因此该方案符合题意、结果数值与约束关系正常，可以作为论文第三问的主体模型和 7 月 1 日的实际经营建议。</w:t>
      </w:r>
    </w:p>
    <w:p>
      <w:pPr>
        <w:widowControl/>
      </w:pPr>
      <w:r>
        <w:br w:type="page"/>
      </w:r>
    </w:p>
    <w:p>
      <w:pPr>
        <w:pStyle w:val="Heading1"/>
        <w:widowControl/>
      </w:pPr>
      <w:r>
        <w:t>参考文献</w:t>
      </w:r>
    </w:p>
    <w:p>
      <w:pPr>
        <w:widowControl/>
        <w:spacing w:line="276" w:lineRule="auto" w:after="100"/>
        <w:ind w:hanging="369" w:left="369"/>
      </w:pPr>
      <w:r>
        <w:t>[1] Fang F, Nguyen T-D, Currie C S M. Joint pricing and inventory decisions for substitutable and perishable products under demand uncertainty[J]. European Journal of Operational Research, 2021, 293(2): 594-602. DOI: 10.1016/j.ejor.2020.08.002.</w:t>
      </w:r>
    </w:p>
    <w:p>
      <w:pPr>
        <w:widowControl/>
        <w:spacing w:line="276" w:lineRule="auto" w:after="100"/>
        <w:ind w:hanging="369" w:left="369"/>
      </w:pPr>
      <w:r>
        <w:t>[2] Castellano D, Gallo M, Grassi A, Santillo L C. Optimizing product assortment, joint replenishments, and storage capacity allocation in a deteriorating inventory system[J]. IFAC-PapersOnLine, 2022, 55(10): 2695-2700. DOI: 10.1016/j.ifacol.2022.10.117.</w:t>
      </w:r>
    </w:p>
    <w:p>
      <w:pPr>
        <w:widowControl/>
        <w:spacing w:line="276" w:lineRule="auto" w:after="100"/>
        <w:ind w:hanging="369" w:left="369"/>
      </w:pPr>
      <w:r>
        <w:t>[3] Mani V, Thomas D J, Bansal S. Estimating substitution and basket effects in retail stores: Implications for assortment planning[J]. Management Science, 2022, 68(7): 5002-5024. DOI: 10.1287/mnsc.2021.4128.</w:t>
      </w:r>
    </w:p>
    <w:p>
      <w:pPr>
        <w:widowControl/>
      </w:pPr>
      <w:r>
        <w:br w:type="page"/>
      </w:r>
    </w:p>
    <w:p>
      <w:pPr>
        <w:pStyle w:val="Heading1"/>
        <w:widowControl/>
      </w:pPr>
      <w:r>
        <w:t>附录 A：7 月 1 日单品执行清单</w:t>
      </w:r>
    </w:p>
    <w:p>
      <w:pPr>
        <w:widowControl/>
      </w:pPr>
      <w:r>
        <w:t>附录表由 q3_daily_strategy.csv 中 33 个入选单品自动生成，列出单品名称、所属品类、建议售价、订货量、期望销量、缺货概率和期望利润。单品编码及更多诊断字段保留在原始输出表中，便于复核和门店系统导入。</w:t>
      </w:r>
    </w:p>
    <w:p>
      <w:pPr>
        <w:pStyle w:val="Heading2"/>
        <w:keepNext/>
        <w:widowControl/>
      </w:pPr>
      <w:r>
        <w:t>附录 A.1 水生根茎类</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000"/>
        <w:gridCol w:w="1800"/>
        <w:gridCol w:w="1000"/>
        <w:gridCol w:w="1250"/>
        <w:gridCol w:w="1250"/>
        <w:gridCol w:w="1100"/>
        <w:gridCol w:w="1672"/>
      </w:tblGrid>
      <w:tr>
        <w:trPr>
          <w:tblHeader w:val="true"/>
        </w:trPr>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序号</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单品名称</w:t>
            </w:r>
          </w:p>
        </w:tc>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售价</w:t>
              <w:br/>
              <w:t>(元/kg)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订货量</w:t>
              <w:br/>
              <w:t>(kg)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期望销量</w:t>
              <w:br/>
              <w:t>(kg)</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缺货概率</w:t>
            </w:r>
          </w:p>
        </w:tc>
        <w:tc>
          <w:tcPr>
            <w:tcW w:type="dxa" w:w="167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期望利润</w:t>
              <w:br/>
              <w:t>(元)</w:t>
            </w:r>
          </w:p>
        </w:tc>
      </w:tr>
      <w:tr>
        <w:tc>
          <w:tcPr>
            <w:tcW w:type="dxa" w:w="1000"/>
          </w:tcPr>
          <w:p>
            <w:pPr>
              <w:spacing w:before="0" w:after="0" w:line="252" w:lineRule="auto"/>
              <w:jc w:val="center"/>
            </w:pPr>
            <w:r>
              <w:rPr>
                <w:rFonts w:ascii="Times New Roman" w:hAnsi="Times New Roman" w:eastAsia="宋体"/>
                <w:color w:val="182B3A"/>
                <w:sz w:val="16"/>
              </w:rPr>
              <w:t>1</w:t>
            </w:r>
          </w:p>
        </w:tc>
        <w:tc>
          <w:tcPr>
            <w:tcW w:type="dxa" w:w="1800"/>
          </w:tcPr>
          <w:p>
            <w:pPr>
              <w:spacing w:before="0" w:after="0" w:line="252" w:lineRule="auto"/>
              <w:jc w:val="left"/>
            </w:pPr>
            <w:r>
              <w:rPr>
                <w:rFonts w:ascii="Times New Roman" w:hAnsi="Times New Roman" w:eastAsia="宋体"/>
                <w:color w:val="182B3A"/>
                <w:sz w:val="16"/>
              </w:rPr>
              <w:t>净藕(1)</w:t>
            </w:r>
          </w:p>
        </w:tc>
        <w:tc>
          <w:tcPr>
            <w:tcW w:type="dxa" w:w="1000"/>
          </w:tcPr>
          <w:p>
            <w:pPr>
              <w:spacing w:before="0" w:after="0" w:line="252" w:lineRule="auto"/>
              <w:jc w:val="center"/>
            </w:pPr>
            <w:r>
              <w:rPr>
                <w:rFonts w:ascii="Times New Roman" w:hAnsi="Times New Roman" w:eastAsia="宋体"/>
                <w:color w:val="182B3A"/>
                <w:sz w:val="16"/>
              </w:rPr>
              <w:t>12.7</w:t>
            </w:r>
          </w:p>
        </w:tc>
        <w:tc>
          <w:tcPr>
            <w:tcW w:type="dxa" w:w="1250"/>
          </w:tcPr>
          <w:p>
            <w:pPr>
              <w:spacing w:before="0" w:after="0" w:line="252" w:lineRule="auto"/>
              <w:jc w:val="center"/>
            </w:pPr>
            <w:r>
              <w:rPr>
                <w:rFonts w:ascii="Times New Roman" w:hAnsi="Times New Roman" w:eastAsia="宋体"/>
                <w:color w:val="182B3A"/>
                <w:sz w:val="16"/>
              </w:rPr>
              <w:t>18.354</w:t>
            </w:r>
          </w:p>
        </w:tc>
        <w:tc>
          <w:tcPr>
            <w:tcW w:type="dxa" w:w="1250"/>
          </w:tcPr>
          <w:p>
            <w:pPr>
              <w:spacing w:before="0" w:after="0" w:line="252" w:lineRule="auto"/>
              <w:jc w:val="center"/>
            </w:pPr>
            <w:r>
              <w:rPr>
                <w:rFonts w:ascii="Times New Roman" w:hAnsi="Times New Roman" w:eastAsia="宋体"/>
                <w:color w:val="182B3A"/>
                <w:sz w:val="16"/>
              </w:rPr>
              <w:t>10.973</w:t>
            </w:r>
          </w:p>
        </w:tc>
        <w:tc>
          <w:tcPr>
            <w:tcW w:type="dxa" w:w="1100"/>
          </w:tcPr>
          <w:p>
            <w:pPr>
              <w:spacing w:before="0" w:after="0" w:line="252" w:lineRule="auto"/>
              <w:jc w:val="center"/>
            </w:pPr>
            <w:r>
              <w:rPr>
                <w:rFonts w:ascii="Times New Roman" w:hAnsi="Times New Roman" w:eastAsia="宋体"/>
                <w:color w:val="182B3A"/>
                <w:sz w:val="16"/>
              </w:rPr>
              <w:t>21.0%</w:t>
            </w:r>
          </w:p>
        </w:tc>
        <w:tc>
          <w:tcPr>
            <w:tcW w:type="dxa" w:w="1672"/>
          </w:tcPr>
          <w:p>
            <w:pPr>
              <w:spacing w:before="0" w:after="0" w:line="252" w:lineRule="auto"/>
              <w:jc w:val="center"/>
            </w:pPr>
            <w:r>
              <w:rPr>
                <w:rFonts w:ascii="Times New Roman" w:hAnsi="Times New Roman" w:eastAsia="宋体"/>
                <w:color w:val="182B3A"/>
                <w:sz w:val="16"/>
              </w:rPr>
              <w:t>-38.77</w:t>
            </w:r>
          </w:p>
        </w:tc>
      </w:tr>
      <w:tr>
        <w:tc>
          <w:tcPr>
            <w:tcW w:type="dxa" w:w="1000"/>
          </w:tcPr>
          <w:p>
            <w:pPr>
              <w:spacing w:before="0" w:after="0" w:line="252" w:lineRule="auto"/>
              <w:jc w:val="center"/>
            </w:pPr>
            <w:r>
              <w:rPr>
                <w:rFonts w:ascii="Times New Roman" w:hAnsi="Times New Roman" w:eastAsia="宋体"/>
                <w:color w:val="182B3A"/>
                <w:sz w:val="16"/>
              </w:rPr>
              <w:t>2</w:t>
            </w:r>
          </w:p>
        </w:tc>
        <w:tc>
          <w:tcPr>
            <w:tcW w:type="dxa" w:w="1800"/>
          </w:tcPr>
          <w:p>
            <w:pPr>
              <w:spacing w:before="0" w:after="0" w:line="252" w:lineRule="auto"/>
              <w:jc w:val="left"/>
            </w:pPr>
            <w:r>
              <w:rPr>
                <w:rFonts w:ascii="Times New Roman" w:hAnsi="Times New Roman" w:eastAsia="宋体"/>
                <w:color w:val="182B3A"/>
                <w:sz w:val="16"/>
              </w:rPr>
              <w:t>洪湖藕带</w:t>
            </w:r>
          </w:p>
        </w:tc>
        <w:tc>
          <w:tcPr>
            <w:tcW w:type="dxa" w:w="1000"/>
          </w:tcPr>
          <w:p>
            <w:pPr>
              <w:spacing w:before="0" w:after="0" w:line="252" w:lineRule="auto"/>
              <w:jc w:val="center"/>
            </w:pPr>
            <w:r>
              <w:rPr>
                <w:rFonts w:ascii="Times New Roman" w:hAnsi="Times New Roman" w:eastAsia="宋体"/>
                <w:color w:val="182B3A"/>
                <w:sz w:val="16"/>
              </w:rPr>
              <w:t>21.8</w:t>
            </w:r>
          </w:p>
        </w:tc>
        <w:tc>
          <w:tcPr>
            <w:tcW w:type="dxa" w:w="1250"/>
          </w:tcPr>
          <w:p>
            <w:pPr>
              <w:spacing w:before="0" w:after="0" w:line="252" w:lineRule="auto"/>
              <w:jc w:val="center"/>
            </w:pPr>
            <w:r>
              <w:rPr>
                <w:rFonts w:ascii="Times New Roman" w:hAnsi="Times New Roman" w:eastAsia="宋体"/>
                <w:color w:val="182B3A"/>
                <w:sz w:val="16"/>
              </w:rPr>
              <w:t>2.500</w:t>
            </w:r>
          </w:p>
        </w:tc>
        <w:tc>
          <w:tcPr>
            <w:tcW w:type="dxa" w:w="1250"/>
          </w:tcPr>
          <w:p>
            <w:pPr>
              <w:spacing w:before="0" w:after="0" w:line="252" w:lineRule="auto"/>
              <w:jc w:val="center"/>
            </w:pPr>
            <w:r>
              <w:rPr>
                <w:rFonts w:ascii="Times New Roman" w:hAnsi="Times New Roman" w:eastAsia="宋体"/>
                <w:color w:val="182B3A"/>
                <w:sz w:val="16"/>
              </w:rPr>
              <w:t>1.479</w:t>
            </w:r>
          </w:p>
        </w:tc>
        <w:tc>
          <w:tcPr>
            <w:tcW w:type="dxa" w:w="1100"/>
          </w:tcPr>
          <w:p>
            <w:pPr>
              <w:spacing w:before="0" w:after="0" w:line="252" w:lineRule="auto"/>
              <w:jc w:val="center"/>
            </w:pPr>
            <w:r>
              <w:rPr>
                <w:rFonts w:ascii="Times New Roman" w:hAnsi="Times New Roman" w:eastAsia="宋体"/>
                <w:color w:val="182B3A"/>
                <w:sz w:val="16"/>
              </w:rPr>
              <w:t>39.5%</w:t>
            </w:r>
          </w:p>
        </w:tc>
        <w:tc>
          <w:tcPr>
            <w:tcW w:type="dxa" w:w="1672"/>
          </w:tcPr>
          <w:p>
            <w:pPr>
              <w:spacing w:before="0" w:after="0" w:line="252" w:lineRule="auto"/>
              <w:jc w:val="center"/>
            </w:pPr>
            <w:r>
              <w:rPr>
                <w:rFonts w:ascii="Times New Roman" w:hAnsi="Times New Roman" w:eastAsia="宋体"/>
                <w:color w:val="182B3A"/>
                <w:sz w:val="16"/>
              </w:rPr>
              <w:t>-9.84</w:t>
            </w:r>
          </w:p>
        </w:tc>
      </w:tr>
      <w:tr>
        <w:tc>
          <w:tcPr>
            <w:tcW w:type="dxa" w:w="1000"/>
          </w:tcPr>
          <w:p>
            <w:pPr>
              <w:spacing w:before="0" w:after="0" w:line="252" w:lineRule="auto"/>
              <w:jc w:val="center"/>
            </w:pPr>
            <w:r>
              <w:rPr>
                <w:rFonts w:ascii="Times New Roman" w:hAnsi="Times New Roman" w:eastAsia="宋体"/>
                <w:color w:val="182B3A"/>
                <w:sz w:val="16"/>
              </w:rPr>
              <w:t>3</w:t>
            </w:r>
          </w:p>
        </w:tc>
        <w:tc>
          <w:tcPr>
            <w:tcW w:type="dxa" w:w="1800"/>
          </w:tcPr>
          <w:p>
            <w:pPr>
              <w:spacing w:before="0" w:after="0" w:line="252" w:lineRule="auto"/>
              <w:jc w:val="left"/>
            </w:pPr>
            <w:r>
              <w:rPr>
                <w:rFonts w:ascii="Times New Roman" w:hAnsi="Times New Roman" w:eastAsia="宋体"/>
                <w:color w:val="182B3A"/>
                <w:sz w:val="16"/>
              </w:rPr>
              <w:t>高瓜(1)</w:t>
            </w:r>
          </w:p>
        </w:tc>
        <w:tc>
          <w:tcPr>
            <w:tcW w:type="dxa" w:w="1000"/>
          </w:tcPr>
          <w:p>
            <w:pPr>
              <w:spacing w:before="0" w:after="0" w:line="252" w:lineRule="auto"/>
              <w:jc w:val="center"/>
            </w:pPr>
            <w:r>
              <w:rPr>
                <w:rFonts w:ascii="Times New Roman" w:hAnsi="Times New Roman" w:eastAsia="宋体"/>
                <w:color w:val="182B3A"/>
                <w:sz w:val="16"/>
              </w:rPr>
              <w:t>14.1</w:t>
            </w:r>
          </w:p>
        </w:tc>
        <w:tc>
          <w:tcPr>
            <w:tcW w:type="dxa" w:w="1250"/>
          </w:tcPr>
          <w:p>
            <w:pPr>
              <w:spacing w:before="0" w:after="0" w:line="252" w:lineRule="auto"/>
              <w:jc w:val="center"/>
            </w:pPr>
            <w:r>
              <w:rPr>
                <w:rFonts w:ascii="Times New Roman" w:hAnsi="Times New Roman" w:eastAsia="宋体"/>
                <w:color w:val="182B3A"/>
                <w:sz w:val="16"/>
              </w:rPr>
              <w:t>2.500</w:t>
            </w:r>
          </w:p>
        </w:tc>
        <w:tc>
          <w:tcPr>
            <w:tcW w:type="dxa" w:w="1250"/>
          </w:tcPr>
          <w:p>
            <w:pPr>
              <w:spacing w:before="0" w:after="0" w:line="252" w:lineRule="auto"/>
              <w:jc w:val="center"/>
            </w:pPr>
            <w:r>
              <w:rPr>
                <w:rFonts w:ascii="Times New Roman" w:hAnsi="Times New Roman" w:eastAsia="宋体"/>
                <w:color w:val="182B3A"/>
                <w:sz w:val="16"/>
              </w:rPr>
              <w:t>1.289</w:t>
            </w:r>
          </w:p>
        </w:tc>
        <w:tc>
          <w:tcPr>
            <w:tcW w:type="dxa" w:w="1100"/>
          </w:tcPr>
          <w:p>
            <w:pPr>
              <w:spacing w:before="0" w:after="0" w:line="252" w:lineRule="auto"/>
              <w:jc w:val="center"/>
            </w:pPr>
            <w:r>
              <w:rPr>
                <w:rFonts w:ascii="Times New Roman" w:hAnsi="Times New Roman" w:eastAsia="宋体"/>
                <w:color w:val="182B3A"/>
                <w:sz w:val="16"/>
              </w:rPr>
              <w:t>36.3%</w:t>
            </w:r>
          </w:p>
        </w:tc>
        <w:tc>
          <w:tcPr>
            <w:tcW w:type="dxa" w:w="1672"/>
          </w:tcPr>
          <w:p>
            <w:pPr>
              <w:spacing w:before="0" w:after="0" w:line="252" w:lineRule="auto"/>
              <w:jc w:val="center"/>
            </w:pPr>
            <w:r>
              <w:rPr>
                <w:rFonts w:ascii="Times New Roman" w:hAnsi="Times New Roman" w:eastAsia="宋体"/>
                <w:color w:val="182B3A"/>
                <w:sz w:val="16"/>
              </w:rPr>
              <w:t>-9.11</w:t>
            </w:r>
          </w:p>
        </w:tc>
      </w:tr>
      <w:tr>
        <w:tc>
          <w:tcPr>
            <w:tcW w:type="dxa" w:w="1000"/>
          </w:tcPr>
          <w:p>
            <w:pPr>
              <w:spacing w:before="0" w:after="0" w:line="252" w:lineRule="auto"/>
              <w:jc w:val="center"/>
            </w:pPr>
            <w:r>
              <w:rPr>
                <w:rFonts w:ascii="Times New Roman" w:hAnsi="Times New Roman" w:eastAsia="宋体"/>
                <w:color w:val="182B3A"/>
                <w:sz w:val="16"/>
              </w:rPr>
              <w:t>4</w:t>
            </w:r>
          </w:p>
        </w:tc>
        <w:tc>
          <w:tcPr>
            <w:tcW w:type="dxa" w:w="1800"/>
          </w:tcPr>
          <w:p>
            <w:pPr>
              <w:spacing w:before="0" w:after="0" w:line="252" w:lineRule="auto"/>
              <w:jc w:val="left"/>
            </w:pPr>
            <w:r>
              <w:rPr>
                <w:rFonts w:ascii="Times New Roman" w:hAnsi="Times New Roman" w:eastAsia="宋体"/>
                <w:color w:val="182B3A"/>
                <w:sz w:val="16"/>
              </w:rPr>
              <w:t>菱角</w:t>
            </w:r>
          </w:p>
        </w:tc>
        <w:tc>
          <w:tcPr>
            <w:tcW w:type="dxa" w:w="1000"/>
          </w:tcPr>
          <w:p>
            <w:pPr>
              <w:spacing w:before="0" w:after="0" w:line="252" w:lineRule="auto"/>
              <w:jc w:val="center"/>
            </w:pPr>
            <w:r>
              <w:rPr>
                <w:rFonts w:ascii="Times New Roman" w:hAnsi="Times New Roman" w:eastAsia="宋体"/>
                <w:color w:val="182B3A"/>
                <w:sz w:val="16"/>
              </w:rPr>
              <w:t>11.1</w:t>
            </w:r>
          </w:p>
        </w:tc>
        <w:tc>
          <w:tcPr>
            <w:tcW w:type="dxa" w:w="1250"/>
          </w:tcPr>
          <w:p>
            <w:pPr>
              <w:spacing w:before="0" w:after="0" w:line="252" w:lineRule="auto"/>
              <w:jc w:val="center"/>
            </w:pPr>
            <w:r>
              <w:rPr>
                <w:rFonts w:ascii="Times New Roman" w:hAnsi="Times New Roman" w:eastAsia="宋体"/>
                <w:color w:val="182B3A"/>
                <w:sz w:val="16"/>
              </w:rPr>
              <w:t>2.500</w:t>
            </w:r>
          </w:p>
        </w:tc>
        <w:tc>
          <w:tcPr>
            <w:tcW w:type="dxa" w:w="1250"/>
          </w:tcPr>
          <w:p>
            <w:pPr>
              <w:spacing w:before="0" w:after="0" w:line="252" w:lineRule="auto"/>
              <w:jc w:val="center"/>
            </w:pPr>
            <w:r>
              <w:rPr>
                <w:rFonts w:ascii="Times New Roman" w:hAnsi="Times New Roman" w:eastAsia="宋体"/>
                <w:color w:val="182B3A"/>
                <w:sz w:val="16"/>
              </w:rPr>
              <w:t>1.165</w:t>
            </w:r>
          </w:p>
        </w:tc>
        <w:tc>
          <w:tcPr>
            <w:tcW w:type="dxa" w:w="1100"/>
          </w:tcPr>
          <w:p>
            <w:pPr>
              <w:spacing w:before="0" w:after="0" w:line="252" w:lineRule="auto"/>
              <w:jc w:val="center"/>
            </w:pPr>
            <w:r>
              <w:rPr>
                <w:rFonts w:ascii="Times New Roman" w:hAnsi="Times New Roman" w:eastAsia="宋体"/>
                <w:color w:val="182B3A"/>
                <w:sz w:val="16"/>
              </w:rPr>
              <w:t>11.2%</w:t>
            </w:r>
          </w:p>
        </w:tc>
        <w:tc>
          <w:tcPr>
            <w:tcW w:type="dxa" w:w="1672"/>
          </w:tcPr>
          <w:p>
            <w:pPr>
              <w:spacing w:before="0" w:after="0" w:line="252" w:lineRule="auto"/>
              <w:jc w:val="center"/>
            </w:pPr>
            <w:r>
              <w:rPr>
                <w:rFonts w:ascii="Times New Roman" w:hAnsi="Times New Roman" w:eastAsia="宋体"/>
                <w:color w:val="182B3A"/>
                <w:sz w:val="16"/>
              </w:rPr>
              <w:t>-8.48</w:t>
            </w:r>
          </w:p>
        </w:tc>
      </w:tr>
    </w:tbl>
    <w:p>
      <w:pPr>
        <w:widowControl/>
        <w:spacing w:after="40"/>
      </w:pPr>
    </w:p>
    <w:p>
      <w:pPr>
        <w:pStyle w:val="Heading2"/>
        <w:keepNext/>
        <w:widowControl/>
      </w:pPr>
      <w:r>
        <w:t>附录 A.2 花叶类</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000"/>
        <w:gridCol w:w="1800"/>
        <w:gridCol w:w="1000"/>
        <w:gridCol w:w="1250"/>
        <w:gridCol w:w="1250"/>
        <w:gridCol w:w="1100"/>
        <w:gridCol w:w="1672"/>
      </w:tblGrid>
      <w:tr>
        <w:trPr>
          <w:tblHeader w:val="true"/>
        </w:trPr>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序号</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单品名称</w:t>
            </w:r>
          </w:p>
        </w:tc>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售价</w:t>
              <w:br/>
              <w:t>(元/kg)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订货量</w:t>
              <w:br/>
              <w:t>(kg)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期望销量</w:t>
              <w:br/>
              <w:t>(kg)</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缺货概率</w:t>
            </w:r>
          </w:p>
        </w:tc>
        <w:tc>
          <w:tcPr>
            <w:tcW w:type="dxa" w:w="167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期望利润</w:t>
              <w:br/>
              <w:t>(元)</w:t>
            </w:r>
          </w:p>
        </w:tc>
      </w:tr>
      <w:tr>
        <w:tc>
          <w:tcPr>
            <w:tcW w:type="dxa" w:w="1000"/>
          </w:tcPr>
          <w:p>
            <w:pPr>
              <w:spacing w:before="0" w:after="0" w:line="252" w:lineRule="auto"/>
              <w:jc w:val="center"/>
            </w:pPr>
            <w:r>
              <w:rPr>
                <w:rFonts w:ascii="Times New Roman" w:hAnsi="Times New Roman" w:eastAsia="宋体"/>
                <w:color w:val="182B3A"/>
                <w:sz w:val="16"/>
              </w:rPr>
              <w:t>5</w:t>
            </w:r>
          </w:p>
        </w:tc>
        <w:tc>
          <w:tcPr>
            <w:tcW w:type="dxa" w:w="1800"/>
          </w:tcPr>
          <w:p>
            <w:pPr>
              <w:spacing w:before="0" w:after="0" w:line="252" w:lineRule="auto"/>
              <w:jc w:val="left"/>
            </w:pPr>
            <w:r>
              <w:rPr>
                <w:rFonts w:ascii="Times New Roman" w:hAnsi="Times New Roman" w:eastAsia="宋体"/>
                <w:color w:val="182B3A"/>
                <w:sz w:val="16"/>
              </w:rPr>
              <w:t>云南生菜(份)</w:t>
            </w:r>
          </w:p>
        </w:tc>
        <w:tc>
          <w:tcPr>
            <w:tcW w:type="dxa" w:w="1000"/>
          </w:tcPr>
          <w:p>
            <w:pPr>
              <w:spacing w:before="0" w:after="0" w:line="252" w:lineRule="auto"/>
              <w:jc w:val="center"/>
            </w:pPr>
            <w:r>
              <w:rPr>
                <w:rFonts w:ascii="Times New Roman" w:hAnsi="Times New Roman" w:eastAsia="宋体"/>
                <w:color w:val="182B3A"/>
                <w:sz w:val="16"/>
              </w:rPr>
              <w:t>7.0</w:t>
            </w:r>
          </w:p>
        </w:tc>
        <w:tc>
          <w:tcPr>
            <w:tcW w:type="dxa" w:w="1250"/>
          </w:tcPr>
          <w:p>
            <w:pPr>
              <w:spacing w:before="0" w:after="0" w:line="252" w:lineRule="auto"/>
              <w:jc w:val="center"/>
            </w:pPr>
            <w:r>
              <w:rPr>
                <w:rFonts w:ascii="Times New Roman" w:hAnsi="Times New Roman" w:eastAsia="宋体"/>
                <w:color w:val="182B3A"/>
                <w:sz w:val="16"/>
              </w:rPr>
              <w:t>27.238</w:t>
            </w:r>
          </w:p>
        </w:tc>
        <w:tc>
          <w:tcPr>
            <w:tcW w:type="dxa" w:w="1250"/>
          </w:tcPr>
          <w:p>
            <w:pPr>
              <w:spacing w:before="0" w:after="0" w:line="252" w:lineRule="auto"/>
              <w:jc w:val="center"/>
            </w:pPr>
            <w:r>
              <w:rPr>
                <w:rFonts w:ascii="Times New Roman" w:hAnsi="Times New Roman" w:eastAsia="宋体"/>
                <w:color w:val="182B3A"/>
                <w:sz w:val="16"/>
              </w:rPr>
              <w:t>19.957</w:t>
            </w:r>
          </w:p>
        </w:tc>
        <w:tc>
          <w:tcPr>
            <w:tcW w:type="dxa" w:w="1100"/>
          </w:tcPr>
          <w:p>
            <w:pPr>
              <w:spacing w:before="0" w:after="0" w:line="252" w:lineRule="auto"/>
              <w:jc w:val="center"/>
            </w:pPr>
            <w:r>
              <w:rPr>
                <w:rFonts w:ascii="Times New Roman" w:hAnsi="Times New Roman" w:eastAsia="宋体"/>
                <w:color w:val="182B3A"/>
                <w:sz w:val="16"/>
              </w:rPr>
              <w:t>36.8%</w:t>
            </w:r>
          </w:p>
        </w:tc>
        <w:tc>
          <w:tcPr>
            <w:tcW w:type="dxa" w:w="1672"/>
          </w:tcPr>
          <w:p>
            <w:pPr>
              <w:spacing w:before="0" w:after="0" w:line="252" w:lineRule="auto"/>
              <w:jc w:val="center"/>
            </w:pPr>
            <w:r>
              <w:rPr>
                <w:rFonts w:ascii="Times New Roman" w:hAnsi="Times New Roman" w:eastAsia="宋体"/>
                <w:color w:val="182B3A"/>
                <w:sz w:val="16"/>
              </w:rPr>
              <w:t>42.25</w:t>
            </w:r>
          </w:p>
        </w:tc>
      </w:tr>
      <w:tr>
        <w:tc>
          <w:tcPr>
            <w:tcW w:type="dxa" w:w="1000"/>
          </w:tcPr>
          <w:p>
            <w:pPr>
              <w:spacing w:before="0" w:after="0" w:line="252" w:lineRule="auto"/>
              <w:jc w:val="center"/>
            </w:pPr>
            <w:r>
              <w:rPr>
                <w:rFonts w:ascii="Times New Roman" w:hAnsi="Times New Roman" w:eastAsia="宋体"/>
                <w:color w:val="182B3A"/>
                <w:sz w:val="16"/>
              </w:rPr>
              <w:t>6</w:t>
            </w:r>
          </w:p>
        </w:tc>
        <w:tc>
          <w:tcPr>
            <w:tcW w:type="dxa" w:w="1800"/>
          </w:tcPr>
          <w:p>
            <w:pPr>
              <w:spacing w:before="0" w:after="0" w:line="252" w:lineRule="auto"/>
              <w:jc w:val="left"/>
            </w:pPr>
            <w:r>
              <w:rPr>
                <w:rFonts w:ascii="Times New Roman" w:hAnsi="Times New Roman" w:eastAsia="宋体"/>
                <w:color w:val="182B3A"/>
                <w:sz w:val="16"/>
              </w:rPr>
              <w:t>云南油麦菜(份)</w:t>
            </w:r>
          </w:p>
        </w:tc>
        <w:tc>
          <w:tcPr>
            <w:tcW w:type="dxa" w:w="1000"/>
          </w:tcPr>
          <w:p>
            <w:pPr>
              <w:spacing w:before="0" w:after="0" w:line="252" w:lineRule="auto"/>
              <w:jc w:val="center"/>
            </w:pPr>
            <w:r>
              <w:rPr>
                <w:rFonts w:ascii="Times New Roman" w:hAnsi="Times New Roman" w:eastAsia="宋体"/>
                <w:color w:val="182B3A"/>
                <w:sz w:val="16"/>
              </w:rPr>
              <w:t>5.7</w:t>
            </w:r>
          </w:p>
        </w:tc>
        <w:tc>
          <w:tcPr>
            <w:tcW w:type="dxa" w:w="1250"/>
          </w:tcPr>
          <w:p>
            <w:pPr>
              <w:spacing w:before="0" w:after="0" w:line="252" w:lineRule="auto"/>
              <w:jc w:val="center"/>
            </w:pPr>
            <w:r>
              <w:rPr>
                <w:rFonts w:ascii="Times New Roman" w:hAnsi="Times New Roman" w:eastAsia="宋体"/>
                <w:color w:val="182B3A"/>
                <w:sz w:val="16"/>
              </w:rPr>
              <w:t>18.795</w:t>
            </w:r>
          </w:p>
        </w:tc>
        <w:tc>
          <w:tcPr>
            <w:tcW w:type="dxa" w:w="1250"/>
          </w:tcPr>
          <w:p>
            <w:pPr>
              <w:spacing w:before="0" w:after="0" w:line="252" w:lineRule="auto"/>
              <w:jc w:val="center"/>
            </w:pPr>
            <w:r>
              <w:rPr>
                <w:rFonts w:ascii="Times New Roman" w:hAnsi="Times New Roman" w:eastAsia="宋体"/>
                <w:color w:val="182B3A"/>
                <w:sz w:val="16"/>
              </w:rPr>
              <w:t>13.657</w:t>
            </w:r>
          </w:p>
        </w:tc>
        <w:tc>
          <w:tcPr>
            <w:tcW w:type="dxa" w:w="1100"/>
          </w:tcPr>
          <w:p>
            <w:pPr>
              <w:spacing w:before="0" w:after="0" w:line="252" w:lineRule="auto"/>
              <w:jc w:val="center"/>
            </w:pPr>
            <w:r>
              <w:rPr>
                <w:rFonts w:ascii="Times New Roman" w:hAnsi="Times New Roman" w:eastAsia="宋体"/>
                <w:color w:val="182B3A"/>
                <w:sz w:val="16"/>
              </w:rPr>
              <w:t>37.5%</w:t>
            </w:r>
          </w:p>
        </w:tc>
        <w:tc>
          <w:tcPr>
            <w:tcW w:type="dxa" w:w="1672"/>
          </w:tcPr>
          <w:p>
            <w:pPr>
              <w:spacing w:before="0" w:after="0" w:line="252" w:lineRule="auto"/>
              <w:jc w:val="center"/>
            </w:pPr>
            <w:r>
              <w:rPr>
                <w:rFonts w:ascii="Times New Roman" w:hAnsi="Times New Roman" w:eastAsia="宋体"/>
                <w:color w:val="182B3A"/>
                <w:sz w:val="16"/>
              </w:rPr>
              <w:t>23.12</w:t>
            </w:r>
          </w:p>
        </w:tc>
      </w:tr>
      <w:tr>
        <w:tc>
          <w:tcPr>
            <w:tcW w:type="dxa" w:w="1000"/>
          </w:tcPr>
          <w:p>
            <w:pPr>
              <w:spacing w:before="0" w:after="0" w:line="252" w:lineRule="auto"/>
              <w:jc w:val="center"/>
            </w:pPr>
            <w:r>
              <w:rPr>
                <w:rFonts w:ascii="Times New Roman" w:hAnsi="Times New Roman" w:eastAsia="宋体"/>
                <w:color w:val="182B3A"/>
                <w:sz w:val="16"/>
              </w:rPr>
              <w:t>7</w:t>
            </w:r>
          </w:p>
        </w:tc>
        <w:tc>
          <w:tcPr>
            <w:tcW w:type="dxa" w:w="1800"/>
          </w:tcPr>
          <w:p>
            <w:pPr>
              <w:spacing w:before="0" w:after="0" w:line="252" w:lineRule="auto"/>
              <w:jc w:val="left"/>
            </w:pPr>
            <w:r>
              <w:rPr>
                <w:rFonts w:ascii="Times New Roman" w:hAnsi="Times New Roman" w:eastAsia="宋体"/>
                <w:color w:val="182B3A"/>
                <w:sz w:val="16"/>
              </w:rPr>
              <w:t>竹叶菜</w:t>
            </w:r>
          </w:p>
        </w:tc>
        <w:tc>
          <w:tcPr>
            <w:tcW w:type="dxa" w:w="1000"/>
          </w:tcPr>
          <w:p>
            <w:pPr>
              <w:spacing w:before="0" w:after="0" w:line="252" w:lineRule="auto"/>
              <w:jc w:val="center"/>
            </w:pPr>
            <w:r>
              <w:rPr>
                <w:rFonts w:ascii="Times New Roman" w:hAnsi="Times New Roman" w:eastAsia="宋体"/>
                <w:color w:val="182B3A"/>
                <w:sz w:val="16"/>
              </w:rPr>
              <w:t>4.2</w:t>
            </w:r>
          </w:p>
        </w:tc>
        <w:tc>
          <w:tcPr>
            <w:tcW w:type="dxa" w:w="1250"/>
          </w:tcPr>
          <w:p>
            <w:pPr>
              <w:spacing w:before="0" w:after="0" w:line="252" w:lineRule="auto"/>
              <w:jc w:val="center"/>
            </w:pPr>
            <w:r>
              <w:rPr>
                <w:rFonts w:ascii="Times New Roman" w:hAnsi="Times New Roman" w:eastAsia="宋体"/>
                <w:color w:val="182B3A"/>
                <w:sz w:val="16"/>
              </w:rPr>
              <w:t>11.082</w:t>
            </w:r>
          </w:p>
        </w:tc>
        <w:tc>
          <w:tcPr>
            <w:tcW w:type="dxa" w:w="1250"/>
          </w:tcPr>
          <w:p>
            <w:pPr>
              <w:spacing w:before="0" w:after="0" w:line="252" w:lineRule="auto"/>
              <w:jc w:val="center"/>
            </w:pPr>
            <w:r>
              <w:rPr>
                <w:rFonts w:ascii="Times New Roman" w:hAnsi="Times New Roman" w:eastAsia="宋体"/>
                <w:color w:val="182B3A"/>
                <w:sz w:val="16"/>
              </w:rPr>
              <w:t>8.638</w:t>
            </w:r>
          </w:p>
        </w:tc>
        <w:tc>
          <w:tcPr>
            <w:tcW w:type="dxa" w:w="1100"/>
          </w:tcPr>
          <w:p>
            <w:pPr>
              <w:spacing w:before="0" w:after="0" w:line="252" w:lineRule="auto"/>
              <w:jc w:val="center"/>
            </w:pPr>
            <w:r>
              <w:rPr>
                <w:rFonts w:ascii="Times New Roman" w:hAnsi="Times New Roman" w:eastAsia="宋体"/>
                <w:color w:val="182B3A"/>
                <w:sz w:val="16"/>
              </w:rPr>
              <w:t>57.8%</w:t>
            </w:r>
          </w:p>
        </w:tc>
        <w:tc>
          <w:tcPr>
            <w:tcW w:type="dxa" w:w="1672"/>
          </w:tcPr>
          <w:p>
            <w:pPr>
              <w:spacing w:before="0" w:after="0" w:line="252" w:lineRule="auto"/>
              <w:jc w:val="center"/>
            </w:pPr>
            <w:r>
              <w:rPr>
                <w:rFonts w:ascii="Times New Roman" w:hAnsi="Times New Roman" w:eastAsia="宋体"/>
                <w:color w:val="182B3A"/>
                <w:sz w:val="16"/>
              </w:rPr>
              <w:t>11.85</w:t>
            </w:r>
          </w:p>
        </w:tc>
      </w:tr>
      <w:tr>
        <w:tc>
          <w:tcPr>
            <w:tcW w:type="dxa" w:w="1000"/>
          </w:tcPr>
          <w:p>
            <w:pPr>
              <w:spacing w:before="0" w:after="0" w:line="252" w:lineRule="auto"/>
              <w:jc w:val="center"/>
            </w:pPr>
            <w:r>
              <w:rPr>
                <w:rFonts w:ascii="Times New Roman" w:hAnsi="Times New Roman" w:eastAsia="宋体"/>
                <w:color w:val="182B3A"/>
                <w:sz w:val="16"/>
              </w:rPr>
              <w:t>8</w:t>
            </w:r>
          </w:p>
        </w:tc>
        <w:tc>
          <w:tcPr>
            <w:tcW w:type="dxa" w:w="1800"/>
          </w:tcPr>
          <w:p>
            <w:pPr>
              <w:spacing w:before="0" w:after="0" w:line="252" w:lineRule="auto"/>
              <w:jc w:val="left"/>
            </w:pPr>
            <w:r>
              <w:rPr>
                <w:rFonts w:ascii="Times New Roman" w:hAnsi="Times New Roman" w:eastAsia="宋体"/>
                <w:color w:val="182B3A"/>
                <w:sz w:val="16"/>
              </w:rPr>
              <w:t>云南生菜</w:t>
            </w:r>
          </w:p>
        </w:tc>
        <w:tc>
          <w:tcPr>
            <w:tcW w:type="dxa" w:w="1000"/>
          </w:tcPr>
          <w:p>
            <w:pPr>
              <w:spacing w:before="0" w:after="0" w:line="252" w:lineRule="auto"/>
              <w:jc w:val="center"/>
            </w:pPr>
            <w:r>
              <w:rPr>
                <w:rFonts w:ascii="Times New Roman" w:hAnsi="Times New Roman" w:eastAsia="宋体"/>
                <w:color w:val="182B3A"/>
                <w:sz w:val="16"/>
              </w:rPr>
              <w:t>10.6</w:t>
            </w:r>
          </w:p>
        </w:tc>
        <w:tc>
          <w:tcPr>
            <w:tcW w:type="dxa" w:w="1250"/>
          </w:tcPr>
          <w:p>
            <w:pPr>
              <w:spacing w:before="0" w:after="0" w:line="252" w:lineRule="auto"/>
              <w:jc w:val="center"/>
            </w:pPr>
            <w:r>
              <w:rPr>
                <w:rFonts w:ascii="Times New Roman" w:hAnsi="Times New Roman" w:eastAsia="宋体"/>
                <w:color w:val="182B3A"/>
                <w:sz w:val="16"/>
              </w:rPr>
              <w:t>11.227</w:t>
            </w:r>
          </w:p>
        </w:tc>
        <w:tc>
          <w:tcPr>
            <w:tcW w:type="dxa" w:w="1250"/>
          </w:tcPr>
          <w:p>
            <w:pPr>
              <w:spacing w:before="0" w:after="0" w:line="252" w:lineRule="auto"/>
              <w:jc w:val="center"/>
            </w:pPr>
            <w:r>
              <w:rPr>
                <w:rFonts w:ascii="Times New Roman" w:hAnsi="Times New Roman" w:eastAsia="宋体"/>
                <w:color w:val="182B3A"/>
                <w:sz w:val="16"/>
              </w:rPr>
              <w:t>7.318</w:t>
            </w:r>
          </w:p>
        </w:tc>
        <w:tc>
          <w:tcPr>
            <w:tcW w:type="dxa" w:w="1100"/>
          </w:tcPr>
          <w:p>
            <w:pPr>
              <w:spacing w:before="0" w:after="0" w:line="252" w:lineRule="auto"/>
              <w:jc w:val="center"/>
            </w:pPr>
            <w:r>
              <w:rPr>
                <w:rFonts w:ascii="Times New Roman" w:hAnsi="Times New Roman" w:eastAsia="宋体"/>
                <w:color w:val="182B3A"/>
                <w:sz w:val="16"/>
              </w:rPr>
              <w:t>67.3%</w:t>
            </w:r>
          </w:p>
        </w:tc>
        <w:tc>
          <w:tcPr>
            <w:tcW w:type="dxa" w:w="1672"/>
          </w:tcPr>
          <w:p>
            <w:pPr>
              <w:spacing w:before="0" w:after="0" w:line="252" w:lineRule="auto"/>
              <w:jc w:val="center"/>
            </w:pPr>
            <w:r>
              <w:rPr>
                <w:rFonts w:ascii="Times New Roman" w:hAnsi="Times New Roman" w:eastAsia="宋体"/>
                <w:color w:val="182B3A"/>
                <w:sz w:val="16"/>
              </w:rPr>
              <w:t>12.19</w:t>
            </w:r>
          </w:p>
        </w:tc>
      </w:tr>
      <w:tr>
        <w:tc>
          <w:tcPr>
            <w:tcW w:type="dxa" w:w="1000"/>
          </w:tcPr>
          <w:p>
            <w:pPr>
              <w:spacing w:before="0" w:after="0" w:line="252" w:lineRule="auto"/>
              <w:jc w:val="center"/>
            </w:pPr>
            <w:r>
              <w:rPr>
                <w:rFonts w:ascii="Times New Roman" w:hAnsi="Times New Roman" w:eastAsia="宋体"/>
                <w:color w:val="182B3A"/>
                <w:sz w:val="16"/>
              </w:rPr>
              <w:t>9</w:t>
            </w:r>
          </w:p>
        </w:tc>
        <w:tc>
          <w:tcPr>
            <w:tcW w:type="dxa" w:w="1800"/>
          </w:tcPr>
          <w:p>
            <w:pPr>
              <w:spacing w:before="0" w:after="0" w:line="252" w:lineRule="auto"/>
              <w:jc w:val="left"/>
            </w:pPr>
            <w:r>
              <w:rPr>
                <w:rFonts w:ascii="Times New Roman" w:hAnsi="Times New Roman" w:eastAsia="宋体"/>
                <w:color w:val="182B3A"/>
                <w:sz w:val="16"/>
              </w:rPr>
              <w:t>娃娃菜</w:t>
            </w:r>
          </w:p>
        </w:tc>
        <w:tc>
          <w:tcPr>
            <w:tcW w:type="dxa" w:w="1000"/>
          </w:tcPr>
          <w:p>
            <w:pPr>
              <w:spacing w:before="0" w:after="0" w:line="252" w:lineRule="auto"/>
              <w:jc w:val="center"/>
            </w:pPr>
            <w:r>
              <w:rPr>
                <w:rFonts w:ascii="Times New Roman" w:hAnsi="Times New Roman" w:eastAsia="宋体"/>
                <w:color w:val="182B3A"/>
                <w:sz w:val="16"/>
              </w:rPr>
              <w:t>7.8</w:t>
            </w:r>
          </w:p>
        </w:tc>
        <w:tc>
          <w:tcPr>
            <w:tcW w:type="dxa" w:w="1250"/>
          </w:tcPr>
          <w:p>
            <w:pPr>
              <w:spacing w:before="0" w:after="0" w:line="252" w:lineRule="auto"/>
              <w:jc w:val="center"/>
            </w:pPr>
            <w:r>
              <w:rPr>
                <w:rFonts w:ascii="Times New Roman" w:hAnsi="Times New Roman" w:eastAsia="宋体"/>
                <w:color w:val="182B3A"/>
                <w:sz w:val="16"/>
              </w:rPr>
              <w:t>8.065</w:t>
            </w:r>
          </w:p>
        </w:tc>
        <w:tc>
          <w:tcPr>
            <w:tcW w:type="dxa" w:w="1250"/>
          </w:tcPr>
          <w:p>
            <w:pPr>
              <w:spacing w:before="0" w:after="0" w:line="252" w:lineRule="auto"/>
              <w:jc w:val="center"/>
            </w:pPr>
            <w:r>
              <w:rPr>
                <w:rFonts w:ascii="Times New Roman" w:hAnsi="Times New Roman" w:eastAsia="宋体"/>
                <w:color w:val="182B3A"/>
                <w:sz w:val="16"/>
              </w:rPr>
              <w:t>7.152</w:t>
            </w:r>
          </w:p>
        </w:tc>
        <w:tc>
          <w:tcPr>
            <w:tcW w:type="dxa" w:w="1100"/>
          </w:tcPr>
          <w:p>
            <w:pPr>
              <w:spacing w:before="0" w:after="0" w:line="252" w:lineRule="auto"/>
              <w:jc w:val="center"/>
            </w:pPr>
            <w:r>
              <w:rPr>
                <w:rFonts w:ascii="Times New Roman" w:hAnsi="Times New Roman" w:eastAsia="宋体"/>
                <w:color w:val="182B3A"/>
                <w:sz w:val="16"/>
              </w:rPr>
              <w:t>66.3%</w:t>
            </w:r>
          </w:p>
        </w:tc>
        <w:tc>
          <w:tcPr>
            <w:tcW w:type="dxa" w:w="1672"/>
          </w:tcPr>
          <w:p>
            <w:pPr>
              <w:spacing w:before="0" w:after="0" w:line="252" w:lineRule="auto"/>
              <w:jc w:val="center"/>
            </w:pPr>
            <w:r>
              <w:rPr>
                <w:rFonts w:ascii="Times New Roman" w:hAnsi="Times New Roman" w:eastAsia="宋体"/>
                <w:color w:val="182B3A"/>
                <w:sz w:val="16"/>
              </w:rPr>
              <w:t>19.40</w:t>
            </w:r>
          </w:p>
        </w:tc>
      </w:tr>
      <w:tr>
        <w:tc>
          <w:tcPr>
            <w:tcW w:type="dxa" w:w="1000"/>
          </w:tcPr>
          <w:p>
            <w:pPr>
              <w:spacing w:before="0" w:after="0" w:line="252" w:lineRule="auto"/>
              <w:jc w:val="center"/>
            </w:pPr>
            <w:r>
              <w:rPr>
                <w:rFonts w:ascii="Times New Roman" w:hAnsi="Times New Roman" w:eastAsia="宋体"/>
                <w:color w:val="182B3A"/>
                <w:sz w:val="16"/>
              </w:rPr>
              <w:t>10</w:t>
            </w:r>
          </w:p>
        </w:tc>
        <w:tc>
          <w:tcPr>
            <w:tcW w:type="dxa" w:w="1800"/>
          </w:tcPr>
          <w:p>
            <w:pPr>
              <w:spacing w:before="0" w:after="0" w:line="252" w:lineRule="auto"/>
              <w:jc w:val="left"/>
            </w:pPr>
            <w:r>
              <w:rPr>
                <w:rFonts w:ascii="Times New Roman" w:hAnsi="Times New Roman" w:eastAsia="宋体"/>
                <w:color w:val="182B3A"/>
                <w:sz w:val="16"/>
              </w:rPr>
              <w:t>苋菜</w:t>
            </w:r>
          </w:p>
        </w:tc>
        <w:tc>
          <w:tcPr>
            <w:tcW w:type="dxa" w:w="1000"/>
          </w:tcPr>
          <w:p>
            <w:pPr>
              <w:spacing w:before="0" w:after="0" w:line="252" w:lineRule="auto"/>
              <w:jc w:val="center"/>
            </w:pPr>
            <w:r>
              <w:rPr>
                <w:rFonts w:ascii="Times New Roman" w:hAnsi="Times New Roman" w:eastAsia="宋体"/>
                <w:color w:val="182B3A"/>
                <w:sz w:val="16"/>
              </w:rPr>
              <w:t>4.1</w:t>
            </w:r>
          </w:p>
        </w:tc>
        <w:tc>
          <w:tcPr>
            <w:tcW w:type="dxa" w:w="1250"/>
          </w:tcPr>
          <w:p>
            <w:pPr>
              <w:spacing w:before="0" w:after="0" w:line="252" w:lineRule="auto"/>
              <w:jc w:val="center"/>
            </w:pPr>
            <w:r>
              <w:rPr>
                <w:rFonts w:ascii="Times New Roman" w:hAnsi="Times New Roman" w:eastAsia="宋体"/>
                <w:color w:val="182B3A"/>
                <w:sz w:val="16"/>
              </w:rPr>
              <w:t>8.393</w:t>
            </w:r>
          </w:p>
        </w:tc>
        <w:tc>
          <w:tcPr>
            <w:tcW w:type="dxa" w:w="1250"/>
          </w:tcPr>
          <w:p>
            <w:pPr>
              <w:spacing w:before="0" w:after="0" w:line="252" w:lineRule="auto"/>
              <w:jc w:val="center"/>
            </w:pPr>
            <w:r>
              <w:rPr>
                <w:rFonts w:ascii="Times New Roman" w:hAnsi="Times New Roman" w:eastAsia="宋体"/>
                <w:color w:val="182B3A"/>
                <w:sz w:val="16"/>
              </w:rPr>
              <w:t>6.123</w:t>
            </w:r>
          </w:p>
        </w:tc>
        <w:tc>
          <w:tcPr>
            <w:tcW w:type="dxa" w:w="1100"/>
          </w:tcPr>
          <w:p>
            <w:pPr>
              <w:spacing w:before="0" w:after="0" w:line="252" w:lineRule="auto"/>
              <w:jc w:val="center"/>
            </w:pPr>
            <w:r>
              <w:rPr>
                <w:rFonts w:ascii="Times New Roman" w:hAnsi="Times New Roman" w:eastAsia="宋体"/>
                <w:color w:val="182B3A"/>
                <w:sz w:val="16"/>
              </w:rPr>
              <w:t>57.0%</w:t>
            </w:r>
          </w:p>
        </w:tc>
        <w:tc>
          <w:tcPr>
            <w:tcW w:type="dxa" w:w="1672"/>
          </w:tcPr>
          <w:p>
            <w:pPr>
              <w:spacing w:before="0" w:after="0" w:line="252" w:lineRule="auto"/>
              <w:jc w:val="center"/>
            </w:pPr>
            <w:r>
              <w:rPr>
                <w:rFonts w:ascii="Times New Roman" w:hAnsi="Times New Roman" w:eastAsia="宋体"/>
                <w:color w:val="182B3A"/>
                <w:sz w:val="16"/>
              </w:rPr>
              <w:t>6.09</w:t>
            </w:r>
          </w:p>
        </w:tc>
      </w:tr>
      <w:tr>
        <w:tc>
          <w:tcPr>
            <w:tcW w:type="dxa" w:w="1000"/>
          </w:tcPr>
          <w:p>
            <w:pPr>
              <w:spacing w:before="0" w:after="0" w:line="252" w:lineRule="auto"/>
              <w:jc w:val="center"/>
            </w:pPr>
            <w:r>
              <w:rPr>
                <w:rFonts w:ascii="Times New Roman" w:hAnsi="Times New Roman" w:eastAsia="宋体"/>
                <w:color w:val="182B3A"/>
                <w:sz w:val="16"/>
              </w:rPr>
              <w:t>11</w:t>
            </w:r>
          </w:p>
        </w:tc>
        <w:tc>
          <w:tcPr>
            <w:tcW w:type="dxa" w:w="1800"/>
          </w:tcPr>
          <w:p>
            <w:pPr>
              <w:spacing w:before="0" w:after="0" w:line="252" w:lineRule="auto"/>
              <w:jc w:val="left"/>
            </w:pPr>
            <w:r>
              <w:rPr>
                <w:rFonts w:ascii="Times New Roman" w:hAnsi="Times New Roman" w:eastAsia="宋体"/>
                <w:color w:val="182B3A"/>
                <w:sz w:val="16"/>
              </w:rPr>
              <w:t>上海青</w:t>
            </w:r>
          </w:p>
        </w:tc>
        <w:tc>
          <w:tcPr>
            <w:tcW w:type="dxa" w:w="1000"/>
          </w:tcPr>
          <w:p>
            <w:pPr>
              <w:spacing w:before="0" w:after="0" w:line="252" w:lineRule="auto"/>
              <w:jc w:val="center"/>
            </w:pPr>
            <w:r>
              <w:rPr>
                <w:rFonts w:ascii="Times New Roman" w:hAnsi="Times New Roman" w:eastAsia="宋体"/>
                <w:color w:val="182B3A"/>
                <w:sz w:val="16"/>
              </w:rPr>
              <w:t>8.1</w:t>
            </w:r>
          </w:p>
        </w:tc>
        <w:tc>
          <w:tcPr>
            <w:tcW w:type="dxa" w:w="1250"/>
          </w:tcPr>
          <w:p>
            <w:pPr>
              <w:spacing w:before="0" w:after="0" w:line="252" w:lineRule="auto"/>
              <w:jc w:val="center"/>
            </w:pPr>
            <w:r>
              <w:rPr>
                <w:rFonts w:ascii="Times New Roman" w:hAnsi="Times New Roman" w:eastAsia="宋体"/>
                <w:color w:val="182B3A"/>
                <w:sz w:val="16"/>
              </w:rPr>
              <w:t>7.316</w:t>
            </w:r>
          </w:p>
        </w:tc>
        <w:tc>
          <w:tcPr>
            <w:tcW w:type="dxa" w:w="1250"/>
          </w:tcPr>
          <w:p>
            <w:pPr>
              <w:spacing w:before="0" w:after="0" w:line="252" w:lineRule="auto"/>
              <w:jc w:val="center"/>
            </w:pPr>
            <w:r>
              <w:rPr>
                <w:rFonts w:ascii="Times New Roman" w:hAnsi="Times New Roman" w:eastAsia="宋体"/>
                <w:color w:val="182B3A"/>
                <w:sz w:val="16"/>
              </w:rPr>
              <w:t>5.404</w:t>
            </w:r>
          </w:p>
        </w:tc>
        <w:tc>
          <w:tcPr>
            <w:tcW w:type="dxa" w:w="1100"/>
          </w:tcPr>
          <w:p>
            <w:pPr>
              <w:spacing w:before="0" w:after="0" w:line="252" w:lineRule="auto"/>
              <w:jc w:val="center"/>
            </w:pPr>
            <w:r>
              <w:rPr>
                <w:rFonts w:ascii="Times New Roman" w:hAnsi="Times New Roman" w:eastAsia="宋体"/>
                <w:color w:val="182B3A"/>
                <w:sz w:val="16"/>
              </w:rPr>
              <w:t>60.8%</w:t>
            </w:r>
          </w:p>
        </w:tc>
        <w:tc>
          <w:tcPr>
            <w:tcW w:type="dxa" w:w="1672"/>
          </w:tcPr>
          <w:p>
            <w:pPr>
              <w:spacing w:before="0" w:after="0" w:line="252" w:lineRule="auto"/>
              <w:jc w:val="center"/>
            </w:pPr>
            <w:r>
              <w:rPr>
                <w:rFonts w:ascii="Times New Roman" w:hAnsi="Times New Roman" w:eastAsia="宋体"/>
                <w:color w:val="182B3A"/>
                <w:sz w:val="16"/>
              </w:rPr>
              <w:t>13.10</w:t>
            </w:r>
          </w:p>
        </w:tc>
      </w:tr>
      <w:tr>
        <w:tc>
          <w:tcPr>
            <w:tcW w:type="dxa" w:w="1000"/>
          </w:tcPr>
          <w:p>
            <w:pPr>
              <w:spacing w:before="0" w:after="0" w:line="252" w:lineRule="auto"/>
              <w:jc w:val="center"/>
            </w:pPr>
            <w:r>
              <w:rPr>
                <w:rFonts w:ascii="Times New Roman" w:hAnsi="Times New Roman" w:eastAsia="宋体"/>
                <w:color w:val="182B3A"/>
                <w:sz w:val="16"/>
              </w:rPr>
              <w:t>12</w:t>
            </w:r>
          </w:p>
        </w:tc>
        <w:tc>
          <w:tcPr>
            <w:tcW w:type="dxa" w:w="1800"/>
          </w:tcPr>
          <w:p>
            <w:pPr>
              <w:spacing w:before="0" w:after="0" w:line="252" w:lineRule="auto"/>
              <w:jc w:val="left"/>
            </w:pPr>
            <w:r>
              <w:rPr>
                <w:rFonts w:ascii="Times New Roman" w:hAnsi="Times New Roman" w:eastAsia="宋体"/>
                <w:color w:val="182B3A"/>
                <w:sz w:val="16"/>
              </w:rPr>
              <w:t>菠菜(份)</w:t>
            </w:r>
          </w:p>
        </w:tc>
        <w:tc>
          <w:tcPr>
            <w:tcW w:type="dxa" w:w="1000"/>
          </w:tcPr>
          <w:p>
            <w:pPr>
              <w:spacing w:before="0" w:after="0" w:line="252" w:lineRule="auto"/>
              <w:jc w:val="center"/>
            </w:pPr>
            <w:r>
              <w:rPr>
                <w:rFonts w:ascii="Times New Roman" w:hAnsi="Times New Roman" w:eastAsia="宋体"/>
                <w:color w:val="182B3A"/>
                <w:sz w:val="16"/>
              </w:rPr>
              <w:t>8.2</w:t>
            </w:r>
          </w:p>
        </w:tc>
        <w:tc>
          <w:tcPr>
            <w:tcW w:type="dxa" w:w="1250"/>
          </w:tcPr>
          <w:p>
            <w:pPr>
              <w:spacing w:before="0" w:after="0" w:line="252" w:lineRule="auto"/>
              <w:jc w:val="center"/>
            </w:pPr>
            <w:r>
              <w:rPr>
                <w:rFonts w:ascii="Times New Roman" w:hAnsi="Times New Roman" w:eastAsia="宋体"/>
                <w:color w:val="182B3A"/>
                <w:sz w:val="16"/>
              </w:rPr>
              <w:t>8.139</w:t>
            </w:r>
          </w:p>
        </w:tc>
        <w:tc>
          <w:tcPr>
            <w:tcW w:type="dxa" w:w="1250"/>
          </w:tcPr>
          <w:p>
            <w:pPr>
              <w:spacing w:before="0" w:after="0" w:line="252" w:lineRule="auto"/>
              <w:jc w:val="center"/>
            </w:pPr>
            <w:r>
              <w:rPr>
                <w:rFonts w:ascii="Times New Roman" w:hAnsi="Times New Roman" w:eastAsia="宋体"/>
                <w:color w:val="182B3A"/>
                <w:sz w:val="16"/>
              </w:rPr>
              <w:t>5.259</w:t>
            </w:r>
          </w:p>
        </w:tc>
        <w:tc>
          <w:tcPr>
            <w:tcW w:type="dxa" w:w="1100"/>
          </w:tcPr>
          <w:p>
            <w:pPr>
              <w:spacing w:before="0" w:after="0" w:line="252" w:lineRule="auto"/>
              <w:jc w:val="center"/>
            </w:pPr>
            <w:r>
              <w:rPr>
                <w:rFonts w:ascii="Times New Roman" w:hAnsi="Times New Roman" w:eastAsia="宋体"/>
                <w:color w:val="182B3A"/>
                <w:sz w:val="16"/>
              </w:rPr>
              <w:t>34.3%</w:t>
            </w:r>
          </w:p>
        </w:tc>
        <w:tc>
          <w:tcPr>
            <w:tcW w:type="dxa" w:w="1672"/>
          </w:tcPr>
          <w:p>
            <w:pPr>
              <w:spacing w:before="0" w:after="0" w:line="252" w:lineRule="auto"/>
              <w:jc w:val="center"/>
            </w:pPr>
            <w:r>
              <w:rPr>
                <w:rFonts w:ascii="Times New Roman" w:hAnsi="Times New Roman" w:eastAsia="宋体"/>
                <w:color w:val="182B3A"/>
                <w:sz w:val="16"/>
              </w:rPr>
              <w:t>9.17</w:t>
            </w:r>
          </w:p>
        </w:tc>
      </w:tr>
      <w:tr>
        <w:tc>
          <w:tcPr>
            <w:tcW w:type="dxa" w:w="1000"/>
          </w:tcPr>
          <w:p>
            <w:pPr>
              <w:spacing w:before="0" w:after="0" w:line="252" w:lineRule="auto"/>
              <w:jc w:val="center"/>
            </w:pPr>
            <w:r>
              <w:rPr>
                <w:rFonts w:ascii="Times New Roman" w:hAnsi="Times New Roman" w:eastAsia="宋体"/>
                <w:color w:val="182B3A"/>
                <w:sz w:val="16"/>
              </w:rPr>
              <w:t>13</w:t>
            </w:r>
          </w:p>
        </w:tc>
        <w:tc>
          <w:tcPr>
            <w:tcW w:type="dxa" w:w="1800"/>
          </w:tcPr>
          <w:p>
            <w:pPr>
              <w:spacing w:before="0" w:after="0" w:line="252" w:lineRule="auto"/>
              <w:jc w:val="left"/>
            </w:pPr>
            <w:r>
              <w:rPr>
                <w:rFonts w:ascii="Times New Roman" w:hAnsi="Times New Roman" w:eastAsia="宋体"/>
                <w:color w:val="182B3A"/>
                <w:sz w:val="16"/>
              </w:rPr>
              <w:t>奶白菜</w:t>
            </w:r>
          </w:p>
        </w:tc>
        <w:tc>
          <w:tcPr>
            <w:tcW w:type="dxa" w:w="1000"/>
          </w:tcPr>
          <w:p>
            <w:pPr>
              <w:spacing w:before="0" w:after="0" w:line="252" w:lineRule="auto"/>
              <w:jc w:val="center"/>
            </w:pPr>
            <w:r>
              <w:rPr>
                <w:rFonts w:ascii="Times New Roman" w:hAnsi="Times New Roman" w:eastAsia="宋体"/>
                <w:color w:val="182B3A"/>
                <w:sz w:val="16"/>
              </w:rPr>
              <w:t>5.1</w:t>
            </w:r>
          </w:p>
        </w:tc>
        <w:tc>
          <w:tcPr>
            <w:tcW w:type="dxa" w:w="1250"/>
          </w:tcPr>
          <w:p>
            <w:pPr>
              <w:spacing w:before="0" w:after="0" w:line="252" w:lineRule="auto"/>
              <w:jc w:val="center"/>
            </w:pPr>
            <w:r>
              <w:rPr>
                <w:rFonts w:ascii="Times New Roman" w:hAnsi="Times New Roman" w:eastAsia="宋体"/>
                <w:color w:val="182B3A"/>
                <w:sz w:val="16"/>
              </w:rPr>
              <w:t>6.322</w:t>
            </w:r>
          </w:p>
        </w:tc>
        <w:tc>
          <w:tcPr>
            <w:tcW w:type="dxa" w:w="1250"/>
          </w:tcPr>
          <w:p>
            <w:pPr>
              <w:spacing w:before="0" w:after="0" w:line="252" w:lineRule="auto"/>
              <w:jc w:val="center"/>
            </w:pPr>
            <w:r>
              <w:rPr>
                <w:rFonts w:ascii="Times New Roman" w:hAnsi="Times New Roman" w:eastAsia="宋体"/>
                <w:color w:val="182B3A"/>
                <w:sz w:val="16"/>
              </w:rPr>
              <w:t>4.848</w:t>
            </w:r>
          </w:p>
        </w:tc>
        <w:tc>
          <w:tcPr>
            <w:tcW w:type="dxa" w:w="1100"/>
          </w:tcPr>
          <w:p>
            <w:pPr>
              <w:spacing w:before="0" w:after="0" w:line="252" w:lineRule="auto"/>
              <w:jc w:val="center"/>
            </w:pPr>
            <w:r>
              <w:rPr>
                <w:rFonts w:ascii="Times New Roman" w:hAnsi="Times New Roman" w:eastAsia="宋体"/>
                <w:color w:val="182B3A"/>
                <w:sz w:val="16"/>
              </w:rPr>
              <w:t>69.3%</w:t>
            </w:r>
          </w:p>
        </w:tc>
        <w:tc>
          <w:tcPr>
            <w:tcW w:type="dxa" w:w="1672"/>
          </w:tcPr>
          <w:p>
            <w:pPr>
              <w:spacing w:before="0" w:after="0" w:line="252" w:lineRule="auto"/>
              <w:jc w:val="center"/>
            </w:pPr>
            <w:r>
              <w:rPr>
                <w:rFonts w:ascii="Times New Roman" w:hAnsi="Times New Roman" w:eastAsia="宋体"/>
                <w:color w:val="182B3A"/>
                <w:sz w:val="16"/>
              </w:rPr>
              <w:t>8.13</w:t>
            </w:r>
          </w:p>
        </w:tc>
      </w:tr>
      <w:tr>
        <w:tc>
          <w:tcPr>
            <w:tcW w:type="dxa" w:w="1000"/>
          </w:tcPr>
          <w:p>
            <w:pPr>
              <w:spacing w:before="0" w:after="0" w:line="252" w:lineRule="auto"/>
              <w:jc w:val="center"/>
            </w:pPr>
            <w:r>
              <w:rPr>
                <w:rFonts w:ascii="Times New Roman" w:hAnsi="Times New Roman" w:eastAsia="宋体"/>
                <w:color w:val="182B3A"/>
                <w:sz w:val="16"/>
              </w:rPr>
              <w:t>14</w:t>
            </w:r>
          </w:p>
        </w:tc>
        <w:tc>
          <w:tcPr>
            <w:tcW w:type="dxa" w:w="1800"/>
          </w:tcPr>
          <w:p>
            <w:pPr>
              <w:spacing w:before="0" w:after="0" w:line="252" w:lineRule="auto"/>
              <w:jc w:val="left"/>
            </w:pPr>
            <w:r>
              <w:rPr>
                <w:rFonts w:ascii="Times New Roman" w:hAnsi="Times New Roman" w:eastAsia="宋体"/>
                <w:color w:val="182B3A"/>
                <w:sz w:val="16"/>
              </w:rPr>
              <w:t>小青菜(1)</w:t>
            </w:r>
          </w:p>
        </w:tc>
        <w:tc>
          <w:tcPr>
            <w:tcW w:type="dxa" w:w="1000"/>
          </w:tcPr>
          <w:p>
            <w:pPr>
              <w:spacing w:before="0" w:after="0" w:line="252" w:lineRule="auto"/>
              <w:jc w:val="center"/>
            </w:pPr>
            <w:r>
              <w:rPr>
                <w:rFonts w:ascii="Times New Roman" w:hAnsi="Times New Roman" w:eastAsia="宋体"/>
                <w:color w:val="182B3A"/>
                <w:sz w:val="16"/>
              </w:rPr>
              <w:t>5.4</w:t>
            </w:r>
          </w:p>
        </w:tc>
        <w:tc>
          <w:tcPr>
            <w:tcW w:type="dxa" w:w="1250"/>
          </w:tcPr>
          <w:p>
            <w:pPr>
              <w:spacing w:before="0" w:after="0" w:line="252" w:lineRule="auto"/>
              <w:jc w:val="center"/>
            </w:pPr>
            <w:r>
              <w:rPr>
                <w:rFonts w:ascii="Times New Roman" w:hAnsi="Times New Roman" w:eastAsia="宋体"/>
                <w:color w:val="182B3A"/>
                <w:sz w:val="16"/>
              </w:rPr>
              <w:t>5.218</w:t>
            </w:r>
          </w:p>
        </w:tc>
        <w:tc>
          <w:tcPr>
            <w:tcW w:type="dxa" w:w="1250"/>
          </w:tcPr>
          <w:p>
            <w:pPr>
              <w:spacing w:before="0" w:after="0" w:line="252" w:lineRule="auto"/>
              <w:jc w:val="center"/>
            </w:pPr>
            <w:r>
              <w:rPr>
                <w:rFonts w:ascii="Times New Roman" w:hAnsi="Times New Roman" w:eastAsia="宋体"/>
                <w:color w:val="182B3A"/>
                <w:sz w:val="16"/>
              </w:rPr>
              <w:t>3.742</w:t>
            </w:r>
          </w:p>
        </w:tc>
        <w:tc>
          <w:tcPr>
            <w:tcW w:type="dxa" w:w="1100"/>
          </w:tcPr>
          <w:p>
            <w:pPr>
              <w:spacing w:before="0" w:after="0" w:line="252" w:lineRule="auto"/>
              <w:jc w:val="center"/>
            </w:pPr>
            <w:r>
              <w:rPr>
                <w:rFonts w:ascii="Times New Roman" w:hAnsi="Times New Roman" w:eastAsia="宋体"/>
                <w:color w:val="182B3A"/>
                <w:sz w:val="16"/>
              </w:rPr>
              <w:t>45.5%</w:t>
            </w:r>
          </w:p>
        </w:tc>
        <w:tc>
          <w:tcPr>
            <w:tcW w:type="dxa" w:w="1672"/>
          </w:tcPr>
          <w:p>
            <w:pPr>
              <w:spacing w:before="0" w:after="0" w:line="252" w:lineRule="auto"/>
              <w:jc w:val="center"/>
            </w:pPr>
            <w:r>
              <w:rPr>
                <w:rFonts w:ascii="Times New Roman" w:hAnsi="Times New Roman" w:eastAsia="宋体"/>
                <w:color w:val="182B3A"/>
                <w:sz w:val="16"/>
              </w:rPr>
              <w:t>5.76</w:t>
            </w:r>
          </w:p>
        </w:tc>
      </w:tr>
      <w:tr>
        <w:tc>
          <w:tcPr>
            <w:tcW w:type="dxa" w:w="1000"/>
          </w:tcPr>
          <w:p>
            <w:pPr>
              <w:spacing w:before="0" w:after="0" w:line="252" w:lineRule="auto"/>
              <w:jc w:val="center"/>
            </w:pPr>
            <w:r>
              <w:rPr>
                <w:rFonts w:ascii="Times New Roman" w:hAnsi="Times New Roman" w:eastAsia="宋体"/>
                <w:color w:val="182B3A"/>
                <w:sz w:val="16"/>
              </w:rPr>
              <w:t>15</w:t>
            </w:r>
          </w:p>
        </w:tc>
        <w:tc>
          <w:tcPr>
            <w:tcW w:type="dxa" w:w="1800"/>
          </w:tcPr>
          <w:p>
            <w:pPr>
              <w:spacing w:before="0" w:after="0" w:line="252" w:lineRule="auto"/>
              <w:jc w:val="left"/>
            </w:pPr>
            <w:r>
              <w:rPr>
                <w:rFonts w:ascii="Times New Roman" w:hAnsi="Times New Roman" w:eastAsia="宋体"/>
                <w:color w:val="182B3A"/>
                <w:sz w:val="16"/>
              </w:rPr>
              <w:t>木耳菜</w:t>
            </w:r>
          </w:p>
        </w:tc>
        <w:tc>
          <w:tcPr>
            <w:tcW w:type="dxa" w:w="1000"/>
          </w:tcPr>
          <w:p>
            <w:pPr>
              <w:spacing w:before="0" w:after="0" w:line="252" w:lineRule="auto"/>
              <w:jc w:val="center"/>
            </w:pPr>
            <w:r>
              <w:rPr>
                <w:rFonts w:ascii="Times New Roman" w:hAnsi="Times New Roman" w:eastAsia="宋体"/>
                <w:color w:val="182B3A"/>
                <w:sz w:val="16"/>
              </w:rPr>
              <w:t>6.2</w:t>
            </w:r>
          </w:p>
        </w:tc>
        <w:tc>
          <w:tcPr>
            <w:tcW w:type="dxa" w:w="1250"/>
          </w:tcPr>
          <w:p>
            <w:pPr>
              <w:spacing w:before="0" w:after="0" w:line="252" w:lineRule="auto"/>
              <w:jc w:val="center"/>
            </w:pPr>
            <w:r>
              <w:rPr>
                <w:rFonts w:ascii="Times New Roman" w:hAnsi="Times New Roman" w:eastAsia="宋体"/>
                <w:color w:val="182B3A"/>
                <w:sz w:val="16"/>
              </w:rPr>
              <w:t>4.308</w:t>
            </w:r>
          </w:p>
        </w:tc>
        <w:tc>
          <w:tcPr>
            <w:tcW w:type="dxa" w:w="1250"/>
          </w:tcPr>
          <w:p>
            <w:pPr>
              <w:spacing w:before="0" w:after="0" w:line="252" w:lineRule="auto"/>
              <w:jc w:val="center"/>
            </w:pPr>
            <w:r>
              <w:rPr>
                <w:rFonts w:ascii="Times New Roman" w:hAnsi="Times New Roman" w:eastAsia="宋体"/>
                <w:color w:val="182B3A"/>
                <w:sz w:val="16"/>
              </w:rPr>
              <w:t>3.502</w:t>
            </w:r>
          </w:p>
        </w:tc>
        <w:tc>
          <w:tcPr>
            <w:tcW w:type="dxa" w:w="1100"/>
          </w:tcPr>
          <w:p>
            <w:pPr>
              <w:spacing w:before="0" w:after="0" w:line="252" w:lineRule="auto"/>
              <w:jc w:val="center"/>
            </w:pPr>
            <w:r>
              <w:rPr>
                <w:rFonts w:ascii="Times New Roman" w:hAnsi="Times New Roman" w:eastAsia="宋体"/>
                <w:color w:val="182B3A"/>
                <w:sz w:val="16"/>
              </w:rPr>
              <w:t>48.0%</w:t>
            </w:r>
          </w:p>
        </w:tc>
        <w:tc>
          <w:tcPr>
            <w:tcW w:type="dxa" w:w="1672"/>
          </w:tcPr>
          <w:p>
            <w:pPr>
              <w:spacing w:before="0" w:after="0" w:line="252" w:lineRule="auto"/>
              <w:jc w:val="center"/>
            </w:pPr>
            <w:r>
              <w:rPr>
                <w:rFonts w:ascii="Times New Roman" w:hAnsi="Times New Roman" w:eastAsia="宋体"/>
                <w:color w:val="182B3A"/>
                <w:sz w:val="16"/>
              </w:rPr>
              <w:t>7.93</w:t>
            </w:r>
          </w:p>
        </w:tc>
      </w:tr>
    </w:tbl>
    <w:p>
      <w:pPr>
        <w:widowControl/>
        <w:spacing w:after="40"/>
      </w:pPr>
    </w:p>
    <w:p>
      <w:pPr>
        <w:pStyle w:val="Heading2"/>
        <w:keepNext/>
        <w:widowControl/>
      </w:pPr>
      <w:r>
        <w:t>附录 A.3 花菜类</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000"/>
        <w:gridCol w:w="1800"/>
        <w:gridCol w:w="1000"/>
        <w:gridCol w:w="1250"/>
        <w:gridCol w:w="1250"/>
        <w:gridCol w:w="1100"/>
        <w:gridCol w:w="1672"/>
      </w:tblGrid>
      <w:tr>
        <w:trPr>
          <w:tblHeader w:val="true"/>
        </w:trPr>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序号</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单品名称</w:t>
            </w:r>
          </w:p>
        </w:tc>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售价</w:t>
              <w:br/>
              <w:t>(元/kg)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订货量</w:t>
              <w:br/>
              <w:t>(kg)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期望销量</w:t>
              <w:br/>
              <w:t>(kg)</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缺货概率</w:t>
            </w:r>
          </w:p>
        </w:tc>
        <w:tc>
          <w:tcPr>
            <w:tcW w:type="dxa" w:w="167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期望利润</w:t>
              <w:br/>
              <w:t>(元)</w:t>
            </w:r>
          </w:p>
        </w:tc>
      </w:tr>
      <w:tr>
        <w:tc>
          <w:tcPr>
            <w:tcW w:type="dxa" w:w="1000"/>
          </w:tcPr>
          <w:p>
            <w:pPr>
              <w:spacing w:before="0" w:after="0" w:line="252" w:lineRule="auto"/>
              <w:jc w:val="center"/>
            </w:pPr>
            <w:r>
              <w:rPr>
                <w:rFonts w:ascii="Times New Roman" w:hAnsi="Times New Roman" w:eastAsia="宋体"/>
                <w:color w:val="182B3A"/>
                <w:sz w:val="16"/>
              </w:rPr>
              <w:t>16</w:t>
            </w:r>
          </w:p>
        </w:tc>
        <w:tc>
          <w:tcPr>
            <w:tcW w:type="dxa" w:w="1800"/>
          </w:tcPr>
          <w:p>
            <w:pPr>
              <w:spacing w:before="0" w:after="0" w:line="252" w:lineRule="auto"/>
              <w:jc w:val="left"/>
            </w:pPr>
            <w:r>
              <w:rPr>
                <w:rFonts w:ascii="Times New Roman" w:hAnsi="Times New Roman" w:eastAsia="宋体"/>
                <w:color w:val="182B3A"/>
                <w:sz w:val="16"/>
              </w:rPr>
              <w:t>西兰花</w:t>
            </w:r>
          </w:p>
        </w:tc>
        <w:tc>
          <w:tcPr>
            <w:tcW w:type="dxa" w:w="1000"/>
          </w:tcPr>
          <w:p>
            <w:pPr>
              <w:spacing w:before="0" w:after="0" w:line="252" w:lineRule="auto"/>
              <w:jc w:val="center"/>
            </w:pPr>
            <w:r>
              <w:rPr>
                <w:rFonts w:ascii="Times New Roman" w:hAnsi="Times New Roman" w:eastAsia="宋体"/>
                <w:color w:val="182B3A"/>
                <w:sz w:val="16"/>
              </w:rPr>
              <w:t>10.9</w:t>
            </w:r>
          </w:p>
        </w:tc>
        <w:tc>
          <w:tcPr>
            <w:tcW w:type="dxa" w:w="1250"/>
          </w:tcPr>
          <w:p>
            <w:pPr>
              <w:spacing w:before="0" w:after="0" w:line="252" w:lineRule="auto"/>
              <w:jc w:val="center"/>
            </w:pPr>
            <w:r>
              <w:rPr>
                <w:rFonts w:ascii="Times New Roman" w:hAnsi="Times New Roman" w:eastAsia="宋体"/>
                <w:color w:val="182B3A"/>
                <w:sz w:val="16"/>
              </w:rPr>
              <w:t>20.504</w:t>
            </w:r>
          </w:p>
        </w:tc>
        <w:tc>
          <w:tcPr>
            <w:tcW w:type="dxa" w:w="1250"/>
          </w:tcPr>
          <w:p>
            <w:pPr>
              <w:spacing w:before="0" w:after="0" w:line="252" w:lineRule="auto"/>
              <w:jc w:val="center"/>
            </w:pPr>
            <w:r>
              <w:rPr>
                <w:rFonts w:ascii="Times New Roman" w:hAnsi="Times New Roman" w:eastAsia="宋体"/>
                <w:color w:val="182B3A"/>
                <w:sz w:val="16"/>
              </w:rPr>
              <w:t>12.963</w:t>
            </w:r>
          </w:p>
        </w:tc>
        <w:tc>
          <w:tcPr>
            <w:tcW w:type="dxa" w:w="1100"/>
          </w:tcPr>
          <w:p>
            <w:pPr>
              <w:spacing w:before="0" w:after="0" w:line="252" w:lineRule="auto"/>
              <w:jc w:val="center"/>
            </w:pPr>
            <w:r>
              <w:rPr>
                <w:rFonts w:ascii="Times New Roman" w:hAnsi="Times New Roman" w:eastAsia="宋体"/>
                <w:color w:val="182B3A"/>
                <w:sz w:val="16"/>
              </w:rPr>
              <w:t>24.0%</w:t>
            </w:r>
          </w:p>
        </w:tc>
        <w:tc>
          <w:tcPr>
            <w:tcW w:type="dxa" w:w="1672"/>
          </w:tcPr>
          <w:p>
            <w:pPr>
              <w:spacing w:before="0" w:after="0" w:line="252" w:lineRule="auto"/>
              <w:jc w:val="center"/>
            </w:pPr>
            <w:r>
              <w:rPr>
                <w:rFonts w:ascii="Times New Roman" w:hAnsi="Times New Roman" w:eastAsia="宋体"/>
                <w:color w:val="182B3A"/>
                <w:sz w:val="16"/>
              </w:rPr>
              <w:t>-27.09</w:t>
            </w:r>
          </w:p>
        </w:tc>
      </w:tr>
      <w:tr>
        <w:tc>
          <w:tcPr>
            <w:tcW w:type="dxa" w:w="1000"/>
          </w:tcPr>
          <w:p>
            <w:pPr>
              <w:spacing w:before="0" w:after="0" w:line="252" w:lineRule="auto"/>
              <w:jc w:val="center"/>
            </w:pPr>
            <w:r>
              <w:rPr>
                <w:rFonts w:ascii="Times New Roman" w:hAnsi="Times New Roman" w:eastAsia="宋体"/>
                <w:color w:val="182B3A"/>
                <w:sz w:val="16"/>
              </w:rPr>
              <w:t>17</w:t>
            </w:r>
          </w:p>
        </w:tc>
        <w:tc>
          <w:tcPr>
            <w:tcW w:type="dxa" w:w="1800"/>
          </w:tcPr>
          <w:p>
            <w:pPr>
              <w:spacing w:before="0" w:after="0" w:line="252" w:lineRule="auto"/>
              <w:jc w:val="left"/>
            </w:pPr>
            <w:r>
              <w:rPr>
                <w:rFonts w:ascii="Times New Roman" w:hAnsi="Times New Roman" w:eastAsia="宋体"/>
                <w:color w:val="182B3A"/>
                <w:sz w:val="16"/>
              </w:rPr>
              <w:t>枝江青梗散花</w:t>
            </w:r>
          </w:p>
        </w:tc>
        <w:tc>
          <w:tcPr>
            <w:tcW w:type="dxa" w:w="1000"/>
          </w:tcPr>
          <w:p>
            <w:pPr>
              <w:spacing w:before="0" w:after="0" w:line="252" w:lineRule="auto"/>
              <w:jc w:val="center"/>
            </w:pPr>
            <w:r>
              <w:rPr>
                <w:rFonts w:ascii="Times New Roman" w:hAnsi="Times New Roman" w:eastAsia="宋体"/>
                <w:color w:val="182B3A"/>
                <w:sz w:val="16"/>
              </w:rPr>
              <w:t>12.0</w:t>
            </w:r>
          </w:p>
        </w:tc>
        <w:tc>
          <w:tcPr>
            <w:tcW w:type="dxa" w:w="1250"/>
          </w:tcPr>
          <w:p>
            <w:pPr>
              <w:spacing w:before="0" w:after="0" w:line="252" w:lineRule="auto"/>
              <w:jc w:val="center"/>
            </w:pPr>
            <w:r>
              <w:rPr>
                <w:rFonts w:ascii="Times New Roman" w:hAnsi="Times New Roman" w:eastAsia="宋体"/>
                <w:color w:val="182B3A"/>
                <w:sz w:val="16"/>
              </w:rPr>
              <w:t>3.172</w:t>
            </w:r>
          </w:p>
        </w:tc>
        <w:tc>
          <w:tcPr>
            <w:tcW w:type="dxa" w:w="1250"/>
          </w:tcPr>
          <w:p>
            <w:pPr>
              <w:spacing w:before="0" w:after="0" w:line="252" w:lineRule="auto"/>
              <w:jc w:val="center"/>
            </w:pPr>
            <w:r>
              <w:rPr>
                <w:rFonts w:ascii="Times New Roman" w:hAnsi="Times New Roman" w:eastAsia="宋体"/>
                <w:color w:val="182B3A"/>
                <w:sz w:val="16"/>
              </w:rPr>
              <w:t>1.972</w:t>
            </w:r>
          </w:p>
        </w:tc>
        <w:tc>
          <w:tcPr>
            <w:tcW w:type="dxa" w:w="1100"/>
          </w:tcPr>
          <w:p>
            <w:pPr>
              <w:spacing w:before="0" w:after="0" w:line="252" w:lineRule="auto"/>
              <w:jc w:val="center"/>
            </w:pPr>
            <w:r>
              <w:rPr>
                <w:rFonts w:ascii="Times New Roman" w:hAnsi="Times New Roman" w:eastAsia="宋体"/>
                <w:color w:val="182B3A"/>
                <w:sz w:val="16"/>
              </w:rPr>
              <w:t>30.0%</w:t>
            </w:r>
          </w:p>
        </w:tc>
        <w:tc>
          <w:tcPr>
            <w:tcW w:type="dxa" w:w="1672"/>
          </w:tcPr>
          <w:p>
            <w:pPr>
              <w:spacing w:before="0" w:after="0" w:line="252" w:lineRule="auto"/>
              <w:jc w:val="center"/>
            </w:pPr>
            <w:r>
              <w:rPr>
                <w:rFonts w:ascii="Times New Roman" w:hAnsi="Times New Roman" w:eastAsia="宋体"/>
                <w:color w:val="182B3A"/>
                <w:sz w:val="16"/>
              </w:rPr>
              <w:t>-5.13</w:t>
            </w:r>
          </w:p>
        </w:tc>
      </w:tr>
    </w:tbl>
    <w:p>
      <w:pPr>
        <w:widowControl/>
        <w:spacing w:after="40"/>
      </w:pPr>
    </w:p>
    <w:p>
      <w:pPr>
        <w:pStyle w:val="Heading2"/>
        <w:keepNext/>
        <w:widowControl/>
      </w:pPr>
      <w:r>
        <w:t>附录 A.4 茄类</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000"/>
        <w:gridCol w:w="1800"/>
        <w:gridCol w:w="1000"/>
        <w:gridCol w:w="1250"/>
        <w:gridCol w:w="1250"/>
        <w:gridCol w:w="1100"/>
        <w:gridCol w:w="1672"/>
      </w:tblGrid>
      <w:tr>
        <w:trPr>
          <w:tblHeader w:val="true"/>
        </w:trPr>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序号</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单品名称</w:t>
            </w:r>
          </w:p>
        </w:tc>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售价</w:t>
              <w:br/>
              <w:t>(元/kg)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订货量</w:t>
              <w:br/>
              <w:t>(kg)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期望销量</w:t>
              <w:br/>
              <w:t>(kg)</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缺货概率</w:t>
            </w:r>
          </w:p>
        </w:tc>
        <w:tc>
          <w:tcPr>
            <w:tcW w:type="dxa" w:w="167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期望利润</w:t>
              <w:br/>
              <w:t>(元)</w:t>
            </w:r>
          </w:p>
        </w:tc>
      </w:tr>
      <w:tr>
        <w:tc>
          <w:tcPr>
            <w:tcW w:type="dxa" w:w="1000"/>
          </w:tcPr>
          <w:p>
            <w:pPr>
              <w:spacing w:before="0" w:after="0" w:line="252" w:lineRule="auto"/>
              <w:jc w:val="center"/>
            </w:pPr>
            <w:r>
              <w:rPr>
                <w:rFonts w:ascii="Times New Roman" w:hAnsi="Times New Roman" w:eastAsia="宋体"/>
                <w:color w:val="182B3A"/>
                <w:sz w:val="16"/>
              </w:rPr>
              <w:t>18</w:t>
            </w:r>
          </w:p>
        </w:tc>
        <w:tc>
          <w:tcPr>
            <w:tcW w:type="dxa" w:w="1800"/>
          </w:tcPr>
          <w:p>
            <w:pPr>
              <w:spacing w:before="0" w:after="0" w:line="252" w:lineRule="auto"/>
              <w:jc w:val="left"/>
            </w:pPr>
            <w:r>
              <w:rPr>
                <w:rFonts w:ascii="Times New Roman" w:hAnsi="Times New Roman" w:eastAsia="宋体"/>
                <w:color w:val="182B3A"/>
                <w:sz w:val="16"/>
              </w:rPr>
              <w:t>紫茄子(2)</w:t>
            </w:r>
          </w:p>
        </w:tc>
        <w:tc>
          <w:tcPr>
            <w:tcW w:type="dxa" w:w="1000"/>
          </w:tcPr>
          <w:p>
            <w:pPr>
              <w:spacing w:before="0" w:after="0" w:line="252" w:lineRule="auto"/>
              <w:jc w:val="center"/>
            </w:pPr>
            <w:r>
              <w:rPr>
                <w:rFonts w:ascii="Times New Roman" w:hAnsi="Times New Roman" w:eastAsia="宋体"/>
                <w:color w:val="182B3A"/>
                <w:sz w:val="16"/>
              </w:rPr>
              <w:t>5.4</w:t>
            </w:r>
          </w:p>
        </w:tc>
        <w:tc>
          <w:tcPr>
            <w:tcW w:type="dxa" w:w="1250"/>
          </w:tcPr>
          <w:p>
            <w:pPr>
              <w:spacing w:before="0" w:after="0" w:line="252" w:lineRule="auto"/>
              <w:jc w:val="center"/>
            </w:pPr>
            <w:r>
              <w:rPr>
                <w:rFonts w:ascii="Times New Roman" w:hAnsi="Times New Roman" w:eastAsia="宋体"/>
                <w:color w:val="182B3A"/>
                <w:sz w:val="16"/>
              </w:rPr>
              <w:t>28.291</w:t>
            </w:r>
          </w:p>
        </w:tc>
        <w:tc>
          <w:tcPr>
            <w:tcW w:type="dxa" w:w="1250"/>
          </w:tcPr>
          <w:p>
            <w:pPr>
              <w:spacing w:before="0" w:after="0" w:line="252" w:lineRule="auto"/>
              <w:jc w:val="center"/>
            </w:pPr>
            <w:r>
              <w:rPr>
                <w:rFonts w:ascii="Times New Roman" w:hAnsi="Times New Roman" w:eastAsia="宋体"/>
                <w:color w:val="182B3A"/>
                <w:sz w:val="16"/>
              </w:rPr>
              <w:t>17.398</w:t>
            </w:r>
          </w:p>
        </w:tc>
        <w:tc>
          <w:tcPr>
            <w:tcW w:type="dxa" w:w="1100"/>
          </w:tcPr>
          <w:p>
            <w:pPr>
              <w:spacing w:before="0" w:after="0" w:line="252" w:lineRule="auto"/>
              <w:jc w:val="center"/>
            </w:pPr>
            <w:r>
              <w:rPr>
                <w:rFonts w:ascii="Times New Roman" w:hAnsi="Times New Roman" w:eastAsia="宋体"/>
                <w:color w:val="182B3A"/>
                <w:sz w:val="16"/>
              </w:rPr>
              <w:t>21.2%</w:t>
            </w:r>
          </w:p>
        </w:tc>
        <w:tc>
          <w:tcPr>
            <w:tcW w:type="dxa" w:w="1672"/>
          </w:tcPr>
          <w:p>
            <w:pPr>
              <w:spacing w:before="0" w:after="0" w:line="252" w:lineRule="auto"/>
              <w:jc w:val="center"/>
            </w:pPr>
            <w:r>
              <w:rPr>
                <w:rFonts w:ascii="Times New Roman" w:hAnsi="Times New Roman" w:eastAsia="宋体"/>
                <w:color w:val="182B3A"/>
                <w:sz w:val="16"/>
              </w:rPr>
              <w:t>-8.62</w:t>
            </w:r>
          </w:p>
        </w:tc>
      </w:tr>
      <w:tr>
        <w:tc>
          <w:tcPr>
            <w:tcW w:type="dxa" w:w="1000"/>
          </w:tcPr>
          <w:p>
            <w:pPr>
              <w:spacing w:before="0" w:after="0" w:line="252" w:lineRule="auto"/>
              <w:jc w:val="center"/>
            </w:pPr>
            <w:r>
              <w:rPr>
                <w:rFonts w:ascii="Times New Roman" w:hAnsi="Times New Roman" w:eastAsia="宋体"/>
                <w:color w:val="182B3A"/>
                <w:sz w:val="16"/>
              </w:rPr>
              <w:t>19</w:t>
            </w:r>
          </w:p>
        </w:tc>
        <w:tc>
          <w:tcPr>
            <w:tcW w:type="dxa" w:w="1800"/>
          </w:tcPr>
          <w:p>
            <w:pPr>
              <w:spacing w:before="0" w:after="0" w:line="252" w:lineRule="auto"/>
              <w:jc w:val="left"/>
            </w:pPr>
            <w:r>
              <w:rPr>
                <w:rFonts w:ascii="Times New Roman" w:hAnsi="Times New Roman" w:eastAsia="宋体"/>
                <w:color w:val="182B3A"/>
                <w:sz w:val="16"/>
              </w:rPr>
              <w:t>长线茄</w:t>
            </w:r>
          </w:p>
        </w:tc>
        <w:tc>
          <w:tcPr>
            <w:tcW w:type="dxa" w:w="1000"/>
          </w:tcPr>
          <w:p>
            <w:pPr>
              <w:spacing w:before="0" w:after="0" w:line="252" w:lineRule="auto"/>
              <w:jc w:val="center"/>
            </w:pPr>
            <w:r>
              <w:rPr>
                <w:rFonts w:ascii="Times New Roman" w:hAnsi="Times New Roman" w:eastAsia="宋体"/>
                <w:color w:val="182B3A"/>
                <w:sz w:val="16"/>
              </w:rPr>
              <w:t>13.9</w:t>
            </w:r>
          </w:p>
        </w:tc>
        <w:tc>
          <w:tcPr>
            <w:tcW w:type="dxa" w:w="1250"/>
          </w:tcPr>
          <w:p>
            <w:pPr>
              <w:spacing w:before="0" w:after="0" w:line="252" w:lineRule="auto"/>
              <w:jc w:val="center"/>
            </w:pPr>
            <w:r>
              <w:rPr>
                <w:rFonts w:ascii="Times New Roman" w:hAnsi="Times New Roman" w:eastAsia="宋体"/>
                <w:color w:val="182B3A"/>
                <w:sz w:val="16"/>
              </w:rPr>
              <w:t>8.304</w:t>
            </w:r>
          </w:p>
        </w:tc>
        <w:tc>
          <w:tcPr>
            <w:tcW w:type="dxa" w:w="1250"/>
          </w:tcPr>
          <w:p>
            <w:pPr>
              <w:spacing w:before="0" w:after="0" w:line="252" w:lineRule="auto"/>
              <w:jc w:val="center"/>
            </w:pPr>
            <w:r>
              <w:rPr>
                <w:rFonts w:ascii="Times New Roman" w:hAnsi="Times New Roman" w:eastAsia="宋体"/>
                <w:color w:val="182B3A"/>
                <w:sz w:val="16"/>
              </w:rPr>
              <w:t>4.392</w:t>
            </w:r>
          </w:p>
        </w:tc>
        <w:tc>
          <w:tcPr>
            <w:tcW w:type="dxa" w:w="1100"/>
          </w:tcPr>
          <w:p>
            <w:pPr>
              <w:spacing w:before="0" w:after="0" w:line="252" w:lineRule="auto"/>
              <w:jc w:val="center"/>
            </w:pPr>
            <w:r>
              <w:rPr>
                <w:rFonts w:ascii="Times New Roman" w:hAnsi="Times New Roman" w:eastAsia="宋体"/>
                <w:color w:val="182B3A"/>
                <w:sz w:val="16"/>
              </w:rPr>
              <w:t>16.7%</w:t>
            </w:r>
          </w:p>
        </w:tc>
        <w:tc>
          <w:tcPr>
            <w:tcW w:type="dxa" w:w="1672"/>
          </w:tcPr>
          <w:p>
            <w:pPr>
              <w:spacing w:before="0" w:after="0" w:line="252" w:lineRule="auto"/>
              <w:jc w:val="center"/>
            </w:pPr>
            <w:r>
              <w:rPr>
                <w:rFonts w:ascii="Times New Roman" w:hAnsi="Times New Roman" w:eastAsia="宋体"/>
                <w:color w:val="182B3A"/>
                <w:sz w:val="16"/>
              </w:rPr>
              <w:t>-0.38</w:t>
            </w:r>
          </w:p>
        </w:tc>
      </w:tr>
      <w:tr>
        <w:tc>
          <w:tcPr>
            <w:tcW w:type="dxa" w:w="1000"/>
          </w:tcPr>
          <w:p>
            <w:pPr>
              <w:spacing w:before="0" w:after="0" w:line="252" w:lineRule="auto"/>
              <w:jc w:val="center"/>
            </w:pPr>
            <w:r>
              <w:rPr>
                <w:rFonts w:ascii="Times New Roman" w:hAnsi="Times New Roman" w:eastAsia="宋体"/>
                <w:color w:val="182B3A"/>
                <w:sz w:val="16"/>
              </w:rPr>
              <w:t>20</w:t>
            </w:r>
          </w:p>
        </w:tc>
        <w:tc>
          <w:tcPr>
            <w:tcW w:type="dxa" w:w="1800"/>
          </w:tcPr>
          <w:p>
            <w:pPr>
              <w:spacing w:before="0" w:after="0" w:line="252" w:lineRule="auto"/>
              <w:jc w:val="left"/>
            </w:pPr>
            <w:r>
              <w:rPr>
                <w:rFonts w:ascii="Times New Roman" w:hAnsi="Times New Roman" w:eastAsia="宋体"/>
                <w:color w:val="182B3A"/>
                <w:sz w:val="16"/>
              </w:rPr>
              <w:t>青茄子(1)</w:t>
            </w:r>
          </w:p>
        </w:tc>
        <w:tc>
          <w:tcPr>
            <w:tcW w:type="dxa" w:w="1000"/>
          </w:tcPr>
          <w:p>
            <w:pPr>
              <w:spacing w:before="0" w:after="0" w:line="252" w:lineRule="auto"/>
              <w:jc w:val="center"/>
            </w:pPr>
            <w:r>
              <w:rPr>
                <w:rFonts w:ascii="Times New Roman" w:hAnsi="Times New Roman" w:eastAsia="宋体"/>
                <w:color w:val="182B3A"/>
                <w:sz w:val="16"/>
              </w:rPr>
              <w:t>7.6</w:t>
            </w:r>
          </w:p>
        </w:tc>
        <w:tc>
          <w:tcPr>
            <w:tcW w:type="dxa" w:w="1250"/>
          </w:tcPr>
          <w:p>
            <w:pPr>
              <w:spacing w:before="0" w:after="0" w:line="252" w:lineRule="auto"/>
              <w:jc w:val="center"/>
            </w:pPr>
            <w:r>
              <w:rPr>
                <w:rFonts w:ascii="Times New Roman" w:hAnsi="Times New Roman" w:eastAsia="宋体"/>
                <w:color w:val="182B3A"/>
                <w:sz w:val="16"/>
              </w:rPr>
              <w:t>6.057</w:t>
            </w:r>
          </w:p>
        </w:tc>
        <w:tc>
          <w:tcPr>
            <w:tcW w:type="dxa" w:w="1250"/>
          </w:tcPr>
          <w:p>
            <w:pPr>
              <w:spacing w:before="0" w:after="0" w:line="252" w:lineRule="auto"/>
              <w:jc w:val="center"/>
            </w:pPr>
            <w:r>
              <w:rPr>
                <w:rFonts w:ascii="Times New Roman" w:hAnsi="Times New Roman" w:eastAsia="宋体"/>
                <w:color w:val="182B3A"/>
                <w:sz w:val="16"/>
              </w:rPr>
              <w:t>3.581</w:t>
            </w:r>
          </w:p>
        </w:tc>
        <w:tc>
          <w:tcPr>
            <w:tcW w:type="dxa" w:w="1100"/>
          </w:tcPr>
          <w:p>
            <w:pPr>
              <w:spacing w:before="0" w:after="0" w:line="252" w:lineRule="auto"/>
              <w:jc w:val="center"/>
            </w:pPr>
            <w:r>
              <w:rPr>
                <w:rFonts w:ascii="Times New Roman" w:hAnsi="Times New Roman" w:eastAsia="宋体"/>
                <w:color w:val="182B3A"/>
                <w:sz w:val="16"/>
              </w:rPr>
              <w:t>20.8%</w:t>
            </w:r>
          </w:p>
        </w:tc>
        <w:tc>
          <w:tcPr>
            <w:tcW w:type="dxa" w:w="1672"/>
          </w:tcPr>
          <w:p>
            <w:pPr>
              <w:spacing w:before="0" w:after="0" w:line="252" w:lineRule="auto"/>
              <w:jc w:val="center"/>
            </w:pPr>
            <w:r>
              <w:rPr>
                <w:rFonts w:ascii="Times New Roman" w:hAnsi="Times New Roman" w:eastAsia="宋体"/>
                <w:color w:val="182B3A"/>
                <w:sz w:val="16"/>
              </w:rPr>
              <w:t>1.74</w:t>
            </w:r>
          </w:p>
        </w:tc>
      </w:tr>
      <w:tr>
        <w:tc>
          <w:tcPr>
            <w:tcW w:type="dxa" w:w="1000"/>
          </w:tcPr>
          <w:p>
            <w:pPr>
              <w:spacing w:before="0" w:after="0" w:line="252" w:lineRule="auto"/>
              <w:jc w:val="center"/>
            </w:pPr>
            <w:r>
              <w:rPr>
                <w:rFonts w:ascii="Times New Roman" w:hAnsi="Times New Roman" w:eastAsia="宋体"/>
                <w:color w:val="182B3A"/>
                <w:sz w:val="16"/>
              </w:rPr>
              <w:t>21</w:t>
            </w:r>
          </w:p>
        </w:tc>
        <w:tc>
          <w:tcPr>
            <w:tcW w:type="dxa" w:w="1800"/>
          </w:tcPr>
          <w:p>
            <w:pPr>
              <w:spacing w:before="0" w:after="0" w:line="252" w:lineRule="auto"/>
              <w:jc w:val="left"/>
            </w:pPr>
            <w:r>
              <w:rPr>
                <w:rFonts w:ascii="Times New Roman" w:hAnsi="Times New Roman" w:eastAsia="宋体"/>
                <w:color w:val="182B3A"/>
                <w:sz w:val="16"/>
              </w:rPr>
              <w:t>圆茄子(2)</w:t>
            </w:r>
          </w:p>
        </w:tc>
        <w:tc>
          <w:tcPr>
            <w:tcW w:type="dxa" w:w="1000"/>
          </w:tcPr>
          <w:p>
            <w:pPr>
              <w:spacing w:before="0" w:after="0" w:line="252" w:lineRule="auto"/>
              <w:jc w:val="center"/>
            </w:pPr>
            <w:r>
              <w:rPr>
                <w:rFonts w:ascii="Times New Roman" w:hAnsi="Times New Roman" w:eastAsia="宋体"/>
                <w:color w:val="182B3A"/>
                <w:sz w:val="16"/>
              </w:rPr>
              <w:t>4.7</w:t>
            </w:r>
          </w:p>
        </w:tc>
        <w:tc>
          <w:tcPr>
            <w:tcW w:type="dxa" w:w="1250"/>
          </w:tcPr>
          <w:p>
            <w:pPr>
              <w:spacing w:before="0" w:after="0" w:line="252" w:lineRule="auto"/>
              <w:jc w:val="center"/>
            </w:pPr>
            <w:r>
              <w:rPr>
                <w:rFonts w:ascii="Times New Roman" w:hAnsi="Times New Roman" w:eastAsia="宋体"/>
                <w:color w:val="182B3A"/>
                <w:sz w:val="16"/>
              </w:rPr>
              <w:t>2.623</w:t>
            </w:r>
          </w:p>
        </w:tc>
        <w:tc>
          <w:tcPr>
            <w:tcW w:type="dxa" w:w="1250"/>
          </w:tcPr>
          <w:p>
            <w:pPr>
              <w:spacing w:before="0" w:after="0" w:line="252" w:lineRule="auto"/>
              <w:jc w:val="center"/>
            </w:pPr>
            <w:r>
              <w:rPr>
                <w:rFonts w:ascii="Times New Roman" w:hAnsi="Times New Roman" w:eastAsia="宋体"/>
                <w:color w:val="182B3A"/>
                <w:sz w:val="16"/>
              </w:rPr>
              <w:t>1.366</w:t>
            </w:r>
          </w:p>
        </w:tc>
        <w:tc>
          <w:tcPr>
            <w:tcW w:type="dxa" w:w="1100"/>
          </w:tcPr>
          <w:p>
            <w:pPr>
              <w:spacing w:before="0" w:after="0" w:line="252" w:lineRule="auto"/>
              <w:jc w:val="center"/>
            </w:pPr>
            <w:r>
              <w:rPr>
                <w:rFonts w:ascii="Times New Roman" w:hAnsi="Times New Roman" w:eastAsia="宋体"/>
                <w:color w:val="182B3A"/>
                <w:sz w:val="16"/>
              </w:rPr>
              <w:t>20.2%</w:t>
            </w:r>
          </w:p>
        </w:tc>
        <w:tc>
          <w:tcPr>
            <w:tcW w:type="dxa" w:w="1672"/>
          </w:tcPr>
          <w:p>
            <w:pPr>
              <w:spacing w:before="0" w:after="0" w:line="252" w:lineRule="auto"/>
              <w:jc w:val="center"/>
            </w:pPr>
            <w:r>
              <w:rPr>
                <w:rFonts w:ascii="Times New Roman" w:hAnsi="Times New Roman" w:eastAsia="宋体"/>
                <w:color w:val="182B3A"/>
                <w:sz w:val="16"/>
              </w:rPr>
              <w:t>-2.45</w:t>
            </w:r>
          </w:p>
        </w:tc>
      </w:tr>
    </w:tbl>
    <w:p>
      <w:pPr>
        <w:widowControl/>
        <w:spacing w:after="40"/>
      </w:pPr>
    </w:p>
    <w:p>
      <w:pPr>
        <w:pStyle w:val="Heading2"/>
        <w:keepNext/>
        <w:widowControl/>
      </w:pPr>
      <w:r>
        <w:t>附录 A.5 辣椒类</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000"/>
        <w:gridCol w:w="1800"/>
        <w:gridCol w:w="1000"/>
        <w:gridCol w:w="1250"/>
        <w:gridCol w:w="1250"/>
        <w:gridCol w:w="1100"/>
        <w:gridCol w:w="1672"/>
      </w:tblGrid>
      <w:tr>
        <w:trPr>
          <w:tblHeader w:val="true"/>
        </w:trPr>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序号</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单品名称</w:t>
            </w:r>
          </w:p>
        </w:tc>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售价</w:t>
              <w:br/>
              <w:t>(元/kg)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订货量</w:t>
              <w:br/>
              <w:t>(kg)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期望销量</w:t>
              <w:br/>
              <w:t>(kg)</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缺货概率</w:t>
            </w:r>
          </w:p>
        </w:tc>
        <w:tc>
          <w:tcPr>
            <w:tcW w:type="dxa" w:w="167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期望利润</w:t>
              <w:br/>
              <w:t>(元)</w:t>
            </w:r>
          </w:p>
        </w:tc>
      </w:tr>
      <w:tr>
        <w:tc>
          <w:tcPr>
            <w:tcW w:type="dxa" w:w="1000"/>
          </w:tcPr>
          <w:p>
            <w:pPr>
              <w:spacing w:before="0" w:after="0" w:line="252" w:lineRule="auto"/>
              <w:jc w:val="center"/>
            </w:pPr>
            <w:r>
              <w:rPr>
                <w:rFonts w:ascii="Times New Roman" w:hAnsi="Times New Roman" w:eastAsia="宋体"/>
                <w:color w:val="182B3A"/>
                <w:sz w:val="16"/>
              </w:rPr>
              <w:t>22</w:t>
            </w:r>
          </w:p>
        </w:tc>
        <w:tc>
          <w:tcPr>
            <w:tcW w:type="dxa" w:w="1800"/>
          </w:tcPr>
          <w:p>
            <w:pPr>
              <w:spacing w:before="0" w:after="0" w:line="252" w:lineRule="auto"/>
              <w:jc w:val="left"/>
            </w:pPr>
            <w:r>
              <w:rPr>
                <w:rFonts w:ascii="Times New Roman" w:hAnsi="Times New Roman" w:eastAsia="宋体"/>
                <w:color w:val="182B3A"/>
                <w:sz w:val="16"/>
              </w:rPr>
              <w:t>芜湖青椒(1)</w:t>
            </w:r>
          </w:p>
        </w:tc>
        <w:tc>
          <w:tcPr>
            <w:tcW w:type="dxa" w:w="1000"/>
          </w:tcPr>
          <w:p>
            <w:pPr>
              <w:spacing w:before="0" w:after="0" w:line="252" w:lineRule="auto"/>
              <w:jc w:val="center"/>
            </w:pPr>
            <w:r>
              <w:rPr>
                <w:rFonts w:ascii="Times New Roman" w:hAnsi="Times New Roman" w:eastAsia="宋体"/>
                <w:color w:val="182B3A"/>
                <w:sz w:val="16"/>
              </w:rPr>
              <w:t>6.7</w:t>
            </w:r>
          </w:p>
        </w:tc>
        <w:tc>
          <w:tcPr>
            <w:tcW w:type="dxa" w:w="1250"/>
          </w:tcPr>
          <w:p>
            <w:pPr>
              <w:spacing w:before="0" w:after="0" w:line="252" w:lineRule="auto"/>
              <w:jc w:val="center"/>
            </w:pPr>
            <w:r>
              <w:rPr>
                <w:rFonts w:ascii="Times New Roman" w:hAnsi="Times New Roman" w:eastAsia="宋体"/>
                <w:color w:val="182B3A"/>
                <w:sz w:val="16"/>
              </w:rPr>
              <w:t>30.755</w:t>
            </w:r>
          </w:p>
        </w:tc>
        <w:tc>
          <w:tcPr>
            <w:tcW w:type="dxa" w:w="1250"/>
          </w:tcPr>
          <w:p>
            <w:pPr>
              <w:spacing w:before="0" w:after="0" w:line="252" w:lineRule="auto"/>
              <w:jc w:val="center"/>
            </w:pPr>
            <w:r>
              <w:rPr>
                <w:rFonts w:ascii="Times New Roman" w:hAnsi="Times New Roman" w:eastAsia="宋体"/>
                <w:color w:val="182B3A"/>
                <w:sz w:val="16"/>
              </w:rPr>
              <w:t>21.820</w:t>
            </w:r>
          </w:p>
        </w:tc>
        <w:tc>
          <w:tcPr>
            <w:tcW w:type="dxa" w:w="1100"/>
          </w:tcPr>
          <w:p>
            <w:pPr>
              <w:spacing w:before="0" w:after="0" w:line="252" w:lineRule="auto"/>
              <w:jc w:val="center"/>
            </w:pPr>
            <w:r>
              <w:rPr>
                <w:rFonts w:ascii="Times New Roman" w:hAnsi="Times New Roman" w:eastAsia="宋体"/>
                <w:color w:val="182B3A"/>
                <w:sz w:val="16"/>
              </w:rPr>
              <w:t>43.7%</w:t>
            </w:r>
          </w:p>
        </w:tc>
        <w:tc>
          <w:tcPr>
            <w:tcW w:type="dxa" w:w="1672"/>
          </w:tcPr>
          <w:p>
            <w:pPr>
              <w:spacing w:before="0" w:after="0" w:line="252" w:lineRule="auto"/>
              <w:jc w:val="center"/>
            </w:pPr>
            <w:r>
              <w:rPr>
                <w:rFonts w:ascii="Times New Roman" w:hAnsi="Times New Roman" w:eastAsia="宋体"/>
                <w:color w:val="182B3A"/>
                <w:sz w:val="16"/>
              </w:rPr>
              <w:t>32.48</w:t>
            </w:r>
          </w:p>
        </w:tc>
      </w:tr>
      <w:tr>
        <w:tc>
          <w:tcPr>
            <w:tcW w:type="dxa" w:w="1000"/>
          </w:tcPr>
          <w:p>
            <w:pPr>
              <w:spacing w:before="0" w:after="0" w:line="252" w:lineRule="auto"/>
              <w:jc w:val="center"/>
            </w:pPr>
            <w:r>
              <w:rPr>
                <w:rFonts w:ascii="Times New Roman" w:hAnsi="Times New Roman" w:eastAsia="宋体"/>
                <w:color w:val="182B3A"/>
                <w:sz w:val="16"/>
              </w:rPr>
              <w:t>23</w:t>
            </w:r>
          </w:p>
        </w:tc>
        <w:tc>
          <w:tcPr>
            <w:tcW w:type="dxa" w:w="1800"/>
          </w:tcPr>
          <w:p>
            <w:pPr>
              <w:spacing w:before="0" w:after="0" w:line="252" w:lineRule="auto"/>
              <w:jc w:val="left"/>
            </w:pPr>
            <w:r>
              <w:rPr>
                <w:rFonts w:ascii="Times New Roman" w:hAnsi="Times New Roman" w:eastAsia="宋体"/>
                <w:color w:val="182B3A"/>
                <w:sz w:val="16"/>
              </w:rPr>
              <w:t>小米椒(份)</w:t>
            </w:r>
          </w:p>
        </w:tc>
        <w:tc>
          <w:tcPr>
            <w:tcW w:type="dxa" w:w="1000"/>
          </w:tcPr>
          <w:p>
            <w:pPr>
              <w:spacing w:before="0" w:after="0" w:line="252" w:lineRule="auto"/>
              <w:jc w:val="center"/>
            </w:pPr>
            <w:r>
              <w:rPr>
                <w:rFonts w:ascii="Times New Roman" w:hAnsi="Times New Roman" w:eastAsia="宋体"/>
                <w:color w:val="182B3A"/>
                <w:sz w:val="16"/>
              </w:rPr>
              <w:t>4.8</w:t>
            </w:r>
          </w:p>
        </w:tc>
        <w:tc>
          <w:tcPr>
            <w:tcW w:type="dxa" w:w="1250"/>
          </w:tcPr>
          <w:p>
            <w:pPr>
              <w:spacing w:before="0" w:after="0" w:line="252" w:lineRule="auto"/>
              <w:jc w:val="center"/>
            </w:pPr>
            <w:r>
              <w:rPr>
                <w:rFonts w:ascii="Times New Roman" w:hAnsi="Times New Roman" w:eastAsia="宋体"/>
                <w:color w:val="182B3A"/>
                <w:sz w:val="16"/>
              </w:rPr>
              <w:t>25.432</w:t>
            </w:r>
          </w:p>
        </w:tc>
        <w:tc>
          <w:tcPr>
            <w:tcW w:type="dxa" w:w="1250"/>
          </w:tcPr>
          <w:p>
            <w:pPr>
              <w:spacing w:before="0" w:after="0" w:line="252" w:lineRule="auto"/>
              <w:jc w:val="center"/>
            </w:pPr>
            <w:r>
              <w:rPr>
                <w:rFonts w:ascii="Times New Roman" w:hAnsi="Times New Roman" w:eastAsia="宋体"/>
                <w:color w:val="182B3A"/>
                <w:sz w:val="16"/>
              </w:rPr>
              <w:t>17.080</w:t>
            </w:r>
          </w:p>
        </w:tc>
        <w:tc>
          <w:tcPr>
            <w:tcW w:type="dxa" w:w="1100"/>
          </w:tcPr>
          <w:p>
            <w:pPr>
              <w:spacing w:before="0" w:after="0" w:line="252" w:lineRule="auto"/>
              <w:jc w:val="center"/>
            </w:pPr>
            <w:r>
              <w:rPr>
                <w:rFonts w:ascii="Times New Roman" w:hAnsi="Times New Roman" w:eastAsia="宋体"/>
                <w:color w:val="182B3A"/>
                <w:sz w:val="16"/>
              </w:rPr>
              <w:t>28.0%</w:t>
            </w:r>
          </w:p>
        </w:tc>
        <w:tc>
          <w:tcPr>
            <w:tcW w:type="dxa" w:w="1672"/>
          </w:tcPr>
          <w:p>
            <w:pPr>
              <w:spacing w:before="0" w:after="0" w:line="252" w:lineRule="auto"/>
              <w:jc w:val="center"/>
            </w:pPr>
            <w:r>
              <w:rPr>
                <w:rFonts w:ascii="Times New Roman" w:hAnsi="Times New Roman" w:eastAsia="宋体"/>
                <w:color w:val="182B3A"/>
                <w:sz w:val="16"/>
              </w:rPr>
              <w:t>27.33</w:t>
            </w:r>
          </w:p>
        </w:tc>
      </w:tr>
      <w:tr>
        <w:tc>
          <w:tcPr>
            <w:tcW w:type="dxa" w:w="1000"/>
          </w:tcPr>
          <w:p>
            <w:pPr>
              <w:spacing w:before="0" w:after="0" w:line="252" w:lineRule="auto"/>
              <w:jc w:val="center"/>
            </w:pPr>
            <w:r>
              <w:rPr>
                <w:rFonts w:ascii="Times New Roman" w:hAnsi="Times New Roman" w:eastAsia="宋体"/>
                <w:color w:val="182B3A"/>
                <w:sz w:val="16"/>
              </w:rPr>
              <w:t>24</w:t>
            </w:r>
          </w:p>
        </w:tc>
        <w:tc>
          <w:tcPr>
            <w:tcW w:type="dxa" w:w="1800"/>
          </w:tcPr>
          <w:p>
            <w:pPr>
              <w:spacing w:before="0" w:after="0" w:line="252" w:lineRule="auto"/>
              <w:jc w:val="left"/>
            </w:pPr>
            <w:r>
              <w:rPr>
                <w:rFonts w:ascii="Times New Roman" w:hAnsi="Times New Roman" w:eastAsia="宋体"/>
                <w:color w:val="182B3A"/>
                <w:sz w:val="16"/>
              </w:rPr>
              <w:t>螺丝椒(份)</w:t>
            </w:r>
          </w:p>
        </w:tc>
        <w:tc>
          <w:tcPr>
            <w:tcW w:type="dxa" w:w="1000"/>
          </w:tcPr>
          <w:p>
            <w:pPr>
              <w:spacing w:before="0" w:after="0" w:line="252" w:lineRule="auto"/>
              <w:jc w:val="center"/>
            </w:pPr>
            <w:r>
              <w:rPr>
                <w:rFonts w:ascii="Times New Roman" w:hAnsi="Times New Roman" w:eastAsia="宋体"/>
                <w:color w:val="182B3A"/>
                <w:sz w:val="16"/>
              </w:rPr>
              <w:t>9.8</w:t>
            </w:r>
          </w:p>
        </w:tc>
        <w:tc>
          <w:tcPr>
            <w:tcW w:type="dxa" w:w="1250"/>
          </w:tcPr>
          <w:p>
            <w:pPr>
              <w:spacing w:before="0" w:after="0" w:line="252" w:lineRule="auto"/>
              <w:jc w:val="center"/>
            </w:pPr>
            <w:r>
              <w:rPr>
                <w:rFonts w:ascii="Times New Roman" w:hAnsi="Times New Roman" w:eastAsia="宋体"/>
                <w:color w:val="182B3A"/>
                <w:sz w:val="16"/>
              </w:rPr>
              <w:t>10.800</w:t>
            </w:r>
          </w:p>
        </w:tc>
        <w:tc>
          <w:tcPr>
            <w:tcW w:type="dxa" w:w="1250"/>
          </w:tcPr>
          <w:p>
            <w:pPr>
              <w:spacing w:before="0" w:after="0" w:line="252" w:lineRule="auto"/>
              <w:jc w:val="center"/>
            </w:pPr>
            <w:r>
              <w:rPr>
                <w:rFonts w:ascii="Times New Roman" w:hAnsi="Times New Roman" w:eastAsia="宋体"/>
                <w:color w:val="182B3A"/>
                <w:sz w:val="16"/>
              </w:rPr>
              <w:t>7.073</w:t>
            </w:r>
          </w:p>
        </w:tc>
        <w:tc>
          <w:tcPr>
            <w:tcW w:type="dxa" w:w="1100"/>
          </w:tcPr>
          <w:p>
            <w:pPr>
              <w:spacing w:before="0" w:after="0" w:line="252" w:lineRule="auto"/>
              <w:jc w:val="center"/>
            </w:pPr>
            <w:r>
              <w:rPr>
                <w:rFonts w:ascii="Times New Roman" w:hAnsi="Times New Roman" w:eastAsia="宋体"/>
                <w:color w:val="182B3A"/>
                <w:sz w:val="16"/>
              </w:rPr>
              <w:t>29.5%</w:t>
            </w:r>
          </w:p>
        </w:tc>
        <w:tc>
          <w:tcPr>
            <w:tcW w:type="dxa" w:w="1672"/>
          </w:tcPr>
          <w:p>
            <w:pPr>
              <w:spacing w:before="0" w:after="0" w:line="252" w:lineRule="auto"/>
              <w:jc w:val="center"/>
            </w:pPr>
            <w:r>
              <w:rPr>
                <w:rFonts w:ascii="Times New Roman" w:hAnsi="Times New Roman" w:eastAsia="宋体"/>
                <w:color w:val="182B3A"/>
                <w:sz w:val="16"/>
              </w:rPr>
              <w:t>22.12</w:t>
            </w:r>
          </w:p>
        </w:tc>
      </w:tr>
      <w:tr>
        <w:tc>
          <w:tcPr>
            <w:tcW w:type="dxa" w:w="1000"/>
          </w:tcPr>
          <w:p>
            <w:pPr>
              <w:spacing w:before="0" w:after="0" w:line="252" w:lineRule="auto"/>
              <w:jc w:val="center"/>
            </w:pPr>
            <w:r>
              <w:rPr>
                <w:rFonts w:ascii="Times New Roman" w:hAnsi="Times New Roman" w:eastAsia="宋体"/>
                <w:color w:val="182B3A"/>
                <w:sz w:val="16"/>
              </w:rPr>
              <w:t>25</w:t>
            </w:r>
          </w:p>
        </w:tc>
        <w:tc>
          <w:tcPr>
            <w:tcW w:type="dxa" w:w="1800"/>
          </w:tcPr>
          <w:p>
            <w:pPr>
              <w:spacing w:before="0" w:after="0" w:line="252" w:lineRule="auto"/>
              <w:jc w:val="left"/>
            </w:pPr>
            <w:r>
              <w:rPr>
                <w:rFonts w:ascii="Times New Roman" w:hAnsi="Times New Roman" w:eastAsia="宋体"/>
                <w:color w:val="182B3A"/>
                <w:sz w:val="16"/>
              </w:rPr>
              <w:t>小皱皮(份)</w:t>
            </w:r>
          </w:p>
        </w:tc>
        <w:tc>
          <w:tcPr>
            <w:tcW w:type="dxa" w:w="1000"/>
          </w:tcPr>
          <w:p>
            <w:pPr>
              <w:spacing w:before="0" w:after="0" w:line="252" w:lineRule="auto"/>
              <w:jc w:val="center"/>
            </w:pPr>
            <w:r>
              <w:rPr>
                <w:rFonts w:ascii="Times New Roman" w:hAnsi="Times New Roman" w:eastAsia="宋体"/>
                <w:color w:val="182B3A"/>
                <w:sz w:val="16"/>
              </w:rPr>
              <w:t>4.8</w:t>
            </w:r>
          </w:p>
        </w:tc>
        <w:tc>
          <w:tcPr>
            <w:tcW w:type="dxa" w:w="1250"/>
          </w:tcPr>
          <w:p>
            <w:pPr>
              <w:spacing w:before="0" w:after="0" w:line="252" w:lineRule="auto"/>
              <w:jc w:val="center"/>
            </w:pPr>
            <w:r>
              <w:rPr>
                <w:rFonts w:ascii="Times New Roman" w:hAnsi="Times New Roman" w:eastAsia="宋体"/>
                <w:color w:val="182B3A"/>
                <w:sz w:val="16"/>
              </w:rPr>
              <w:t>9.594</w:t>
            </w:r>
          </w:p>
        </w:tc>
        <w:tc>
          <w:tcPr>
            <w:tcW w:type="dxa" w:w="1250"/>
          </w:tcPr>
          <w:p>
            <w:pPr>
              <w:spacing w:before="0" w:after="0" w:line="252" w:lineRule="auto"/>
              <w:jc w:val="center"/>
            </w:pPr>
            <w:r>
              <w:rPr>
                <w:rFonts w:ascii="Times New Roman" w:hAnsi="Times New Roman" w:eastAsia="宋体"/>
                <w:color w:val="182B3A"/>
                <w:sz w:val="16"/>
              </w:rPr>
              <w:t>6.739</w:t>
            </w:r>
          </w:p>
        </w:tc>
        <w:tc>
          <w:tcPr>
            <w:tcW w:type="dxa" w:w="1100"/>
          </w:tcPr>
          <w:p>
            <w:pPr>
              <w:spacing w:before="0" w:after="0" w:line="252" w:lineRule="auto"/>
              <w:jc w:val="center"/>
            </w:pPr>
            <w:r>
              <w:rPr>
                <w:rFonts w:ascii="Times New Roman" w:hAnsi="Times New Roman" w:eastAsia="宋体"/>
                <w:color w:val="182B3A"/>
                <w:sz w:val="16"/>
              </w:rPr>
              <w:t>31.0%</w:t>
            </w:r>
          </w:p>
        </w:tc>
        <w:tc>
          <w:tcPr>
            <w:tcW w:type="dxa" w:w="1672"/>
          </w:tcPr>
          <w:p>
            <w:pPr>
              <w:spacing w:before="0" w:after="0" w:line="252" w:lineRule="auto"/>
              <w:jc w:val="center"/>
            </w:pPr>
            <w:r>
              <w:rPr>
                <w:rFonts w:ascii="Times New Roman" w:hAnsi="Times New Roman" w:eastAsia="宋体"/>
                <w:color w:val="182B3A"/>
                <w:sz w:val="16"/>
              </w:rPr>
              <w:t>11.82</w:t>
            </w:r>
          </w:p>
        </w:tc>
      </w:tr>
      <w:tr>
        <w:tc>
          <w:tcPr>
            <w:tcW w:type="dxa" w:w="1000"/>
          </w:tcPr>
          <w:p>
            <w:pPr>
              <w:spacing w:before="0" w:after="0" w:line="252" w:lineRule="auto"/>
              <w:jc w:val="center"/>
            </w:pPr>
            <w:r>
              <w:rPr>
                <w:rFonts w:ascii="Times New Roman" w:hAnsi="Times New Roman" w:eastAsia="宋体"/>
                <w:color w:val="182B3A"/>
                <w:sz w:val="16"/>
              </w:rPr>
              <w:t>26</w:t>
            </w:r>
          </w:p>
        </w:tc>
        <w:tc>
          <w:tcPr>
            <w:tcW w:type="dxa" w:w="1800"/>
          </w:tcPr>
          <w:p>
            <w:pPr>
              <w:spacing w:before="0" w:after="0" w:line="252" w:lineRule="auto"/>
              <w:jc w:val="left"/>
            </w:pPr>
            <w:r>
              <w:rPr>
                <w:rFonts w:ascii="Times New Roman" w:hAnsi="Times New Roman" w:eastAsia="宋体"/>
                <w:color w:val="182B3A"/>
                <w:sz w:val="16"/>
              </w:rPr>
              <w:t>螺丝椒</w:t>
            </w:r>
          </w:p>
        </w:tc>
        <w:tc>
          <w:tcPr>
            <w:tcW w:type="dxa" w:w="1000"/>
          </w:tcPr>
          <w:p>
            <w:pPr>
              <w:spacing w:before="0" w:after="0" w:line="252" w:lineRule="auto"/>
              <w:jc w:val="center"/>
            </w:pPr>
            <w:r>
              <w:rPr>
                <w:rFonts w:ascii="Times New Roman" w:hAnsi="Times New Roman" w:eastAsia="宋体"/>
                <w:color w:val="182B3A"/>
                <w:sz w:val="16"/>
              </w:rPr>
              <w:t>14.5</w:t>
            </w:r>
          </w:p>
        </w:tc>
        <w:tc>
          <w:tcPr>
            <w:tcW w:type="dxa" w:w="1250"/>
          </w:tcPr>
          <w:p>
            <w:pPr>
              <w:spacing w:before="0" w:after="0" w:line="252" w:lineRule="auto"/>
              <w:jc w:val="center"/>
            </w:pPr>
            <w:r>
              <w:rPr>
                <w:rFonts w:ascii="Times New Roman" w:hAnsi="Times New Roman" w:eastAsia="宋体"/>
                <w:color w:val="182B3A"/>
                <w:sz w:val="16"/>
              </w:rPr>
              <w:t>8.398</w:t>
            </w:r>
          </w:p>
        </w:tc>
        <w:tc>
          <w:tcPr>
            <w:tcW w:type="dxa" w:w="1250"/>
          </w:tcPr>
          <w:p>
            <w:pPr>
              <w:spacing w:before="0" w:after="0" w:line="252" w:lineRule="auto"/>
              <w:jc w:val="center"/>
            </w:pPr>
            <w:r>
              <w:rPr>
                <w:rFonts w:ascii="Times New Roman" w:hAnsi="Times New Roman" w:eastAsia="宋体"/>
                <w:color w:val="182B3A"/>
                <w:sz w:val="16"/>
              </w:rPr>
              <w:t>6.475</w:t>
            </w:r>
          </w:p>
        </w:tc>
        <w:tc>
          <w:tcPr>
            <w:tcW w:type="dxa" w:w="1100"/>
          </w:tcPr>
          <w:p>
            <w:pPr>
              <w:spacing w:before="0" w:after="0" w:line="252" w:lineRule="auto"/>
              <w:jc w:val="center"/>
            </w:pPr>
            <w:r>
              <w:rPr>
                <w:rFonts w:ascii="Times New Roman" w:hAnsi="Times New Roman" w:eastAsia="宋体"/>
                <w:color w:val="182B3A"/>
                <w:sz w:val="16"/>
              </w:rPr>
              <w:t>62.8%</w:t>
            </w:r>
          </w:p>
        </w:tc>
        <w:tc>
          <w:tcPr>
            <w:tcW w:type="dxa" w:w="1672"/>
          </w:tcPr>
          <w:p>
            <w:pPr>
              <w:spacing w:before="0" w:after="0" w:line="252" w:lineRule="auto"/>
              <w:jc w:val="center"/>
            </w:pPr>
            <w:r>
              <w:rPr>
                <w:rFonts w:ascii="Times New Roman" w:hAnsi="Times New Roman" w:eastAsia="宋体"/>
                <w:color w:val="182B3A"/>
                <w:sz w:val="16"/>
              </w:rPr>
              <w:t>17.15</w:t>
            </w:r>
          </w:p>
        </w:tc>
      </w:tr>
      <w:tr>
        <w:tc>
          <w:tcPr>
            <w:tcW w:type="dxa" w:w="1000"/>
          </w:tcPr>
          <w:p>
            <w:pPr>
              <w:spacing w:before="0" w:after="0" w:line="252" w:lineRule="auto"/>
              <w:jc w:val="center"/>
            </w:pPr>
            <w:r>
              <w:rPr>
                <w:rFonts w:ascii="Times New Roman" w:hAnsi="Times New Roman" w:eastAsia="宋体"/>
                <w:color w:val="182B3A"/>
                <w:sz w:val="16"/>
              </w:rPr>
              <w:t>27</w:t>
            </w:r>
          </w:p>
        </w:tc>
        <w:tc>
          <w:tcPr>
            <w:tcW w:type="dxa" w:w="1800"/>
          </w:tcPr>
          <w:p>
            <w:pPr>
              <w:spacing w:before="0" w:after="0" w:line="252" w:lineRule="auto"/>
              <w:jc w:val="left"/>
            </w:pPr>
            <w:r>
              <w:rPr>
                <w:rFonts w:ascii="Times New Roman" w:hAnsi="Times New Roman" w:eastAsia="宋体"/>
                <w:color w:val="182B3A"/>
                <w:sz w:val="16"/>
              </w:rPr>
              <w:t>姜蒜小米椒组合装(小份)</w:t>
            </w:r>
          </w:p>
        </w:tc>
        <w:tc>
          <w:tcPr>
            <w:tcW w:type="dxa" w:w="1000"/>
          </w:tcPr>
          <w:p>
            <w:pPr>
              <w:spacing w:before="0" w:after="0" w:line="252" w:lineRule="auto"/>
              <w:jc w:val="center"/>
            </w:pPr>
            <w:r>
              <w:rPr>
                <w:rFonts w:ascii="Times New Roman" w:hAnsi="Times New Roman" w:eastAsia="宋体"/>
                <w:color w:val="182B3A"/>
                <w:sz w:val="16"/>
              </w:rPr>
              <w:t>5.3</w:t>
            </w:r>
          </w:p>
        </w:tc>
        <w:tc>
          <w:tcPr>
            <w:tcW w:type="dxa" w:w="1250"/>
          </w:tcPr>
          <w:p>
            <w:pPr>
              <w:spacing w:before="0" w:after="0" w:line="252" w:lineRule="auto"/>
              <w:jc w:val="center"/>
            </w:pPr>
            <w:r>
              <w:rPr>
                <w:rFonts w:ascii="Times New Roman" w:hAnsi="Times New Roman" w:eastAsia="宋体"/>
                <w:color w:val="182B3A"/>
                <w:sz w:val="16"/>
              </w:rPr>
              <w:t>5.958</w:t>
            </w:r>
          </w:p>
        </w:tc>
        <w:tc>
          <w:tcPr>
            <w:tcW w:type="dxa" w:w="1250"/>
          </w:tcPr>
          <w:p>
            <w:pPr>
              <w:spacing w:before="0" w:after="0" w:line="252" w:lineRule="auto"/>
              <w:jc w:val="center"/>
            </w:pPr>
            <w:r>
              <w:rPr>
                <w:rFonts w:ascii="Times New Roman" w:hAnsi="Times New Roman" w:eastAsia="宋体"/>
                <w:color w:val="182B3A"/>
                <w:sz w:val="16"/>
              </w:rPr>
              <w:t>4.360</w:t>
            </w:r>
          </w:p>
        </w:tc>
        <w:tc>
          <w:tcPr>
            <w:tcW w:type="dxa" w:w="1100"/>
          </w:tcPr>
          <w:p>
            <w:pPr>
              <w:spacing w:before="0" w:after="0" w:line="252" w:lineRule="auto"/>
              <w:jc w:val="center"/>
            </w:pPr>
            <w:r>
              <w:rPr>
                <w:rFonts w:ascii="Times New Roman" w:hAnsi="Times New Roman" w:eastAsia="宋体"/>
                <w:color w:val="182B3A"/>
                <w:sz w:val="16"/>
              </w:rPr>
              <w:t>32.2%</w:t>
            </w:r>
          </w:p>
        </w:tc>
        <w:tc>
          <w:tcPr>
            <w:tcW w:type="dxa" w:w="1672"/>
          </w:tcPr>
          <w:p>
            <w:pPr>
              <w:spacing w:before="0" w:after="0" w:line="252" w:lineRule="auto"/>
              <w:jc w:val="center"/>
            </w:pPr>
            <w:r>
              <w:rPr>
                <w:rFonts w:ascii="Times New Roman" w:hAnsi="Times New Roman" w:eastAsia="宋体"/>
                <w:color w:val="182B3A"/>
                <w:sz w:val="16"/>
              </w:rPr>
              <w:t>8.97</w:t>
            </w:r>
          </w:p>
        </w:tc>
      </w:tr>
    </w:tbl>
    <w:p>
      <w:pPr>
        <w:widowControl/>
        <w:spacing w:after="40"/>
      </w:pPr>
    </w:p>
    <w:p>
      <w:pPr>
        <w:pStyle w:val="Heading2"/>
        <w:keepNext/>
        <w:widowControl/>
      </w:pPr>
      <w:r>
        <w:t>附录 A.6 食用菌</w:t>
      </w:r>
    </w:p>
    <w:tbl>
      <w:tblPr>
        <w:tblW w:type="dxa" w:w="9072"/>
        <w:jc w:val="left"/>
        <w:tblLayout w:type="fixed"/>
        <w:tblLook w:firstColumn="1" w:firstRow="1" w:lastColumn="0" w:lastRow="0" w:noHBand="0" w:noVBand="1" w:val="04A0"/>
        <w:tblInd w:w="120" w:type="dxa"/>
        <w:tblBorders>
          <w:top w:val="single" w:sz="5" w:color="AEB9C4"/>
          <w:left w:val="single" w:sz="5" w:color="AEB9C4"/>
          <w:bottom w:val="single" w:sz="5" w:color="AEB9C4"/>
          <w:right w:val="single" w:sz="5" w:color="AEB9C4"/>
          <w:insideH w:val="single" w:sz="5" w:color="AEB9C4"/>
          <w:insideV w:val="single" w:sz="5" w:color="AEB9C4"/>
        </w:tblBorders>
      </w:tblPr>
      <w:tblGrid>
        <w:gridCol w:w="1000"/>
        <w:gridCol w:w="1800"/>
        <w:gridCol w:w="1000"/>
        <w:gridCol w:w="1250"/>
        <w:gridCol w:w="1250"/>
        <w:gridCol w:w="1100"/>
        <w:gridCol w:w="1672"/>
      </w:tblGrid>
      <w:tr>
        <w:trPr>
          <w:tblHeader w:val="true"/>
        </w:trPr>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序号</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单品名称</w:t>
            </w:r>
          </w:p>
        </w:tc>
        <w:tc>
          <w:tcPr>
            <w:tcW w:type="dxa" w:w="10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售价</w:t>
              <w:br/>
              <w:t>(元/kg)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订货量</w:t>
              <w:br/>
              <w:t>(kg)</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期望销量</w:t>
              <w:br/>
              <w:t>(kg)</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缺货概率</w:t>
            </w:r>
          </w:p>
        </w:tc>
        <w:tc>
          <w:tcPr>
            <w:tcW w:type="dxa" w:w="1672"/>
            <w:tcMar>
              <w:top w:w="80" w:type="dxa"/>
              <w:start w:w="120" w:type="dxa"/>
              <w:bottom w:w="80" w:type="dxa"/>
              <w:end w:w="120" w:type="dxa"/>
            </w:tcMar>
            <w:vAlign w:val="center"/>
            <w:shd w:fill="E8EEF5"/>
          </w:tcPr>
          <w:p>
            <w:pPr>
              <w:spacing w:before="0" w:after="0" w:line="252" w:lineRule="auto"/>
              <w:jc w:val="center"/>
            </w:pPr>
            <w:r>
              <w:rPr>
                <w:rFonts w:ascii="Times New Roman" w:hAnsi="Times New Roman" w:eastAsia="黑体"/>
                <w:b/>
                <w:color w:val="182B3A"/>
                <w:sz w:val="16"/>
              </w:rPr>
              <w:t>期望利润</w:t>
              <w:br/>
              <w:t>(元)</w:t>
            </w:r>
          </w:p>
        </w:tc>
      </w:tr>
      <w:tr>
        <w:tc>
          <w:tcPr>
            <w:tcW w:type="dxa" w:w="1000"/>
          </w:tcPr>
          <w:p>
            <w:pPr>
              <w:spacing w:before="0" w:after="0" w:line="252" w:lineRule="auto"/>
              <w:jc w:val="center"/>
            </w:pPr>
            <w:r>
              <w:rPr>
                <w:rFonts w:ascii="Times New Roman" w:hAnsi="Times New Roman" w:eastAsia="宋体"/>
                <w:color w:val="182B3A"/>
                <w:sz w:val="16"/>
              </w:rPr>
              <w:t>28</w:t>
            </w:r>
          </w:p>
        </w:tc>
        <w:tc>
          <w:tcPr>
            <w:tcW w:type="dxa" w:w="1800"/>
          </w:tcPr>
          <w:p>
            <w:pPr>
              <w:spacing w:before="0" w:after="0" w:line="252" w:lineRule="auto"/>
              <w:jc w:val="left"/>
            </w:pPr>
            <w:r>
              <w:rPr>
                <w:rFonts w:ascii="Times New Roman" w:hAnsi="Times New Roman" w:eastAsia="宋体"/>
                <w:color w:val="182B3A"/>
                <w:sz w:val="16"/>
              </w:rPr>
              <w:t>金针菇(盒)</w:t>
            </w:r>
          </w:p>
        </w:tc>
        <w:tc>
          <w:tcPr>
            <w:tcW w:type="dxa" w:w="1000"/>
          </w:tcPr>
          <w:p>
            <w:pPr>
              <w:spacing w:before="0" w:after="0" w:line="252" w:lineRule="auto"/>
              <w:jc w:val="center"/>
            </w:pPr>
            <w:r>
              <w:rPr>
                <w:rFonts w:ascii="Times New Roman" w:hAnsi="Times New Roman" w:eastAsia="宋体"/>
                <w:color w:val="182B3A"/>
                <w:sz w:val="16"/>
              </w:rPr>
              <w:t>2.1</w:t>
            </w:r>
          </w:p>
        </w:tc>
        <w:tc>
          <w:tcPr>
            <w:tcW w:type="dxa" w:w="1250"/>
          </w:tcPr>
          <w:p>
            <w:pPr>
              <w:spacing w:before="0" w:after="0" w:line="252" w:lineRule="auto"/>
              <w:jc w:val="center"/>
            </w:pPr>
            <w:r>
              <w:rPr>
                <w:rFonts w:ascii="Times New Roman" w:hAnsi="Times New Roman" w:eastAsia="宋体"/>
                <w:color w:val="182B3A"/>
                <w:sz w:val="16"/>
              </w:rPr>
              <w:t>26.841</w:t>
            </w:r>
          </w:p>
        </w:tc>
        <w:tc>
          <w:tcPr>
            <w:tcW w:type="dxa" w:w="1250"/>
          </w:tcPr>
          <w:p>
            <w:pPr>
              <w:spacing w:before="0" w:after="0" w:line="252" w:lineRule="auto"/>
              <w:jc w:val="center"/>
            </w:pPr>
            <w:r>
              <w:rPr>
                <w:rFonts w:ascii="Times New Roman" w:hAnsi="Times New Roman" w:eastAsia="宋体"/>
                <w:color w:val="182B3A"/>
                <w:sz w:val="16"/>
              </w:rPr>
              <w:t>15.245</w:t>
            </w:r>
          </w:p>
        </w:tc>
        <w:tc>
          <w:tcPr>
            <w:tcW w:type="dxa" w:w="1100"/>
          </w:tcPr>
          <w:p>
            <w:pPr>
              <w:spacing w:before="0" w:after="0" w:line="252" w:lineRule="auto"/>
              <w:jc w:val="center"/>
            </w:pPr>
            <w:r>
              <w:rPr>
                <w:rFonts w:ascii="Times New Roman" w:hAnsi="Times New Roman" w:eastAsia="宋体"/>
                <w:color w:val="182B3A"/>
                <w:sz w:val="16"/>
              </w:rPr>
              <w:t>20.0%</w:t>
            </w:r>
          </w:p>
        </w:tc>
        <w:tc>
          <w:tcPr>
            <w:tcW w:type="dxa" w:w="1672"/>
          </w:tcPr>
          <w:p>
            <w:pPr>
              <w:spacing w:before="0" w:after="0" w:line="252" w:lineRule="auto"/>
              <w:jc w:val="center"/>
            </w:pPr>
            <w:r>
              <w:rPr>
                <w:rFonts w:ascii="Times New Roman" w:hAnsi="Times New Roman" w:eastAsia="宋体"/>
                <w:color w:val="182B3A"/>
                <w:sz w:val="16"/>
              </w:rPr>
              <w:t>-8.19</w:t>
            </w:r>
          </w:p>
        </w:tc>
      </w:tr>
      <w:tr>
        <w:tc>
          <w:tcPr>
            <w:tcW w:type="dxa" w:w="1000"/>
          </w:tcPr>
          <w:p>
            <w:pPr>
              <w:spacing w:before="0" w:after="0" w:line="252" w:lineRule="auto"/>
              <w:jc w:val="center"/>
            </w:pPr>
            <w:r>
              <w:rPr>
                <w:rFonts w:ascii="Times New Roman" w:hAnsi="Times New Roman" w:eastAsia="宋体"/>
                <w:color w:val="182B3A"/>
                <w:sz w:val="16"/>
              </w:rPr>
              <w:t>29</w:t>
            </w:r>
          </w:p>
        </w:tc>
        <w:tc>
          <w:tcPr>
            <w:tcW w:type="dxa" w:w="1800"/>
          </w:tcPr>
          <w:p>
            <w:pPr>
              <w:spacing w:before="0" w:after="0" w:line="252" w:lineRule="auto"/>
              <w:jc w:val="left"/>
            </w:pPr>
            <w:r>
              <w:rPr>
                <w:rFonts w:ascii="Times New Roman" w:hAnsi="Times New Roman" w:eastAsia="宋体"/>
                <w:color w:val="182B3A"/>
                <w:sz w:val="16"/>
              </w:rPr>
              <w:t>双孢菇(盒)</w:t>
            </w:r>
          </w:p>
        </w:tc>
        <w:tc>
          <w:tcPr>
            <w:tcW w:type="dxa" w:w="1000"/>
          </w:tcPr>
          <w:p>
            <w:pPr>
              <w:spacing w:before="0" w:after="0" w:line="252" w:lineRule="auto"/>
              <w:jc w:val="center"/>
            </w:pPr>
            <w:r>
              <w:rPr>
                <w:rFonts w:ascii="Times New Roman" w:hAnsi="Times New Roman" w:eastAsia="宋体"/>
                <w:color w:val="182B3A"/>
                <w:sz w:val="16"/>
              </w:rPr>
              <w:t>4.8</w:t>
            </w:r>
          </w:p>
        </w:tc>
        <w:tc>
          <w:tcPr>
            <w:tcW w:type="dxa" w:w="1250"/>
          </w:tcPr>
          <w:p>
            <w:pPr>
              <w:spacing w:before="0" w:after="0" w:line="252" w:lineRule="auto"/>
              <w:jc w:val="center"/>
            </w:pPr>
            <w:r>
              <w:rPr>
                <w:rFonts w:ascii="Times New Roman" w:hAnsi="Times New Roman" w:eastAsia="宋体"/>
                <w:color w:val="182B3A"/>
                <w:sz w:val="16"/>
              </w:rPr>
              <w:t>12.677</w:t>
            </w:r>
          </w:p>
        </w:tc>
        <w:tc>
          <w:tcPr>
            <w:tcW w:type="dxa" w:w="1250"/>
          </w:tcPr>
          <w:p>
            <w:pPr>
              <w:spacing w:before="0" w:after="0" w:line="252" w:lineRule="auto"/>
              <w:jc w:val="center"/>
            </w:pPr>
            <w:r>
              <w:rPr>
                <w:rFonts w:ascii="Times New Roman" w:hAnsi="Times New Roman" w:eastAsia="宋体"/>
                <w:color w:val="182B3A"/>
                <w:sz w:val="16"/>
              </w:rPr>
              <w:t>8.154</w:t>
            </w:r>
          </w:p>
        </w:tc>
        <w:tc>
          <w:tcPr>
            <w:tcW w:type="dxa" w:w="1100"/>
          </w:tcPr>
          <w:p>
            <w:pPr>
              <w:spacing w:before="0" w:after="0" w:line="252" w:lineRule="auto"/>
              <w:jc w:val="center"/>
            </w:pPr>
            <w:r>
              <w:rPr>
                <w:rFonts w:ascii="Times New Roman" w:hAnsi="Times New Roman" w:eastAsia="宋体"/>
                <w:color w:val="182B3A"/>
                <w:sz w:val="16"/>
              </w:rPr>
              <w:t>18.5%</w:t>
            </w:r>
          </w:p>
        </w:tc>
        <w:tc>
          <w:tcPr>
            <w:tcW w:type="dxa" w:w="1672"/>
          </w:tcPr>
          <w:p>
            <w:pPr>
              <w:spacing w:before="0" w:after="0" w:line="252" w:lineRule="auto"/>
              <w:jc w:val="center"/>
            </w:pPr>
            <w:r>
              <w:rPr>
                <w:rFonts w:ascii="Times New Roman" w:hAnsi="Times New Roman" w:eastAsia="宋体"/>
                <w:color w:val="182B3A"/>
                <w:sz w:val="16"/>
              </w:rPr>
              <w:t>-5.51</w:t>
            </w:r>
          </w:p>
        </w:tc>
      </w:tr>
      <w:tr>
        <w:tc>
          <w:tcPr>
            <w:tcW w:type="dxa" w:w="1000"/>
          </w:tcPr>
          <w:p>
            <w:pPr>
              <w:spacing w:before="0" w:after="0" w:line="252" w:lineRule="auto"/>
              <w:jc w:val="center"/>
            </w:pPr>
            <w:r>
              <w:rPr>
                <w:rFonts w:ascii="Times New Roman" w:hAnsi="Times New Roman" w:eastAsia="宋体"/>
                <w:color w:val="182B3A"/>
                <w:sz w:val="16"/>
              </w:rPr>
              <w:t>30</w:t>
            </w:r>
          </w:p>
        </w:tc>
        <w:tc>
          <w:tcPr>
            <w:tcW w:type="dxa" w:w="1800"/>
          </w:tcPr>
          <w:p>
            <w:pPr>
              <w:spacing w:before="0" w:after="0" w:line="252" w:lineRule="auto"/>
              <w:jc w:val="left"/>
            </w:pPr>
            <w:r>
              <w:rPr>
                <w:rFonts w:ascii="Times New Roman" w:hAnsi="Times New Roman" w:eastAsia="宋体"/>
                <w:color w:val="182B3A"/>
                <w:sz w:val="16"/>
              </w:rPr>
              <w:t>海鲜菇(包)</w:t>
            </w:r>
          </w:p>
        </w:tc>
        <w:tc>
          <w:tcPr>
            <w:tcW w:type="dxa" w:w="1000"/>
          </w:tcPr>
          <w:p>
            <w:pPr>
              <w:spacing w:before="0" w:after="0" w:line="252" w:lineRule="auto"/>
              <w:jc w:val="center"/>
            </w:pPr>
            <w:r>
              <w:rPr>
                <w:rFonts w:ascii="Times New Roman" w:hAnsi="Times New Roman" w:eastAsia="宋体"/>
                <w:color w:val="182B3A"/>
                <w:sz w:val="16"/>
              </w:rPr>
              <w:t>2.7</w:t>
            </w:r>
          </w:p>
        </w:tc>
        <w:tc>
          <w:tcPr>
            <w:tcW w:type="dxa" w:w="1250"/>
          </w:tcPr>
          <w:p>
            <w:pPr>
              <w:spacing w:before="0" w:after="0" w:line="252" w:lineRule="auto"/>
              <w:jc w:val="center"/>
            </w:pPr>
            <w:r>
              <w:rPr>
                <w:rFonts w:ascii="Times New Roman" w:hAnsi="Times New Roman" w:eastAsia="宋体"/>
                <w:color w:val="182B3A"/>
                <w:sz w:val="16"/>
              </w:rPr>
              <w:t>8.153</w:t>
            </w:r>
          </w:p>
        </w:tc>
        <w:tc>
          <w:tcPr>
            <w:tcW w:type="dxa" w:w="1250"/>
          </w:tcPr>
          <w:p>
            <w:pPr>
              <w:spacing w:before="0" w:after="0" w:line="252" w:lineRule="auto"/>
              <w:jc w:val="center"/>
            </w:pPr>
            <w:r>
              <w:rPr>
                <w:rFonts w:ascii="Times New Roman" w:hAnsi="Times New Roman" w:eastAsia="宋体"/>
                <w:color w:val="182B3A"/>
                <w:sz w:val="16"/>
              </w:rPr>
              <w:t>6.003</w:t>
            </w:r>
          </w:p>
        </w:tc>
        <w:tc>
          <w:tcPr>
            <w:tcW w:type="dxa" w:w="1100"/>
          </w:tcPr>
          <w:p>
            <w:pPr>
              <w:spacing w:before="0" w:after="0" w:line="252" w:lineRule="auto"/>
              <w:jc w:val="center"/>
            </w:pPr>
            <w:r>
              <w:rPr>
                <w:rFonts w:ascii="Times New Roman" w:hAnsi="Times New Roman" w:eastAsia="宋体"/>
                <w:color w:val="182B3A"/>
                <w:sz w:val="16"/>
              </w:rPr>
              <w:t>26.2%</w:t>
            </w:r>
          </w:p>
        </w:tc>
        <w:tc>
          <w:tcPr>
            <w:tcW w:type="dxa" w:w="1672"/>
          </w:tcPr>
          <w:p>
            <w:pPr>
              <w:spacing w:before="0" w:after="0" w:line="252" w:lineRule="auto"/>
              <w:jc w:val="center"/>
            </w:pPr>
            <w:r>
              <w:rPr>
                <w:rFonts w:ascii="Times New Roman" w:hAnsi="Times New Roman" w:eastAsia="宋体"/>
                <w:color w:val="182B3A"/>
                <w:sz w:val="16"/>
              </w:rPr>
              <w:t>-0.21</w:t>
            </w:r>
          </w:p>
        </w:tc>
      </w:tr>
      <w:tr>
        <w:tc>
          <w:tcPr>
            <w:tcW w:type="dxa" w:w="1000"/>
          </w:tcPr>
          <w:p>
            <w:pPr>
              <w:spacing w:before="0" w:after="0" w:line="252" w:lineRule="auto"/>
              <w:jc w:val="center"/>
            </w:pPr>
            <w:r>
              <w:rPr>
                <w:rFonts w:ascii="Times New Roman" w:hAnsi="Times New Roman" w:eastAsia="宋体"/>
                <w:color w:val="182B3A"/>
                <w:sz w:val="16"/>
              </w:rPr>
              <w:t>31</w:t>
            </w:r>
          </w:p>
        </w:tc>
        <w:tc>
          <w:tcPr>
            <w:tcW w:type="dxa" w:w="1800"/>
          </w:tcPr>
          <w:p>
            <w:pPr>
              <w:spacing w:before="0" w:after="0" w:line="252" w:lineRule="auto"/>
              <w:jc w:val="left"/>
            </w:pPr>
            <w:r>
              <w:rPr>
                <w:rFonts w:ascii="Times New Roman" w:hAnsi="Times New Roman" w:eastAsia="宋体"/>
                <w:color w:val="182B3A"/>
                <w:sz w:val="16"/>
              </w:rPr>
              <w:t>白玉菇(袋)</w:t>
            </w:r>
          </w:p>
        </w:tc>
        <w:tc>
          <w:tcPr>
            <w:tcW w:type="dxa" w:w="1000"/>
          </w:tcPr>
          <w:p>
            <w:pPr>
              <w:spacing w:before="0" w:after="0" w:line="252" w:lineRule="auto"/>
              <w:jc w:val="center"/>
            </w:pPr>
            <w:r>
              <w:rPr>
                <w:rFonts w:ascii="Times New Roman" w:hAnsi="Times New Roman" w:eastAsia="宋体"/>
                <w:color w:val="182B3A"/>
                <w:sz w:val="16"/>
              </w:rPr>
              <w:t>4.7</w:t>
            </w:r>
          </w:p>
        </w:tc>
        <w:tc>
          <w:tcPr>
            <w:tcW w:type="dxa" w:w="1250"/>
          </w:tcPr>
          <w:p>
            <w:pPr>
              <w:spacing w:before="0" w:after="0" w:line="252" w:lineRule="auto"/>
              <w:jc w:val="center"/>
            </w:pPr>
            <w:r>
              <w:rPr>
                <w:rFonts w:ascii="Times New Roman" w:hAnsi="Times New Roman" w:eastAsia="宋体"/>
                <w:color w:val="182B3A"/>
                <w:sz w:val="16"/>
              </w:rPr>
              <w:t>5.907</w:t>
            </w:r>
          </w:p>
        </w:tc>
        <w:tc>
          <w:tcPr>
            <w:tcW w:type="dxa" w:w="1250"/>
          </w:tcPr>
          <w:p>
            <w:pPr>
              <w:spacing w:before="0" w:after="0" w:line="252" w:lineRule="auto"/>
              <w:jc w:val="center"/>
            </w:pPr>
            <w:r>
              <w:rPr>
                <w:rFonts w:ascii="Times New Roman" w:hAnsi="Times New Roman" w:eastAsia="宋体"/>
                <w:color w:val="182B3A"/>
                <w:sz w:val="16"/>
              </w:rPr>
              <w:t>3.414</w:t>
            </w:r>
          </w:p>
        </w:tc>
        <w:tc>
          <w:tcPr>
            <w:tcW w:type="dxa" w:w="1100"/>
          </w:tcPr>
          <w:p>
            <w:pPr>
              <w:spacing w:before="0" w:after="0" w:line="252" w:lineRule="auto"/>
              <w:jc w:val="center"/>
            </w:pPr>
            <w:r>
              <w:rPr>
                <w:rFonts w:ascii="Times New Roman" w:hAnsi="Times New Roman" w:eastAsia="宋体"/>
                <w:color w:val="182B3A"/>
                <w:sz w:val="16"/>
              </w:rPr>
              <w:t>39.8%</w:t>
            </w:r>
          </w:p>
        </w:tc>
        <w:tc>
          <w:tcPr>
            <w:tcW w:type="dxa" w:w="1672"/>
          </w:tcPr>
          <w:p>
            <w:pPr>
              <w:spacing w:before="0" w:after="0" w:line="252" w:lineRule="auto"/>
              <w:jc w:val="center"/>
            </w:pPr>
            <w:r>
              <w:rPr>
                <w:rFonts w:ascii="Times New Roman" w:hAnsi="Times New Roman" w:eastAsia="宋体"/>
                <w:color w:val="182B3A"/>
                <w:sz w:val="16"/>
              </w:rPr>
              <w:t>-4.03</w:t>
            </w:r>
          </w:p>
        </w:tc>
      </w:tr>
      <w:tr>
        <w:tc>
          <w:tcPr>
            <w:tcW w:type="dxa" w:w="1000"/>
          </w:tcPr>
          <w:p>
            <w:pPr>
              <w:spacing w:before="0" w:after="0" w:line="252" w:lineRule="auto"/>
              <w:jc w:val="center"/>
            </w:pPr>
            <w:r>
              <w:rPr>
                <w:rFonts w:ascii="Times New Roman" w:hAnsi="Times New Roman" w:eastAsia="宋体"/>
                <w:color w:val="182B3A"/>
                <w:sz w:val="16"/>
              </w:rPr>
              <w:t>32</w:t>
            </w:r>
          </w:p>
        </w:tc>
        <w:tc>
          <w:tcPr>
            <w:tcW w:type="dxa" w:w="1800"/>
          </w:tcPr>
          <w:p>
            <w:pPr>
              <w:spacing w:before="0" w:after="0" w:line="252" w:lineRule="auto"/>
              <w:jc w:val="left"/>
            </w:pPr>
            <w:r>
              <w:rPr>
                <w:rFonts w:ascii="Times New Roman" w:hAnsi="Times New Roman" w:eastAsia="宋体"/>
                <w:color w:val="182B3A"/>
                <w:sz w:val="16"/>
              </w:rPr>
              <w:t>西峡花菇(1)</w:t>
            </w:r>
          </w:p>
        </w:tc>
        <w:tc>
          <w:tcPr>
            <w:tcW w:type="dxa" w:w="1000"/>
          </w:tcPr>
          <w:p>
            <w:pPr>
              <w:spacing w:before="0" w:after="0" w:line="252" w:lineRule="auto"/>
              <w:jc w:val="center"/>
            </w:pPr>
            <w:r>
              <w:rPr>
                <w:rFonts w:ascii="Times New Roman" w:hAnsi="Times New Roman" w:eastAsia="宋体"/>
                <w:color w:val="182B3A"/>
                <w:sz w:val="16"/>
              </w:rPr>
              <w:t>25.4</w:t>
            </w:r>
          </w:p>
        </w:tc>
        <w:tc>
          <w:tcPr>
            <w:tcW w:type="dxa" w:w="1250"/>
          </w:tcPr>
          <w:p>
            <w:pPr>
              <w:spacing w:before="0" w:after="0" w:line="252" w:lineRule="auto"/>
              <w:jc w:val="center"/>
            </w:pPr>
            <w:r>
              <w:rPr>
                <w:rFonts w:ascii="Times New Roman" w:hAnsi="Times New Roman" w:eastAsia="宋体"/>
                <w:color w:val="182B3A"/>
                <w:sz w:val="16"/>
              </w:rPr>
              <w:t>3.947</w:t>
            </w:r>
          </w:p>
        </w:tc>
        <w:tc>
          <w:tcPr>
            <w:tcW w:type="dxa" w:w="1250"/>
          </w:tcPr>
          <w:p>
            <w:pPr>
              <w:spacing w:before="0" w:after="0" w:line="252" w:lineRule="auto"/>
              <w:jc w:val="center"/>
            </w:pPr>
            <w:r>
              <w:rPr>
                <w:rFonts w:ascii="Times New Roman" w:hAnsi="Times New Roman" w:eastAsia="宋体"/>
                <w:color w:val="182B3A"/>
                <w:sz w:val="16"/>
              </w:rPr>
              <w:t>2.990</w:t>
            </w:r>
          </w:p>
        </w:tc>
        <w:tc>
          <w:tcPr>
            <w:tcW w:type="dxa" w:w="1100"/>
          </w:tcPr>
          <w:p>
            <w:pPr>
              <w:spacing w:before="0" w:after="0" w:line="252" w:lineRule="auto"/>
              <w:jc w:val="center"/>
            </w:pPr>
            <w:r>
              <w:rPr>
                <w:rFonts w:ascii="Times New Roman" w:hAnsi="Times New Roman" w:eastAsia="宋体"/>
                <w:color w:val="182B3A"/>
                <w:sz w:val="16"/>
              </w:rPr>
              <w:t>53.8%</w:t>
            </w:r>
          </w:p>
        </w:tc>
        <w:tc>
          <w:tcPr>
            <w:tcW w:type="dxa" w:w="1672"/>
          </w:tcPr>
          <w:p>
            <w:pPr>
              <w:spacing w:before="0" w:after="0" w:line="252" w:lineRule="auto"/>
              <w:jc w:val="center"/>
            </w:pPr>
            <w:r>
              <w:rPr>
                <w:rFonts w:ascii="Times New Roman" w:hAnsi="Times New Roman" w:eastAsia="宋体"/>
                <w:color w:val="182B3A"/>
                <w:sz w:val="16"/>
              </w:rPr>
              <w:t>12.36</w:t>
            </w:r>
          </w:p>
        </w:tc>
      </w:tr>
      <w:tr>
        <w:tc>
          <w:tcPr>
            <w:tcW w:type="dxa" w:w="1000"/>
          </w:tcPr>
          <w:p>
            <w:pPr>
              <w:spacing w:before="0" w:after="0" w:line="252" w:lineRule="auto"/>
              <w:jc w:val="center"/>
            </w:pPr>
            <w:r>
              <w:rPr>
                <w:rFonts w:ascii="Times New Roman" w:hAnsi="Times New Roman" w:eastAsia="宋体"/>
                <w:color w:val="182B3A"/>
                <w:sz w:val="16"/>
              </w:rPr>
              <w:t>33</w:t>
            </w:r>
          </w:p>
        </w:tc>
        <w:tc>
          <w:tcPr>
            <w:tcW w:type="dxa" w:w="1800"/>
          </w:tcPr>
          <w:p>
            <w:pPr>
              <w:spacing w:before="0" w:after="0" w:line="252" w:lineRule="auto"/>
              <w:jc w:val="left"/>
            </w:pPr>
            <w:r>
              <w:rPr>
                <w:rFonts w:ascii="Times New Roman" w:hAnsi="Times New Roman" w:eastAsia="宋体"/>
                <w:color w:val="182B3A"/>
                <w:sz w:val="16"/>
              </w:rPr>
              <w:t>虫草花(份)</w:t>
            </w:r>
          </w:p>
        </w:tc>
        <w:tc>
          <w:tcPr>
            <w:tcW w:type="dxa" w:w="1000"/>
          </w:tcPr>
          <w:p>
            <w:pPr>
              <w:spacing w:before="0" w:after="0" w:line="252" w:lineRule="auto"/>
              <w:jc w:val="center"/>
            </w:pPr>
            <w:r>
              <w:rPr>
                <w:rFonts w:ascii="Times New Roman" w:hAnsi="Times New Roman" w:eastAsia="宋体"/>
                <w:color w:val="182B3A"/>
                <w:sz w:val="16"/>
              </w:rPr>
              <w:t>3.6</w:t>
            </w:r>
          </w:p>
        </w:tc>
        <w:tc>
          <w:tcPr>
            <w:tcW w:type="dxa" w:w="1250"/>
          </w:tcPr>
          <w:p>
            <w:pPr>
              <w:spacing w:before="0" w:after="0" w:line="252" w:lineRule="auto"/>
              <w:jc w:val="center"/>
            </w:pPr>
            <w:r>
              <w:rPr>
                <w:rFonts w:ascii="Times New Roman" w:hAnsi="Times New Roman" w:eastAsia="宋体"/>
                <w:color w:val="182B3A"/>
                <w:sz w:val="16"/>
              </w:rPr>
              <w:t>3.075</w:t>
            </w:r>
          </w:p>
        </w:tc>
        <w:tc>
          <w:tcPr>
            <w:tcW w:type="dxa" w:w="1250"/>
          </w:tcPr>
          <w:p>
            <w:pPr>
              <w:spacing w:before="0" w:after="0" w:line="252" w:lineRule="auto"/>
              <w:jc w:val="center"/>
            </w:pPr>
            <w:r>
              <w:rPr>
                <w:rFonts w:ascii="Times New Roman" w:hAnsi="Times New Roman" w:eastAsia="宋体"/>
                <w:color w:val="182B3A"/>
                <w:sz w:val="16"/>
              </w:rPr>
              <w:t>1.856</w:t>
            </w:r>
          </w:p>
        </w:tc>
        <w:tc>
          <w:tcPr>
            <w:tcW w:type="dxa" w:w="1100"/>
          </w:tcPr>
          <w:p>
            <w:pPr>
              <w:spacing w:before="0" w:after="0" w:line="252" w:lineRule="auto"/>
              <w:jc w:val="center"/>
            </w:pPr>
            <w:r>
              <w:rPr>
                <w:rFonts w:ascii="Times New Roman" w:hAnsi="Times New Roman" w:eastAsia="宋体"/>
                <w:color w:val="182B3A"/>
                <w:sz w:val="16"/>
              </w:rPr>
              <w:t>26.2%</w:t>
            </w:r>
          </w:p>
        </w:tc>
        <w:tc>
          <w:tcPr>
            <w:tcW w:type="dxa" w:w="1672"/>
          </w:tcPr>
          <w:p>
            <w:pPr>
              <w:spacing w:before="0" w:after="0" w:line="252" w:lineRule="auto"/>
              <w:jc w:val="center"/>
            </w:pPr>
            <w:r>
              <w:rPr>
                <w:rFonts w:ascii="Times New Roman" w:hAnsi="Times New Roman" w:eastAsia="宋体"/>
                <w:color w:val="182B3A"/>
                <w:sz w:val="16"/>
              </w:rPr>
              <w:t>-1.58</w:t>
            </w:r>
          </w:p>
        </w:tc>
      </w:tr>
    </w:tbl>
    <w:p>
      <w:pPr>
        <w:widowControl/>
        <w:spacing w:after="40"/>
      </w:pPr>
    </w:p>
    <w:sectPr w:rsidR="00FC693F" w:rsidRPr="0006063C" w:rsidSect="00034616">
      <w:headerReference w:type="default" r:id="rId9"/>
      <w:footerReference w:type="default" r:id="rId10"/>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color w:val="667788"/>
        <w:sz w:val="18"/>
      </w:rPr>
      <w:t xml:space="preserve">第 </w:t>
      <w:fldChar w:fldCharType="begin"/>
      <w:instrText xml:space="preserve"> PAGE </w:instrText>
      <w:fldChar w:fldCharType="end"/>
    </w:r>
    <w:r>
      <w:rPr>
        <w:rFonts w:ascii="Times New Roman" w:hAnsi="Times New Roman" w:eastAsia="宋体"/>
        <w:color w:val="66778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宋体"/>
        <w:color w:val="667788"/>
        <w:sz w:val="17"/>
      </w:rPr>
      <w:t>2023 C题  |  第三问：单品补货与定价联合优化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31C0009"/>
    <w:tmpl w:val="B42D0009"/>
    <w:multiLevelType w:val="singleLevel"/>
    <w:lvl w:ilvl="0">
      <w:start w:val="1"/>
      <w:numFmt w:val="decimal"/>
      <w:lvlText w:val="%1."/>
      <w:lvlJc w:val="left"/>
      <w:pPr>
        <w:tabs>
          <w:tab w:val="num" w:pos="720"/>
        </w:tabs>
        <w:ind w:left="720" w:hanging="360"/>
      </w:pPr>
    </w:lvl>
  </w:abstractNum>
  <w:num w:numId="10">
    <w:abstractNumId w:val="9"/>
    <w:lvlOverride w:ilvl="0">
      <w:startOverride w:val="1"/>
    </w:lvlOverride>
  </w:num>
  <w:abstractNum w:abstractNumId="10">
    <w:nsid w:val="A31C000A"/>
    <w:tmpl w:val="B42D000A"/>
    <w:multiLevelType w:val="singleLevel"/>
    <w:lvl w:ilvl="0">
      <w:start w:val="1"/>
      <w:numFmt w:val="decimal"/>
      <w:lvlText w:val="%1."/>
      <w:lvlJc w:val="left"/>
      <w:pPr>
        <w:tabs>
          <w:tab w:val="num" w:pos="720"/>
        </w:tabs>
        <w:ind w:left="720" w:hanging="360"/>
      </w:pPr>
    </w:lvl>
  </w:abstractNum>
  <w:num w:numId="11">
    <w:abstractNumId w:val="10"/>
    <w:lvlOverride w:ilvl="0">
      <w:startOverride w:val="1"/>
    </w:lvlOverride>
  </w:num>
  <w:abstractNum w:abstractNumId="11">
    <w:nsid w:val="C53E000B"/>
    <w:multiLevelType w:val="singleLevel"/>
    <w:lvl w:ilvl="0">
      <w:start w:val="1"/>
      <w:numFmt w:val="bullet"/>
      <w:lvlText w:val="●"/>
      <w:lvlJc w:val="left"/>
      <w:pPr>
        <w:ind w:left="720" w:hanging="360"/>
      </w:pPr>
    </w:lvl>
  </w:abstractNum>
  <w:num w:numId="12">
    <w:abstractNumId w:val="11"/>
  </w:num>
  <w:abstractNum w:abstractNumId="12">
    <w:nsid w:val="C53E000C"/>
    <w:multiLevelType w:val="singleLevel"/>
    <w:lvl w:ilvl="0">
      <w:start w:val="1"/>
      <w:numFmt w:val="bullet"/>
      <w:lvlText w:val="●"/>
      <w:lvlJc w:val="left"/>
      <w:pPr>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ind w:firstLine="420"/>
      <w:jc w:val="both"/>
    </w:pPr>
    <w:rPr>
      <w:rFonts w:ascii="Times New Roman" w:hAnsi="Times New Roman" w:eastAsia="宋体"/>
      <w:color w:val="18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黑体"/>
      <w:b/>
      <w:bCs/>
      <w:color w:val="2455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2455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黑体"/>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Times New Roman" w:hAnsi="Times New Roman" w:eastAsia="黑体"/>
      <w:b/>
      <w:color w:val="182B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00" w:lineRule="auto"/>
      <w:ind w:left="567" w:hanging="255"/>
      <w:contextualSpacing/>
    </w:pPr>
    <w:rPr>
      <w:rFonts w:ascii="Times New Roman" w:hAnsi="Times New Roman"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39" w:hanging="255"/>
      <w:contextualSpacing/>
    </w:pPr>
    <w:rPr>
      <w:rFonts w:ascii="Times New Roman" w:hAnsi="Times New Roman"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Times New Roman" w:hAnsi="Times New Roman" w:eastAsia="宋体"/>
      <w:b/>
      <w:bCs/>
      <w:color w:val="66778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20"/>
      <w:jc w:val="center"/>
    </w:pPr>
    <w:rPr>
      <w:rFonts w:ascii="Cambria Math" w:hAnsi="Cambria Math" w:eastAsia="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第三问：销售空间约束下的单品补货与定价联合优化</dc:title>
  <dc:subject>问题重述、问题分析、模型假设、符号说明及模型建立求解</dc:subject>
  <dc:creator>数学建模项目组</dc:creator>
  <cp:keywords>蔬菜；单品补货；定价；MILP；场景优化；经验贝叶斯</cp:keywords>
  <dc:description>generated by python-docx</dc:description>
  <cp:lastModifiedBy/>
  <cp:revision>1</cp:revision>
  <dcterms:created xsi:type="dcterms:W3CDTF">2013-12-23T23:15:00Z</dcterms:created>
  <dcterms:modified xsi:type="dcterms:W3CDTF">2013-12-23T23:15:00Z</dcterms:modified>
  <cp:category/>
</cp:coreProperties>
</file>