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eastAsia="Noto Sans CJK SC"/>
          <w:b/>
          <w:i w:val="0"/>
          <w:sz w:val="32"/>
        </w:rPr>
        <w:t>2024 高教社杯全国大学生数学建模竞赛 B 题</w:t>
      </w:r>
    </w:p>
    <w:p>
      <w:pPr>
        <w:spacing w:before="480"/>
        <w:jc w:val="center"/>
      </w:pPr>
      <w:r>
        <w:rPr>
          <w:rFonts w:ascii="Times New Roman" w:hAnsi="Times New Roman" w:eastAsia="Noto Sans CJK SC"/>
          <w:b/>
          <w:i w:val="0"/>
          <w:color w:val="1F4E79"/>
          <w:sz w:val="48"/>
        </w:rPr>
        <w:t>问题四建模手册</w:t>
      </w:r>
    </w:p>
    <w:p>
      <w:pPr>
        <w:spacing w:before="200"/>
        <w:jc w:val="center"/>
      </w:pPr>
      <w:r>
        <w:rPr>
          <w:rFonts w:ascii="Times New Roman" w:hAnsi="Times New Roman" w:eastAsia="Noto Sans CJK SC"/>
          <w:b/>
          <w:i w:val="0"/>
          <w:sz w:val="28"/>
        </w:rPr>
        <w:t>——基于抽样置信边界的闭环生产稳健重优化与策略稳定性检验</w:t>
      </w:r>
    </w:p>
    <w:p>
      <w:pPr>
        <w:spacing w:before="480"/>
        <w:jc w:val="center"/>
      </w:pPr>
      <w:r>
        <w:rPr>
          <w:rFonts w:ascii="Times New Roman" w:hAnsi="Times New Roman" w:eastAsia="Noto Sans CJK SC"/>
          <w:b w:val="0"/>
          <w:i w:val="0"/>
          <w:sz w:val="22"/>
        </w:rPr>
        <w:t>核心原则：不把样本次品率当成真实常数，不虚构 n、k、先验与权重</w:t>
        <w:br/>
      </w:r>
      <w:r>
        <w:rPr>
          <w:rFonts w:ascii="Times New Roman" w:hAnsi="Times New Roman" w:eastAsia="Noto Sans CJK SC"/>
          <w:b w:val="0"/>
          <w:i w:val="0"/>
          <w:sz w:val="22"/>
        </w:rPr>
        <w:t>技术路线：Q1 统计不确定性 → Q2/Q3 精确评价器 → 置信边界稳健重优化 → 同设计自助检验</w:t>
        <w:br/>
      </w:r>
      <w:r>
        <w:rPr>
          <w:rFonts w:ascii="Times New Roman" w:hAnsi="Times New Roman" w:eastAsia="Noto Sans CJK SC"/>
          <w:b w:val="0"/>
          <w:i w:val="0"/>
          <w:sz w:val="22"/>
        </w:rPr>
        <w:t>求解与绘图：Python 精确求解 / MATLAB 论文级可视化</w:t>
        <w:br/>
      </w:r>
      <w:r>
        <w:rPr>
          <w:rFonts w:ascii="Times New Roman" w:hAnsi="Times New Roman" w:eastAsia="Noto Sans CJK SC"/>
          <w:b w:val="0"/>
          <w:i w:val="0"/>
          <w:sz w:val="22"/>
        </w:rPr>
        <w:t>版本：面向国赛论文直接落地与答辩防守</w:t>
        <w:br/>
      </w:r>
    </w:p>
    <w:p>
      <w:r>
        <w:br w:type="page"/>
      </w:r>
    </w:p>
    <w:p>
      <w:pPr>
        <w:pStyle w:val="Heading1"/>
        <w:keepNext/>
      </w:pPr>
      <w:r>
        <w:rPr>
          <w:rFonts w:ascii="Times New Roman" w:hAnsi="Times New Roman" w:eastAsia="Noto Sans CJK SC"/>
          <w:b/>
          <w:i w:val="0"/>
          <w:color w:val="1F4E79"/>
          <w:sz w:val="30"/>
        </w:rPr>
        <w:t>使用说明</w:t>
      </w:r>
    </w:p>
    <w:p>
      <w:pPr>
        <w:spacing w:line="300" w:lineRule="auto" w:after="80"/>
        <w:ind w:firstLine="420"/>
      </w:pPr>
      <w:r>
        <w:rPr>
          <w:rFonts w:ascii="Times New Roman" w:hAnsi="Times New Roman" w:eastAsia="Noto Serif CJK SC"/>
          <w:b w:val="0"/>
          <w:i w:val="0"/>
          <w:sz w:val="21"/>
        </w:rPr>
        <w:t>问题四并不是重新发明一套生产决策模型，而是把问题二、问题三中原先作为“确定常数”的零配件、半成品和成品次品率，恢复为由有限抽样得到的未知质量参数。题目只给出了表中的次品率点估计，并没有给出每一个质量参数对应的实际抽样量 n、次品数 k、是否固定样本还是序贯停止，也没有给出任何先验分布。因此，本手册坚持“统计层只使用真实可获得的抽样记录；生产层完全复用问题二/三已经验证过的精确评价器”，避免用人为样本量、正态 3σ 波动或主观 Beta 先验制造一个看似完整、实际上不可核验的第四问。</w:t>
      </w:r>
    </w:p>
    <w:tbl>
      <w:tblPr>
        <w:tblW w:type="auto" w:w="0"/>
        <w:jc w:val="center"/>
        <w:tblLook w:firstColumn="1" w:firstRow="1" w:lastColumn="0" w:lastRow="0" w:noHBand="0" w:noVBand="1" w:val="04A0"/>
        <w:tblBorders>
          <w:top w:val="single" w:sz="8" w:space="0" w:color="7EA6C7"/>
          <w:left w:val="single" w:sz="8" w:space="0" w:color="7EA6C7"/>
          <w:bottom w:val="single" w:sz="8" w:space="0" w:color="7EA6C7"/>
          <w:right w:val="single" w:sz="8" w:space="0" w:color="7EA6C7"/>
        </w:tblBorders>
      </w:tblPr>
      <w:tblGrid>
        <w:gridCol w:w="9802"/>
      </w:tblGrid>
      <w:tr>
        <w:trPr>
          <w:tblHeader w:val="true"/>
        </w:trPr>
        <w:tc>
          <w:tcPr>
            <w:tcW w:type="dxa" w:w="9802"/>
            <w:shd w:fill="EEF5FB"/>
            <w:tcMar>
              <w:top w:w="110" w:type="dxa"/>
              <w:start w:w="150" w:type="dxa"/>
              <w:bottom w:w="110" w:type="dxa"/>
              <w:end w:w="150" w:type="dxa"/>
            </w:tcMar>
          </w:tcPr>
          <w:p>
            <w:r>
              <w:rPr>
                <w:rFonts w:ascii="Times New Roman" w:hAnsi="Times New Roman" w:eastAsia="Noto Sans CJK SC"/>
                <w:b/>
                <w:i w:val="0"/>
                <w:color w:val="215074"/>
                <w:sz w:val="20"/>
              </w:rPr>
              <w:t>最关键的数据事实：</w:t>
            </w:r>
            <w:r>
              <w:rPr>
                <w:rFonts w:ascii="Times New Roman" w:hAnsi="Times New Roman" w:eastAsia="Noto Serif CJK SC"/>
                <w:b w:val="0"/>
                <w:i w:val="0"/>
                <w:sz w:val="20"/>
              </w:rPr>
              <w:t>仅知道“次品率为 10%”并不能确定统计不确定性。10%既可能来自 n=10,k=1，也可能来自 n=1000,k=100；两者点估计相同，但置信边界和生产决策稳定性完全不同。若竞赛现场没有保存抽样原始记录，本问只能给出参数化算法与情景设计，不能把优秀论文中的 n=10000 或其他数值冒充题目数据。</w:t>
            </w:r>
          </w:p>
        </w:tc>
      </w:tr>
    </w:tbl>
    <w:p>
      <w:pPr>
        <w:spacing w:after="0"/>
      </w:pPr>
    </w:p>
    <w:p>
      <w:pPr>
        <w:spacing w:line="300" w:lineRule="auto" w:after="80"/>
        <w:ind w:firstLine="420"/>
      </w:pPr>
      <w:r>
        <w:rPr>
          <w:rFonts w:ascii="Times New Roman" w:hAnsi="Times New Roman" w:eastAsia="Noto Serif CJK SC"/>
          <w:b w:val="0"/>
          <w:i w:val="0"/>
          <w:sz w:val="21"/>
        </w:rPr>
        <w:t>最终推荐路线为：固定样本采用精确二项单侧置信上界；若次品率来自问题一的序贯抽样，则反演问题一的 e-process / confidence sequence 得到任意停止时刻仍有效的置信上界；随后分别把 90% 与 95% 置信边界传入问题二的 64 策略 Bellman–Markov 评价器和问题三的 BOM 分层递推/65536 静态策略评价器，进行最坏情形重优化；最后使用与原抽样设计完全一致的参数自助法检验“再抽一次会不会换策略”。</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2450"/>
        <w:gridCol w:w="2450"/>
        <w:gridCol w:w="2450"/>
        <w:gridCol w:w="2450"/>
      </w:tblGrid>
      <w:tr>
        <w:trPr>
          <w:tblHeader w:val="true"/>
        </w:trPr>
        <w:tc>
          <w:tcPr>
            <w:tcW w:type="dxa" w:w="1701"/>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层级</w:t>
            </w:r>
          </w:p>
        </w:tc>
        <w:tc>
          <w:tcPr>
            <w:tcW w:type="dxa" w:w="2948"/>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本问采用方法</w:t>
            </w:r>
          </w:p>
        </w:tc>
        <w:tc>
          <w:tcPr>
            <w:tcW w:type="dxa" w:w="1417"/>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角色</w:t>
            </w:r>
          </w:p>
        </w:tc>
        <w:tc>
          <w:tcPr>
            <w:tcW w:type="dxa" w:w="3969"/>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为什么</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统计基础</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7"/>
              </w:rPr>
              <w:t>Bernoulli-Binomial + 精确/顺序有效置信上界</w:t>
            </w:r>
          </w:p>
        </w:tc>
        <w:tc>
          <w:tcPr>
            <w:tcW w:type="dxa" w:w="1417"/>
            <w:vAlign w:val="center"/>
            <w:tcMar>
              <w:top w:w="70" w:type="dxa"/>
              <w:start w:w="85" w:type="dxa"/>
              <w:bottom w:w="70" w:type="dxa"/>
              <w:end w:w="85" w:type="dxa"/>
            </w:tcMar>
          </w:tcPr>
          <w:p>
            <w:pPr>
              <w:jc w:val="left"/>
            </w:pPr>
            <w:r>
              <w:rPr>
                <w:rFonts w:ascii="Times New Roman" w:hAnsi="Times New Roman" w:eastAsia="Noto Serif CJK SC"/>
                <w:b w:val="0"/>
                <w:i w:val="0"/>
                <w:sz w:val="17"/>
              </w:rPr>
              <w:t>主数据模型</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数据本质是合格/次品二元结果；与Q1统计口径一致</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Q2重求解</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7"/>
              </w:rPr>
              <w:t>64策略 + 信息保持型 Bellman-Markov 精确评价</w:t>
            </w:r>
          </w:p>
        </w:tc>
        <w:tc>
          <w:tcPr>
            <w:tcW w:type="dxa" w:w="1417"/>
            <w:vAlign w:val="center"/>
            <w:tcMar>
              <w:top w:w="70" w:type="dxa"/>
              <w:start w:w="85" w:type="dxa"/>
              <w:bottom w:w="70" w:type="dxa"/>
              <w:end w:w="85" w:type="dxa"/>
            </w:tcMar>
          </w:tcPr>
          <w:p>
            <w:pPr>
              <w:jc w:val="left"/>
            </w:pPr>
            <w:r>
              <w:rPr>
                <w:rFonts w:ascii="Times New Roman" w:hAnsi="Times New Roman" w:eastAsia="Noto Serif CJK SC"/>
                <w:b w:val="0"/>
                <w:i w:val="0"/>
                <w:sz w:val="17"/>
              </w:rPr>
              <w:t>主决策模型</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Q2已有闭环反馈与吸收性精确评价器，不重复造模型</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Q3重求解</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7"/>
              </w:rPr>
              <w:t>BOM分层状态压缩递推 + 65536静态策略交叉核验</w:t>
            </w:r>
          </w:p>
        </w:tc>
        <w:tc>
          <w:tcPr>
            <w:tcW w:type="dxa" w:w="1417"/>
            <w:vAlign w:val="center"/>
            <w:tcMar>
              <w:top w:w="70" w:type="dxa"/>
              <w:start w:w="85" w:type="dxa"/>
              <w:bottom w:w="70" w:type="dxa"/>
              <w:end w:w="85" w:type="dxa"/>
            </w:tcMar>
          </w:tcPr>
          <w:p>
            <w:pPr>
              <w:jc w:val="left"/>
            </w:pPr>
            <w:r>
              <w:rPr>
                <w:rFonts w:ascii="Times New Roman" w:hAnsi="Times New Roman" w:eastAsia="Noto Serif CJK SC"/>
                <w:b w:val="0"/>
                <w:i w:val="0"/>
                <w:sz w:val="17"/>
              </w:rPr>
              <w:t>主决策模型</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多层生产结构天然适合递推，本例仍可精确搜索</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不确定性处理</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7"/>
              </w:rPr>
              <w:t>置信边界集合 + 最坏情形重优化</w:t>
            </w:r>
          </w:p>
        </w:tc>
        <w:tc>
          <w:tcPr>
            <w:tcW w:type="dxa" w:w="1417"/>
            <w:vAlign w:val="center"/>
            <w:tcMar>
              <w:top w:w="70" w:type="dxa"/>
              <w:start w:w="85" w:type="dxa"/>
              <w:bottom w:w="70" w:type="dxa"/>
              <w:end w:w="85" w:type="dxa"/>
            </w:tcMar>
          </w:tcPr>
          <w:p>
            <w:pPr>
              <w:jc w:val="left"/>
            </w:pPr>
            <w:r>
              <w:rPr>
                <w:rFonts w:ascii="Times New Roman" w:hAnsi="Times New Roman" w:eastAsia="Noto Serif CJK SC"/>
                <w:b w:val="0"/>
                <w:i w:val="0"/>
                <w:sz w:val="17"/>
              </w:rPr>
              <w:t>主稳健层</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无先验也可建立可解释的风险边界，参数来源可追溯</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稳定性检验</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7"/>
              </w:rPr>
              <w:t>同设计 parametric bootstrap</w:t>
            </w:r>
          </w:p>
        </w:tc>
        <w:tc>
          <w:tcPr>
            <w:tcW w:type="dxa" w:w="1417"/>
            <w:vAlign w:val="center"/>
            <w:tcMar>
              <w:top w:w="70" w:type="dxa"/>
              <w:start w:w="85" w:type="dxa"/>
              <w:bottom w:w="70" w:type="dxa"/>
              <w:end w:w="85" w:type="dxa"/>
            </w:tcMar>
          </w:tcPr>
          <w:p>
            <w:pPr>
              <w:jc w:val="left"/>
            </w:pPr>
            <w:r>
              <w:rPr>
                <w:rFonts w:ascii="Times New Roman" w:hAnsi="Times New Roman" w:eastAsia="Noto Serif CJK SC"/>
                <w:b w:val="0"/>
                <w:i w:val="0"/>
                <w:sz w:val="17"/>
              </w:rPr>
              <w:t>验证层</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回答“有限抽样会不会改变最优策略”</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Bayesian Beta-Binomial</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7"/>
              </w:rPr>
              <w:t>仅在有历史先验时使用</w:t>
            </w:r>
          </w:p>
        </w:tc>
        <w:tc>
          <w:tcPr>
            <w:tcW w:type="dxa" w:w="1417"/>
            <w:vAlign w:val="center"/>
            <w:tcMar>
              <w:top w:w="70" w:type="dxa"/>
              <w:start w:w="85" w:type="dxa"/>
              <w:bottom w:w="70" w:type="dxa"/>
              <w:end w:w="85" w:type="dxa"/>
            </w:tcMar>
          </w:tcPr>
          <w:p>
            <w:pPr>
              <w:jc w:val="left"/>
            </w:pPr>
            <w:r>
              <w:rPr>
                <w:rFonts w:ascii="Times New Roman" w:hAnsi="Times New Roman" w:eastAsia="Noto Serif CJK SC"/>
                <w:b w:val="0"/>
                <w:i w:val="0"/>
                <w:sz w:val="17"/>
              </w:rPr>
              <w:t>条件扩展</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题目未给先验，不能把Beta(1,1)当成主模型事实</w:t>
            </w:r>
          </w:p>
        </w:tc>
      </w:tr>
    </w:tbl>
    <w:p>
      <w:pPr>
        <w:pStyle w:val="Heading1"/>
        <w:keepNext/>
      </w:pPr>
      <w:r>
        <w:rPr>
          <w:rFonts w:ascii="Times New Roman" w:hAnsi="Times New Roman" w:eastAsia="Noto Sans CJK SC"/>
          <w:b/>
          <w:i w:val="0"/>
          <w:color w:val="1F4E79"/>
          <w:sz w:val="30"/>
        </w:rPr>
        <w:t>1 资料吸收、纠偏与最终模型选择</w:t>
      </w:r>
    </w:p>
    <w:p>
      <w:pPr>
        <w:pStyle w:val="Heading2"/>
        <w:keepNext/>
      </w:pPr>
      <w:r>
        <w:rPr>
          <w:rFonts w:ascii="Times New Roman" w:hAnsi="Times New Roman" w:eastAsia="Noto Sans CJK SC"/>
          <w:b/>
          <w:i w:val="0"/>
          <w:color w:val="2D4960"/>
          <w:sz w:val="25"/>
        </w:rPr>
        <w:t>1.1 从问题一、问题二、问题三继承什么</w:t>
      </w:r>
    </w:p>
    <w:p>
      <w:pPr>
        <w:spacing w:line="300" w:lineRule="auto" w:after="80"/>
        <w:ind w:firstLine="420"/>
      </w:pPr>
      <w:r>
        <w:rPr>
          <w:rFonts w:ascii="Times New Roman" w:hAnsi="Times New Roman" w:eastAsia="Noto Serif CJK SC"/>
          <w:b w:val="0"/>
          <w:i w:val="0"/>
          <w:sz w:val="21"/>
        </w:rPr>
        <w:t>问题一已经把抽样机制严格化为 Bernoulli / Binomial 数据：固定样本时以精确二项单侧推断为基准；若“边检测边停止”，则使用顺序有效的混合似然比证据过程，而不是在随机停止点反复套普通固定样本置信区间。问题四必须沿用这一统计口径，因为它明确说各次品率“均是通过抽样检测方法得到的”。</w:t>
      </w:r>
    </w:p>
    <w:p>
      <w:pPr>
        <w:spacing w:line="300" w:lineRule="auto" w:after="80"/>
        <w:ind w:firstLine="420"/>
      </w:pPr>
      <w:r>
        <w:rPr>
          <w:rFonts w:ascii="Times New Roman" w:hAnsi="Times New Roman" w:eastAsia="Noto Serif CJK SC"/>
          <w:b w:val="0"/>
          <w:i w:val="0"/>
          <w:sz w:val="21"/>
        </w:rPr>
        <w:t>问题二已经固定了统一经济核算口径：一笔订单最终成功交付一件合格成品，售价只计一次；检测、装配、拆解、退换与回收构成反馈环，固定策略通过 Bellman–Markov 线性方程精确计算长期期望成本，并以谱半径小于 1 排除可能永久循环的策略。问题四只把 p 从常数改为不确定参数，不应破坏这些规则。</w:t>
      </w:r>
    </w:p>
    <w:p>
      <w:pPr>
        <w:spacing w:line="300" w:lineRule="auto" w:after="80"/>
        <w:ind w:firstLine="420"/>
      </w:pPr>
      <w:r>
        <w:rPr>
          <w:rFonts w:ascii="Times New Roman" w:hAnsi="Times New Roman" w:eastAsia="Noto Serif CJK SC"/>
          <w:b w:val="0"/>
          <w:i w:val="0"/>
          <w:sz w:val="21"/>
        </w:rPr>
        <w:t>问题三把同一思想推广到多层 BOM：正向物料关系是 DAG，回流由恢复成本与信息状态处理；子树向上仅传递成本、合格概率、已知/未知标志、认证成本和恢复成本等必要摘要。本例 16 个 0-1 决策位可由分层递推求解，并用 65536 种静态策略精确枚举进行交叉核验。第四问应直接复用这个评价器，而不是重新引入 GA/ACO/SA。</w:t>
      </w:r>
    </w:p>
    <w:p>
      <w:pPr>
        <w:pStyle w:val="Heading2"/>
        <w:keepNext/>
      </w:pPr>
      <w:r>
        <w:rPr>
          <w:rFonts w:ascii="Times New Roman" w:hAnsi="Times New Roman" w:eastAsia="Noto Sans CJK SC"/>
          <w:b/>
          <w:i w:val="0"/>
          <w:color w:val="2D4960"/>
          <w:sz w:val="25"/>
        </w:rPr>
        <w:t>1.2 三篇优秀论文中第四问最值得借鉴与必须修正的地方</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2450"/>
        <w:gridCol w:w="2450"/>
        <w:gridCol w:w="2450"/>
        <w:gridCol w:w="2450"/>
      </w:tblGrid>
      <w:tr>
        <w:trPr>
          <w:tblHeader w:val="true"/>
        </w:trPr>
        <w:tc>
          <w:tcPr>
            <w:tcW w:type="dxa" w:w="170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资料</w:t>
            </w:r>
          </w:p>
        </w:tc>
        <w:tc>
          <w:tcPr>
            <w:tcW w:type="dxa" w:w="3005"/>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第四问主要做法</w:t>
            </w:r>
          </w:p>
        </w:tc>
        <w:tc>
          <w:tcPr>
            <w:tcW w:type="dxa" w:w="238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可借鉴</w:t>
            </w:r>
          </w:p>
        </w:tc>
        <w:tc>
          <w:tcPr>
            <w:tcW w:type="dxa" w:w="2948"/>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本手册的修正</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优秀论文A：多阶段模拟仿真（第18–21页）</w:t>
            </w:r>
          </w:p>
        </w:tc>
        <w:tc>
          <w:tcPr>
            <w:tcW w:type="dxa" w:w="3005"/>
            <w:vAlign w:val="center"/>
            <w:tcMar>
              <w:top w:w="70" w:type="dxa"/>
              <w:start w:w="85" w:type="dxa"/>
              <w:bottom w:w="70" w:type="dxa"/>
              <w:end w:w="85" w:type="dxa"/>
            </w:tcMar>
          </w:tcPr>
          <w:p>
            <w:pPr>
              <w:jc w:val="left"/>
            </w:pPr>
            <w:r>
              <w:rPr>
                <w:rFonts w:ascii="Times New Roman" w:hAnsi="Times New Roman" w:eastAsia="Noto Serif CJK SC"/>
                <w:b w:val="0"/>
                <w:i w:val="0"/>
                <w:sz w:val="16"/>
              </w:rPr>
              <w:t>Beta先验 + 二项似然 + 后验；以95%区间端点扰动后重算Q2/Q3</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认识到“点估计不能直接当真值”，并把不确定性传回生产决策</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6"/>
              </w:rPr>
              <w:t>文中数值演示取 n=10000，题目并未给出；且先验参数与样本信息的写法容易形成重复计数。本文只保留“后验/区间传播”思想，不使用其人为 n</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优秀论文B：ACO+GA+MC（第20–22页）</w:t>
            </w:r>
          </w:p>
        </w:tc>
        <w:tc>
          <w:tcPr>
            <w:tcW w:type="dxa" w:w="3005"/>
            <w:vAlign w:val="center"/>
            <w:tcMar>
              <w:top w:w="70" w:type="dxa"/>
              <w:start w:w="85" w:type="dxa"/>
              <w:bottom w:w="70" w:type="dxa"/>
              <w:end w:w="85" w:type="dxa"/>
            </w:tcMar>
          </w:tcPr>
          <w:p>
            <w:pPr>
              <w:jc w:val="left"/>
            </w:pPr>
            <w:r>
              <w:rPr>
                <w:rFonts w:ascii="Times New Roman" w:hAnsi="Times New Roman" w:eastAsia="Noto Serif CJK SC"/>
                <w:b w:val="0"/>
                <w:i w:val="0"/>
                <w:sz w:val="16"/>
              </w:rPr>
              <w:t>把真实次品率近似为以表值为均值的正态分布，并以 μ±3σ 检验鲁棒性</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强调需要看“决策随质量波动是否改变”</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6"/>
              </w:rPr>
              <w:t>Bernoulli比例不需要先做正态假设，且σ来源未给。本文直接从抽样的二项机制构造置信边界</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优秀论文C：生产决策优化设计（第18–22页）</w:t>
            </w:r>
          </w:p>
        </w:tc>
        <w:tc>
          <w:tcPr>
            <w:tcW w:type="dxa" w:w="3005"/>
            <w:vAlign w:val="center"/>
            <w:tcMar>
              <w:top w:w="70" w:type="dxa"/>
              <w:start w:w="85" w:type="dxa"/>
              <w:bottom w:w="70" w:type="dxa"/>
              <w:end w:w="85" w:type="dxa"/>
            </w:tcMar>
          </w:tcPr>
          <w:p>
            <w:pPr>
              <w:jc w:val="left"/>
            </w:pPr>
            <w:r>
              <w:rPr>
                <w:rFonts w:ascii="Times New Roman" w:hAnsi="Times New Roman" w:eastAsia="Noto Serif CJK SC"/>
                <w:b w:val="0"/>
                <w:i w:val="0"/>
                <w:sz w:val="16"/>
              </w:rPr>
              <w:t>Beta(α,β)共轭后验；再用期望利润重求Q2/Q3，并对α、β做灵敏度</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把“抽样参数不确定性—利润函数—最优决策”连成一体</w:t>
            </w:r>
          </w:p>
        </w:tc>
        <w:tc>
          <w:tcPr>
            <w:tcW w:type="dxa" w:w="2948"/>
            <w:vAlign w:val="center"/>
            <w:tcMar>
              <w:top w:w="70" w:type="dxa"/>
              <w:start w:w="85" w:type="dxa"/>
              <w:bottom w:w="70" w:type="dxa"/>
              <w:end w:w="85" w:type="dxa"/>
            </w:tcMar>
          </w:tcPr>
          <w:p>
            <w:pPr>
              <w:jc w:val="left"/>
            </w:pPr>
            <w:r>
              <w:rPr>
                <w:rFonts w:ascii="Times New Roman" w:hAnsi="Times New Roman" w:eastAsia="Noto Serif CJK SC"/>
                <w:b w:val="0"/>
                <w:i w:val="0"/>
                <w:sz w:val="16"/>
              </w:rPr>
              <w:t>题目没有先验和样本权重，不以Beta(1,1)及任意权重作为主模型；Bayesian只在有历史数据时作为条件扩展</w:t>
            </w:r>
          </w:p>
        </w:tc>
      </w:tr>
    </w:tbl>
    <w:p>
      <w:pPr>
        <w:spacing w:line="300" w:lineRule="auto" w:after="80"/>
        <w:ind w:firstLine="420"/>
      </w:pPr>
      <w:r>
        <w:rPr>
          <w:rFonts w:ascii="Times New Roman" w:hAnsi="Times New Roman" w:eastAsia="Noto Serif CJK SC"/>
          <w:b w:val="0"/>
          <w:i w:val="0"/>
          <w:sz w:val="21"/>
        </w:rPr>
        <w:t>因此，本问真正值得写成“改进点”的不是增加一个新算法，而是三件事：第一，抽样设计与置信区间方法必须匹配，序贯停止不能套普通固定样本区间；第二，用置信边界直接驱动 Q2/Q3 的全局重优化，而不是只在原最优策略上做局部利润扰动；第三，报告“策略稳定率与最优—次优间隔”，把统计不确定性真正翻译成企业能理解的决策风险。</w:t>
      </w:r>
    </w:p>
    <w:p>
      <w:pPr>
        <w:pStyle w:val="Heading2"/>
        <w:keepNext/>
      </w:pPr>
      <w:r>
        <w:rPr>
          <w:rFonts w:ascii="Times New Roman" w:hAnsi="Times New Roman" w:eastAsia="Noto Sans CJK SC"/>
          <w:b/>
          <w:i w:val="0"/>
          <w:color w:val="2D4960"/>
          <w:sz w:val="25"/>
        </w:rPr>
        <w:t>1.3 近 3—5 年文献对本问的直接启示</w:t>
      </w:r>
    </w:p>
    <w:p>
      <w:pPr>
        <w:spacing w:line="300" w:lineRule="auto" w:after="80"/>
        <w:ind w:firstLine="420"/>
      </w:pPr>
      <w:r>
        <w:rPr>
          <w:rFonts w:ascii="Times New Roman" w:hAnsi="Times New Roman" w:eastAsia="Noto Serif CJK SC"/>
          <w:b w:val="0"/>
          <w:i w:val="0"/>
          <w:sz w:val="21"/>
        </w:rPr>
        <w:t>Howard 等（2021）系统研究了 time-uniform confidence sequences，核心结论是置信序列在数据依赖的停止时刻仍具有统一覆盖保证，这与问题一“边检测边判断”的序贯抽样完全一致。因此，如果问题四的次品率来自问题一的序贯停止记录，必须使用顺序有效区间，而不是事后把随机停止的 n 当作预先固定样本量。</w:t>
      </w:r>
    </w:p>
    <w:p>
      <w:pPr>
        <w:spacing w:line="300" w:lineRule="auto" w:after="80"/>
        <w:ind w:firstLine="420"/>
      </w:pPr>
      <w:r>
        <w:rPr>
          <w:rFonts w:ascii="Times New Roman" w:hAnsi="Times New Roman" w:eastAsia="Noto Serif CJK SC"/>
          <w:b w:val="0"/>
          <w:i w:val="0"/>
          <w:sz w:val="21"/>
        </w:rPr>
        <w:t>Assid、Gharbi 与 Hajji（2023）在制造—再制造系统中联合研究生产、回收补给与质量检验，说明质量信息与回收生产控制不应割裂；Zhou 与 Zha（2024，2023年在线）在含返工闭环生产线上先构造状态转移性能模型，再进行优化。这两类研究共同支持本文“统计不确定性只作为外层，内层仍使用已经验证过的闭环状态评价器”的建模顺序。</w:t>
      </w:r>
    </w:p>
    <w:tbl>
      <w:tblPr>
        <w:tblW w:type="auto" w:w="0"/>
        <w:jc w:val="center"/>
        <w:tblLook w:firstColumn="1" w:firstRow="1" w:lastColumn="0" w:lastRow="0" w:noHBand="0" w:noVBand="1" w:val="04A0"/>
        <w:tblBorders>
          <w:top w:val="single" w:sz="8" w:space="0" w:color="7EA6C7"/>
          <w:left w:val="single" w:sz="8" w:space="0" w:color="7EA6C7"/>
          <w:bottom w:val="single" w:sz="8" w:space="0" w:color="7EA6C7"/>
          <w:right w:val="single" w:sz="8" w:space="0" w:color="7EA6C7"/>
        </w:tblBorders>
      </w:tblPr>
      <w:tblGrid>
        <w:gridCol w:w="9802"/>
      </w:tblGrid>
      <w:tr>
        <w:trPr>
          <w:tblHeader w:val="true"/>
        </w:trPr>
        <w:tc>
          <w:tcPr>
            <w:tcW w:type="dxa" w:w="9802"/>
            <w:shd w:fill="EEF5FB"/>
            <w:tcMar>
              <w:top w:w="110" w:type="dxa"/>
              <w:start w:w="150" w:type="dxa"/>
              <w:bottom w:w="110" w:type="dxa"/>
              <w:end w:w="150" w:type="dxa"/>
            </w:tcMar>
          </w:tcPr>
          <w:p>
            <w:r>
              <w:rPr>
                <w:rFonts w:ascii="Times New Roman" w:hAnsi="Times New Roman" w:eastAsia="Noto Sans CJK SC"/>
                <w:b/>
                <w:i w:val="0"/>
                <w:color w:val="215074"/>
                <w:sz w:val="20"/>
              </w:rPr>
              <w:t>文献使用边界：</w:t>
            </w:r>
            <w:r>
              <w:rPr>
                <w:rFonts w:ascii="Times New Roman" w:hAnsi="Times New Roman" w:eastAsia="Noto Serif CJK SC"/>
                <w:b w:val="0"/>
                <w:i w:val="0"/>
                <w:sz w:val="20"/>
              </w:rPr>
              <w:t>上述文献用于支撑方法论选择，不用于替题目补充样本量、先验或成本参数。题目没给的数据仍保持为变量。</w:t>
            </w:r>
          </w:p>
        </w:tc>
      </w:tr>
    </w:tbl>
    <w:p>
      <w:pPr>
        <w:spacing w:after="0"/>
      </w:pPr>
    </w:p>
    <w:p>
      <w:pPr>
        <w:pStyle w:val="Heading2"/>
        <w:keepNext/>
      </w:pPr>
      <w:r>
        <w:rPr>
          <w:rFonts w:ascii="Times New Roman" w:hAnsi="Times New Roman" w:eastAsia="Noto Sans CJK SC"/>
          <w:b/>
          <w:i w:val="0"/>
          <w:color w:val="2D4960"/>
          <w:sz w:val="25"/>
        </w:rPr>
        <w:t>1.4 模型选择矩阵</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1960"/>
        <w:gridCol w:w="1960"/>
        <w:gridCol w:w="1960"/>
        <w:gridCol w:w="1960"/>
        <w:gridCol w:w="1960"/>
      </w:tblGrid>
      <w:tr>
        <w:trPr>
          <w:tblHeader w:val="true"/>
        </w:trPr>
        <w:tc>
          <w:tcPr>
            <w:tcW w:type="dxa" w:w="1814"/>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候选模型</w:t>
            </w:r>
          </w:p>
        </w:tc>
        <w:tc>
          <w:tcPr>
            <w:tcW w:type="dxa" w:w="1020"/>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是否采用</w:t>
            </w:r>
          </w:p>
        </w:tc>
        <w:tc>
          <w:tcPr>
            <w:tcW w:type="dxa" w:w="136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定位</w:t>
            </w:r>
          </w:p>
        </w:tc>
        <w:tc>
          <w:tcPr>
            <w:tcW w:type="dxa" w:w="306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客观理由</w:t>
            </w:r>
          </w:p>
        </w:tc>
        <w:tc>
          <w:tcPr>
            <w:tcW w:type="dxa" w:w="272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主要局限</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6"/>
              </w:rPr>
              <w:t>Plug-in：直接令 p=样本次品率</w:t>
            </w:r>
          </w:p>
        </w:tc>
        <w:tc>
          <w:tcPr>
            <w:tcW w:type="dxa" w:w="1020"/>
            <w:vAlign w:val="center"/>
            <w:tcMar>
              <w:top w:w="70" w:type="dxa"/>
              <w:start w:w="85" w:type="dxa"/>
              <w:bottom w:w="70" w:type="dxa"/>
              <w:end w:w="85" w:type="dxa"/>
            </w:tcMar>
          </w:tcPr>
          <w:p>
            <w:pPr>
              <w:jc w:val="left"/>
            </w:pPr>
            <w:r>
              <w:rPr>
                <w:rFonts w:ascii="Times New Roman" w:hAnsi="Times New Roman" w:eastAsia="Noto Serif CJK SC"/>
                <w:b w:val="0"/>
                <w:i w:val="0"/>
                <w:sz w:val="16"/>
              </w:rPr>
              <w:t>仅基准</w:t>
            </w:r>
          </w:p>
        </w:tc>
        <w:tc>
          <w:tcPr>
            <w:tcW w:type="dxa" w:w="1361"/>
            <w:vAlign w:val="center"/>
            <w:tcMar>
              <w:top w:w="70" w:type="dxa"/>
              <w:start w:w="85" w:type="dxa"/>
              <w:bottom w:w="70" w:type="dxa"/>
              <w:end w:w="85" w:type="dxa"/>
            </w:tcMar>
          </w:tcPr>
          <w:p>
            <w:pPr>
              <w:jc w:val="left"/>
            </w:pPr>
            <w:r>
              <w:rPr>
                <w:rFonts w:ascii="Times New Roman" w:hAnsi="Times New Roman" w:eastAsia="Noto Serif CJK SC"/>
                <w:b w:val="0"/>
                <w:i w:val="0"/>
                <w:sz w:val="16"/>
              </w:rPr>
              <w:t>名义解/退化校验</w:t>
            </w:r>
          </w:p>
        </w:tc>
        <w:tc>
          <w:tcPr>
            <w:tcW w:type="dxa" w:w="3061"/>
            <w:vAlign w:val="center"/>
            <w:tcMar>
              <w:top w:w="70" w:type="dxa"/>
              <w:start w:w="85" w:type="dxa"/>
              <w:bottom w:w="70" w:type="dxa"/>
              <w:end w:w="85" w:type="dxa"/>
            </w:tcMar>
          </w:tcPr>
          <w:p>
            <w:pPr>
              <w:jc w:val="left"/>
            </w:pPr>
            <w:r>
              <w:rPr>
                <w:rFonts w:ascii="Times New Roman" w:hAnsi="Times New Roman" w:eastAsia="Noto Serif CJK SC"/>
                <w:b w:val="0"/>
                <w:i w:val="0"/>
                <w:sz w:val="16"/>
              </w:rPr>
              <w:t>最简单，可检查当不确定性趋零时Q4是否退化为Q2/Q3</w:t>
            </w:r>
          </w:p>
        </w:tc>
        <w:tc>
          <w:tcPr>
            <w:tcW w:type="dxa" w:w="2721"/>
            <w:vAlign w:val="center"/>
            <w:tcMar>
              <w:top w:w="70" w:type="dxa"/>
              <w:start w:w="85" w:type="dxa"/>
              <w:bottom w:w="70" w:type="dxa"/>
              <w:end w:w="85" w:type="dxa"/>
            </w:tcMar>
          </w:tcPr>
          <w:p>
            <w:pPr>
              <w:jc w:val="left"/>
            </w:pPr>
            <w:r>
              <w:rPr>
                <w:rFonts w:ascii="Times New Roman" w:hAnsi="Times New Roman" w:eastAsia="Noto Serif CJK SC"/>
                <w:b w:val="0"/>
                <w:i w:val="0"/>
                <w:sz w:val="16"/>
              </w:rPr>
              <w:t>完全忽略抽样误差，不能作为Q4最终答案</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6"/>
              </w:rPr>
              <w:t>精确二项 / anytime-valid置信上界</w:t>
            </w:r>
          </w:p>
        </w:tc>
        <w:tc>
          <w:tcPr>
            <w:tcW w:type="dxa" w:w="1020"/>
            <w:vAlign w:val="center"/>
            <w:tcMar>
              <w:top w:w="70" w:type="dxa"/>
              <w:start w:w="85" w:type="dxa"/>
              <w:bottom w:w="70" w:type="dxa"/>
              <w:end w:w="85" w:type="dxa"/>
            </w:tcMar>
          </w:tcPr>
          <w:p>
            <w:pPr>
              <w:jc w:val="left"/>
            </w:pPr>
            <w:r>
              <w:rPr>
                <w:rFonts w:ascii="Times New Roman" w:hAnsi="Times New Roman" w:eastAsia="Noto Serif CJK SC"/>
                <w:b w:val="0"/>
                <w:i w:val="0"/>
                <w:sz w:val="16"/>
              </w:rPr>
              <w:t>是</w:t>
            </w:r>
          </w:p>
        </w:tc>
        <w:tc>
          <w:tcPr>
            <w:tcW w:type="dxa" w:w="1361"/>
            <w:vAlign w:val="center"/>
            <w:tcMar>
              <w:top w:w="70" w:type="dxa"/>
              <w:start w:w="85" w:type="dxa"/>
              <w:bottom w:w="70" w:type="dxa"/>
              <w:end w:w="85" w:type="dxa"/>
            </w:tcMar>
          </w:tcPr>
          <w:p>
            <w:pPr>
              <w:jc w:val="left"/>
            </w:pPr>
            <w:r>
              <w:rPr>
                <w:rFonts w:ascii="Times New Roman" w:hAnsi="Times New Roman" w:eastAsia="Noto Serif CJK SC"/>
                <w:b w:val="0"/>
                <w:i w:val="0"/>
                <w:sz w:val="16"/>
              </w:rPr>
              <w:t>统计主模型</w:t>
            </w:r>
          </w:p>
        </w:tc>
        <w:tc>
          <w:tcPr>
            <w:tcW w:type="dxa" w:w="3061"/>
            <w:vAlign w:val="center"/>
            <w:tcMar>
              <w:top w:w="70" w:type="dxa"/>
              <w:start w:w="85" w:type="dxa"/>
              <w:bottom w:w="70" w:type="dxa"/>
              <w:end w:w="85" w:type="dxa"/>
            </w:tcMar>
          </w:tcPr>
          <w:p>
            <w:pPr>
              <w:jc w:val="left"/>
            </w:pPr>
            <w:r>
              <w:rPr>
                <w:rFonts w:ascii="Times New Roman" w:hAnsi="Times New Roman" w:eastAsia="Noto Serif CJK SC"/>
                <w:b w:val="0"/>
                <w:i w:val="0"/>
                <w:sz w:val="16"/>
              </w:rPr>
              <w:t>与0/1抽样机制及Q1停止规则直接匹配，无正态近似</w:t>
            </w:r>
          </w:p>
        </w:tc>
        <w:tc>
          <w:tcPr>
            <w:tcW w:type="dxa" w:w="2721"/>
            <w:vAlign w:val="center"/>
            <w:tcMar>
              <w:top w:w="70" w:type="dxa"/>
              <w:start w:w="85" w:type="dxa"/>
              <w:bottom w:w="70" w:type="dxa"/>
              <w:end w:w="85" w:type="dxa"/>
            </w:tcMar>
          </w:tcPr>
          <w:p>
            <w:pPr>
              <w:jc w:val="left"/>
            </w:pPr>
            <w:r>
              <w:rPr>
                <w:rFonts w:ascii="Times New Roman" w:hAnsi="Times New Roman" w:eastAsia="Noto Serif CJK SC"/>
                <w:b w:val="0"/>
                <w:i w:val="0"/>
                <w:sz w:val="16"/>
              </w:rPr>
              <w:t>序贯边界数值反演比固定样本略复杂</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6"/>
              </w:rPr>
              <w:t>置信边界最坏情形重优化</w:t>
            </w:r>
          </w:p>
        </w:tc>
        <w:tc>
          <w:tcPr>
            <w:tcW w:type="dxa" w:w="1020"/>
            <w:vAlign w:val="center"/>
            <w:tcMar>
              <w:top w:w="70" w:type="dxa"/>
              <w:start w:w="85" w:type="dxa"/>
              <w:bottom w:w="70" w:type="dxa"/>
              <w:end w:w="85" w:type="dxa"/>
            </w:tcMar>
          </w:tcPr>
          <w:p>
            <w:pPr>
              <w:jc w:val="left"/>
            </w:pPr>
            <w:r>
              <w:rPr>
                <w:rFonts w:ascii="Times New Roman" w:hAnsi="Times New Roman" w:eastAsia="Noto Serif CJK SC"/>
                <w:b w:val="0"/>
                <w:i w:val="0"/>
                <w:sz w:val="16"/>
              </w:rPr>
              <w:t>是</w:t>
            </w:r>
          </w:p>
        </w:tc>
        <w:tc>
          <w:tcPr>
            <w:tcW w:type="dxa" w:w="1361"/>
            <w:vAlign w:val="center"/>
            <w:tcMar>
              <w:top w:w="70" w:type="dxa"/>
              <w:start w:w="85" w:type="dxa"/>
              <w:bottom w:w="70" w:type="dxa"/>
              <w:end w:w="85" w:type="dxa"/>
            </w:tcMar>
          </w:tcPr>
          <w:p>
            <w:pPr>
              <w:jc w:val="left"/>
            </w:pPr>
            <w:r>
              <w:rPr>
                <w:rFonts w:ascii="Times New Roman" w:hAnsi="Times New Roman" w:eastAsia="Noto Serif CJK SC"/>
                <w:b w:val="0"/>
                <w:i w:val="0"/>
                <w:sz w:val="16"/>
              </w:rPr>
              <w:t>稳健主模型</w:t>
            </w:r>
          </w:p>
        </w:tc>
        <w:tc>
          <w:tcPr>
            <w:tcW w:type="dxa" w:w="3061"/>
            <w:vAlign w:val="center"/>
            <w:tcMar>
              <w:top w:w="70" w:type="dxa"/>
              <w:start w:w="85" w:type="dxa"/>
              <w:bottom w:w="70" w:type="dxa"/>
              <w:end w:w="85" w:type="dxa"/>
            </w:tcMar>
          </w:tcPr>
          <w:p>
            <w:pPr>
              <w:jc w:val="left"/>
            </w:pPr>
            <w:r>
              <w:rPr>
                <w:rFonts w:ascii="Times New Roman" w:hAnsi="Times New Roman" w:eastAsia="Noto Serif CJK SC"/>
                <w:b w:val="0"/>
                <w:i w:val="0"/>
                <w:sz w:val="16"/>
              </w:rPr>
              <w:t>不需要先验；风险水平直接来自题目90%/95%信度</w:t>
            </w:r>
          </w:p>
        </w:tc>
        <w:tc>
          <w:tcPr>
            <w:tcW w:type="dxa" w:w="2721"/>
            <w:vAlign w:val="center"/>
            <w:tcMar>
              <w:top w:w="70" w:type="dxa"/>
              <w:start w:w="85" w:type="dxa"/>
              <w:bottom w:w="70" w:type="dxa"/>
              <w:end w:w="85" w:type="dxa"/>
            </w:tcMar>
          </w:tcPr>
          <w:p>
            <w:pPr>
              <w:jc w:val="left"/>
            </w:pPr>
            <w:r>
              <w:rPr>
                <w:rFonts w:ascii="Times New Roman" w:hAnsi="Times New Roman" w:eastAsia="Noto Serif CJK SC"/>
                <w:b w:val="0"/>
                <w:i w:val="0"/>
                <w:sz w:val="16"/>
              </w:rPr>
              <w:t>同时置信上界可能偏保守，需要同时报告名义解与安全裕度</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6"/>
              </w:rPr>
              <w:t>Parametric bootstrap</w:t>
            </w:r>
          </w:p>
        </w:tc>
        <w:tc>
          <w:tcPr>
            <w:tcW w:type="dxa" w:w="1020"/>
            <w:vAlign w:val="center"/>
            <w:tcMar>
              <w:top w:w="70" w:type="dxa"/>
              <w:start w:w="85" w:type="dxa"/>
              <w:bottom w:w="70" w:type="dxa"/>
              <w:end w:w="85" w:type="dxa"/>
            </w:tcMar>
          </w:tcPr>
          <w:p>
            <w:pPr>
              <w:jc w:val="left"/>
            </w:pPr>
            <w:r>
              <w:rPr>
                <w:rFonts w:ascii="Times New Roman" w:hAnsi="Times New Roman" w:eastAsia="Noto Serif CJK SC"/>
                <w:b w:val="0"/>
                <w:i w:val="0"/>
                <w:sz w:val="16"/>
              </w:rPr>
              <w:t>是，仅检验</w:t>
            </w:r>
          </w:p>
        </w:tc>
        <w:tc>
          <w:tcPr>
            <w:tcW w:type="dxa" w:w="1361"/>
            <w:vAlign w:val="center"/>
            <w:tcMar>
              <w:top w:w="70" w:type="dxa"/>
              <w:start w:w="85" w:type="dxa"/>
              <w:bottom w:w="70" w:type="dxa"/>
              <w:end w:w="85" w:type="dxa"/>
            </w:tcMar>
          </w:tcPr>
          <w:p>
            <w:pPr>
              <w:jc w:val="left"/>
            </w:pPr>
            <w:r>
              <w:rPr>
                <w:rFonts w:ascii="Times New Roman" w:hAnsi="Times New Roman" w:eastAsia="Noto Serif CJK SC"/>
                <w:b w:val="0"/>
                <w:i w:val="0"/>
                <w:sz w:val="16"/>
              </w:rPr>
              <w:t>策略稳定性</w:t>
            </w:r>
          </w:p>
        </w:tc>
        <w:tc>
          <w:tcPr>
            <w:tcW w:type="dxa" w:w="3061"/>
            <w:vAlign w:val="center"/>
            <w:tcMar>
              <w:top w:w="70" w:type="dxa"/>
              <w:start w:w="85" w:type="dxa"/>
              <w:bottom w:w="70" w:type="dxa"/>
              <w:end w:w="85" w:type="dxa"/>
            </w:tcMar>
          </w:tcPr>
          <w:p>
            <w:pPr>
              <w:jc w:val="left"/>
            </w:pPr>
            <w:r>
              <w:rPr>
                <w:rFonts w:ascii="Times New Roman" w:hAnsi="Times New Roman" w:eastAsia="Noto Serif CJK SC"/>
                <w:b w:val="0"/>
                <w:i w:val="0"/>
                <w:sz w:val="16"/>
              </w:rPr>
              <w:t>按照原抽样设计重复抽样，可估计策略切换概率</w:t>
            </w:r>
          </w:p>
        </w:tc>
        <w:tc>
          <w:tcPr>
            <w:tcW w:type="dxa" w:w="2721"/>
            <w:vAlign w:val="center"/>
            <w:tcMar>
              <w:top w:w="70" w:type="dxa"/>
              <w:start w:w="85" w:type="dxa"/>
              <w:bottom w:w="70" w:type="dxa"/>
              <w:end w:w="85" w:type="dxa"/>
            </w:tcMar>
          </w:tcPr>
          <w:p>
            <w:pPr>
              <w:jc w:val="left"/>
            </w:pPr>
            <w:r>
              <w:rPr>
                <w:rFonts w:ascii="Times New Roman" w:hAnsi="Times New Roman" w:eastAsia="Noto Serif CJK SC"/>
                <w:b w:val="0"/>
                <w:i w:val="0"/>
                <w:sz w:val="16"/>
              </w:rPr>
              <w:t>属于数值检验；样本次数B只控制Monte Carlo误差</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6"/>
              </w:rPr>
              <w:t>Beta-Binomial Bayes</w:t>
            </w:r>
          </w:p>
        </w:tc>
        <w:tc>
          <w:tcPr>
            <w:tcW w:type="dxa" w:w="1020"/>
            <w:vAlign w:val="center"/>
            <w:tcMar>
              <w:top w:w="70" w:type="dxa"/>
              <w:start w:w="85" w:type="dxa"/>
              <w:bottom w:w="70" w:type="dxa"/>
              <w:end w:w="85" w:type="dxa"/>
            </w:tcMar>
          </w:tcPr>
          <w:p>
            <w:pPr>
              <w:jc w:val="left"/>
            </w:pPr>
            <w:r>
              <w:rPr>
                <w:rFonts w:ascii="Times New Roman" w:hAnsi="Times New Roman" w:eastAsia="Noto Serif CJK SC"/>
                <w:b w:val="0"/>
                <w:i w:val="0"/>
                <w:sz w:val="16"/>
              </w:rPr>
              <w:t>条件采用</w:t>
            </w:r>
          </w:p>
        </w:tc>
        <w:tc>
          <w:tcPr>
            <w:tcW w:type="dxa" w:w="1361"/>
            <w:vAlign w:val="center"/>
            <w:tcMar>
              <w:top w:w="70" w:type="dxa"/>
              <w:start w:w="85" w:type="dxa"/>
              <w:bottom w:w="70" w:type="dxa"/>
              <w:end w:w="85" w:type="dxa"/>
            </w:tcMar>
          </w:tcPr>
          <w:p>
            <w:pPr>
              <w:jc w:val="left"/>
            </w:pPr>
            <w:r>
              <w:rPr>
                <w:rFonts w:ascii="Times New Roman" w:hAnsi="Times New Roman" w:eastAsia="Noto Serif CJK SC"/>
                <w:b w:val="0"/>
                <w:i w:val="0"/>
                <w:sz w:val="16"/>
              </w:rPr>
              <w:t>补充比较</w:t>
            </w:r>
          </w:p>
        </w:tc>
        <w:tc>
          <w:tcPr>
            <w:tcW w:type="dxa" w:w="3061"/>
            <w:vAlign w:val="center"/>
            <w:tcMar>
              <w:top w:w="70" w:type="dxa"/>
              <w:start w:w="85" w:type="dxa"/>
              <w:bottom w:w="70" w:type="dxa"/>
              <w:end w:w="85" w:type="dxa"/>
            </w:tcMar>
          </w:tcPr>
          <w:p>
            <w:pPr>
              <w:jc w:val="left"/>
            </w:pPr>
            <w:r>
              <w:rPr>
                <w:rFonts w:ascii="Times New Roman" w:hAnsi="Times New Roman" w:eastAsia="Noto Serif CJK SC"/>
                <w:b w:val="0"/>
                <w:i w:val="0"/>
                <w:sz w:val="16"/>
              </w:rPr>
              <w:t>若企业有历史批次可把先验与当前样本合并</w:t>
            </w:r>
          </w:p>
        </w:tc>
        <w:tc>
          <w:tcPr>
            <w:tcW w:type="dxa" w:w="2721"/>
            <w:vAlign w:val="center"/>
            <w:tcMar>
              <w:top w:w="70" w:type="dxa"/>
              <w:start w:w="85" w:type="dxa"/>
              <w:bottom w:w="70" w:type="dxa"/>
              <w:end w:w="85" w:type="dxa"/>
            </w:tcMar>
          </w:tcPr>
          <w:p>
            <w:pPr>
              <w:jc w:val="left"/>
            </w:pPr>
            <w:r>
              <w:rPr>
                <w:rFonts w:ascii="Times New Roman" w:hAnsi="Times New Roman" w:eastAsia="Noto Serif CJK SC"/>
                <w:b w:val="0"/>
                <w:i w:val="0"/>
                <w:sz w:val="16"/>
              </w:rPr>
              <w:t>题目无先验；任意Beta(1,1)不能冒充客观信息</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6"/>
              </w:rPr>
              <w:t>正态/3σ波动</w:t>
            </w:r>
          </w:p>
        </w:tc>
        <w:tc>
          <w:tcPr>
            <w:tcW w:type="dxa" w:w="1020"/>
            <w:vAlign w:val="center"/>
            <w:tcMar>
              <w:top w:w="70" w:type="dxa"/>
              <w:start w:w="85" w:type="dxa"/>
              <w:bottom w:w="70" w:type="dxa"/>
              <w:end w:w="85" w:type="dxa"/>
            </w:tcMar>
          </w:tcPr>
          <w:p>
            <w:pPr>
              <w:jc w:val="left"/>
            </w:pPr>
            <w:r>
              <w:rPr>
                <w:rFonts w:ascii="Times New Roman" w:hAnsi="Times New Roman" w:eastAsia="Noto Serif CJK SC"/>
                <w:b w:val="0"/>
                <w:i w:val="0"/>
                <w:sz w:val="16"/>
              </w:rPr>
              <w:t>不作为主模型</w:t>
            </w:r>
          </w:p>
        </w:tc>
        <w:tc>
          <w:tcPr>
            <w:tcW w:type="dxa" w:w="1361"/>
            <w:vAlign w:val="center"/>
            <w:tcMar>
              <w:top w:w="70" w:type="dxa"/>
              <w:start w:w="85" w:type="dxa"/>
              <w:bottom w:w="70" w:type="dxa"/>
              <w:end w:w="85" w:type="dxa"/>
            </w:tcMar>
          </w:tcPr>
          <w:p>
            <w:pPr>
              <w:jc w:val="left"/>
            </w:pPr>
            <w:r>
              <w:rPr>
                <w:rFonts w:ascii="Times New Roman" w:hAnsi="Times New Roman" w:eastAsia="Noto Serif CJK SC"/>
                <w:b w:val="0"/>
                <w:i w:val="0"/>
                <w:sz w:val="16"/>
              </w:rPr>
              <w:t>仅大样本近似解释</w:t>
            </w:r>
          </w:p>
        </w:tc>
        <w:tc>
          <w:tcPr>
            <w:tcW w:type="dxa" w:w="3061"/>
            <w:vAlign w:val="center"/>
            <w:tcMar>
              <w:top w:w="70" w:type="dxa"/>
              <w:start w:w="85" w:type="dxa"/>
              <w:bottom w:w="70" w:type="dxa"/>
              <w:end w:w="85" w:type="dxa"/>
            </w:tcMar>
          </w:tcPr>
          <w:p>
            <w:pPr>
              <w:jc w:val="left"/>
            </w:pPr>
            <w:r>
              <w:rPr>
                <w:rFonts w:ascii="Times New Roman" w:hAnsi="Times New Roman" w:eastAsia="Noto Serif CJK SC"/>
                <w:b w:val="0"/>
                <w:i w:val="0"/>
                <w:sz w:val="16"/>
              </w:rPr>
              <w:t>计算简单</w:t>
            </w:r>
          </w:p>
        </w:tc>
        <w:tc>
          <w:tcPr>
            <w:tcW w:type="dxa" w:w="2721"/>
            <w:vAlign w:val="center"/>
            <w:tcMar>
              <w:top w:w="70" w:type="dxa"/>
              <w:start w:w="85" w:type="dxa"/>
              <w:bottom w:w="70" w:type="dxa"/>
              <w:end w:w="85" w:type="dxa"/>
            </w:tcMar>
          </w:tcPr>
          <w:p>
            <w:pPr>
              <w:jc w:val="left"/>
            </w:pPr>
            <w:r>
              <w:rPr>
                <w:rFonts w:ascii="Times New Roman" w:hAnsi="Times New Roman" w:eastAsia="Noto Serif CJK SC"/>
                <w:b w:val="0"/>
                <w:i w:val="0"/>
                <w:sz w:val="16"/>
              </w:rPr>
              <w:t>比例数据本身有精确二项机制，σ和n若无记录则不可识别</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6"/>
              </w:rPr>
              <w:t>GA/ACO/SA</w:t>
            </w:r>
          </w:p>
        </w:tc>
        <w:tc>
          <w:tcPr>
            <w:tcW w:type="dxa" w:w="1020"/>
            <w:vAlign w:val="center"/>
            <w:tcMar>
              <w:top w:w="70" w:type="dxa"/>
              <w:start w:w="85" w:type="dxa"/>
              <w:bottom w:w="70" w:type="dxa"/>
              <w:end w:w="85" w:type="dxa"/>
            </w:tcMar>
          </w:tcPr>
          <w:p>
            <w:pPr>
              <w:jc w:val="left"/>
            </w:pPr>
            <w:r>
              <w:rPr>
                <w:rFonts w:ascii="Times New Roman" w:hAnsi="Times New Roman" w:eastAsia="Noto Serif CJK SC"/>
                <w:b w:val="0"/>
                <w:i w:val="0"/>
                <w:sz w:val="16"/>
              </w:rPr>
              <w:t>不采用</w:t>
            </w:r>
          </w:p>
        </w:tc>
        <w:tc>
          <w:tcPr>
            <w:tcW w:type="dxa" w:w="1361"/>
            <w:vAlign w:val="center"/>
            <w:tcMar>
              <w:top w:w="70" w:type="dxa"/>
              <w:start w:w="85" w:type="dxa"/>
              <w:bottom w:w="70" w:type="dxa"/>
              <w:end w:w="85" w:type="dxa"/>
            </w:tcMar>
          </w:tcPr>
          <w:p>
            <w:pPr>
              <w:jc w:val="left"/>
            </w:pPr>
            <w:r>
              <w:rPr>
                <w:rFonts w:ascii="Times New Roman" w:hAnsi="Times New Roman" w:eastAsia="Noto Serif CJK SC"/>
                <w:b w:val="0"/>
                <w:i w:val="0"/>
                <w:sz w:val="16"/>
              </w:rPr>
              <w:t>—</w:t>
            </w:r>
          </w:p>
        </w:tc>
        <w:tc>
          <w:tcPr>
            <w:tcW w:type="dxa" w:w="3061"/>
            <w:vAlign w:val="center"/>
            <w:tcMar>
              <w:top w:w="70" w:type="dxa"/>
              <w:start w:w="85" w:type="dxa"/>
              <w:bottom w:w="70" w:type="dxa"/>
              <w:end w:w="85" w:type="dxa"/>
            </w:tcMar>
          </w:tcPr>
          <w:p>
            <w:pPr>
              <w:jc w:val="left"/>
            </w:pPr>
            <w:r>
              <w:rPr>
                <w:rFonts w:ascii="Times New Roman" w:hAnsi="Times New Roman" w:eastAsia="Noto Serif CJK SC"/>
                <w:b w:val="0"/>
                <w:i w:val="0"/>
                <w:sz w:val="16"/>
              </w:rPr>
              <w:t>Q2只有64静态策略、Q3本例65536静态策略且评价器精确</w:t>
            </w:r>
          </w:p>
        </w:tc>
        <w:tc>
          <w:tcPr>
            <w:tcW w:type="dxa" w:w="2721"/>
            <w:vAlign w:val="center"/>
            <w:tcMar>
              <w:top w:w="70" w:type="dxa"/>
              <w:start w:w="85" w:type="dxa"/>
              <w:bottom w:w="70" w:type="dxa"/>
              <w:end w:w="85" w:type="dxa"/>
            </w:tcMar>
          </w:tcPr>
          <w:p>
            <w:pPr>
              <w:jc w:val="left"/>
            </w:pPr>
            <w:r>
              <w:rPr>
                <w:rFonts w:ascii="Times New Roman" w:hAnsi="Times New Roman" w:eastAsia="Noto Serif CJK SC"/>
                <w:b w:val="0"/>
                <w:i w:val="0"/>
                <w:sz w:val="16"/>
              </w:rPr>
              <w:t>引入无来源超参数，只能给近似最优，不如精确搜索</w:t>
            </w:r>
          </w:p>
        </w:tc>
      </w:tr>
    </w:tbl>
    <w:p>
      <w:pPr>
        <w:pStyle w:val="Heading1"/>
        <w:keepNext/>
      </w:pPr>
      <w:r>
        <w:rPr>
          <w:rFonts w:ascii="Times New Roman" w:hAnsi="Times New Roman" w:eastAsia="Noto Sans CJK SC"/>
          <w:b/>
          <w:i w:val="0"/>
          <w:color w:val="1F4E79"/>
          <w:sz w:val="30"/>
        </w:rPr>
        <w:t>2 数据处理阶段：哪些数据需要处理，如何处理</w:t>
      </w:r>
    </w:p>
    <w:p>
      <w:pPr>
        <w:pStyle w:val="Heading2"/>
        <w:keepNext/>
      </w:pPr>
      <w:r>
        <w:rPr>
          <w:rFonts w:ascii="Times New Roman" w:hAnsi="Times New Roman" w:eastAsia="Noto Sans CJK SC"/>
          <w:b/>
          <w:i w:val="0"/>
          <w:color w:val="2D4960"/>
          <w:sz w:val="25"/>
        </w:rPr>
        <w:t>2.1 先把第四问的数据分成“生产参数”和“抽样证据”两层</w:t>
      </w:r>
    </w:p>
    <w:p>
      <w:pPr>
        <w:spacing w:line="300" w:lineRule="auto" w:after="80"/>
        <w:ind w:firstLine="420"/>
      </w:pPr>
      <w:r>
        <w:rPr>
          <w:rFonts w:ascii="Times New Roman" w:hAnsi="Times New Roman" w:eastAsia="Noto Serif CJK SC"/>
          <w:b w:val="0"/>
          <w:i w:val="0"/>
          <w:sz w:val="21"/>
        </w:rPr>
        <w:t>第四问中采购价、检测费、装配费、拆解费、售价和调换损失仍沿用表1、表2；真正从“常数”变成“不确定量”的只有各质量参数。因此不需要对成本做标准化、归一化，也不需要对0/1质量结果做3σ异常值剔除。处理重点是保存每个次品率背后的抽样记录，并明确该记录是固定样本还是序贯停止。</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2450"/>
        <w:gridCol w:w="2450"/>
        <w:gridCol w:w="2450"/>
        <w:gridCol w:w="2450"/>
      </w:tblGrid>
      <w:tr>
        <w:trPr>
          <w:tblHeader w:val="true"/>
        </w:trPr>
        <w:tc>
          <w:tcPr>
            <w:tcW w:type="dxa" w:w="1701"/>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字段</w:t>
            </w:r>
          </w:p>
        </w:tc>
        <w:tc>
          <w:tcPr>
            <w:tcW w:type="dxa" w:w="2324"/>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含义</w:t>
            </w:r>
          </w:p>
        </w:tc>
        <w:tc>
          <w:tcPr>
            <w:tcW w:type="dxa" w:w="3402"/>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处理规则</w:t>
            </w:r>
          </w:p>
        </w:tc>
        <w:tc>
          <w:tcPr>
            <w:tcW w:type="dxa" w:w="1984"/>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进入哪个模型</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quality_id</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质量参数唯一编号，如Q2-S1-C1、Q3-H2-proc</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唯一；与生产节点映射</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全部</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quality_type</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raw_component / process</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零件用raw；半成品/成品用process</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概率口径</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sample_design</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fixed / sequential</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必须记录，决定置信边界方法</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统计层</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n_j</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实际检测件数</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正整数；不得用论文示例数代替</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统计层</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k_j</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实际次品数</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0≤k_j≤n_j</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统计层</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p_hat_j</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样本次品率 k_j/n_j</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程序生成，不手填；仅点估计</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名义基准</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confidence_level</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0.90 或 0.95</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只使用题目已有风险水平</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稳健层</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U_j</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单侧置信上界</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由 fixed/seq 分支计算</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稳健Q2/Q3</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input_certified</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工序次品率抽样时输入是否全部已知合格</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process参数必须为true</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数据有效性检查</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7"/>
              </w:rPr>
              <w:t>batch_id / sample_order</w:t>
            </w:r>
          </w:p>
        </w:tc>
        <w:tc>
          <w:tcPr>
            <w:tcW w:type="dxa" w:w="2324"/>
            <w:vAlign w:val="center"/>
            <w:tcMar>
              <w:top w:w="70" w:type="dxa"/>
              <w:start w:w="85" w:type="dxa"/>
              <w:bottom w:w="70" w:type="dxa"/>
              <w:end w:w="85" w:type="dxa"/>
            </w:tcMar>
          </w:tcPr>
          <w:p>
            <w:pPr>
              <w:jc w:val="left"/>
            </w:pPr>
            <w:r>
              <w:rPr>
                <w:rFonts w:ascii="Times New Roman" w:hAnsi="Times New Roman" w:eastAsia="Noto Serif CJK SC"/>
                <w:b w:val="0"/>
                <w:i w:val="0"/>
                <w:sz w:val="17"/>
              </w:rPr>
              <w:t>批次与抽样顺序</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7"/>
              </w:rPr>
              <w:t>序贯样本必须保留顺序</w:t>
            </w:r>
          </w:p>
        </w:tc>
        <w:tc>
          <w:tcPr>
            <w:tcW w:type="dxa" w:w="1984"/>
            <w:vAlign w:val="center"/>
            <w:tcMar>
              <w:top w:w="70" w:type="dxa"/>
              <w:start w:w="85" w:type="dxa"/>
              <w:bottom w:w="70" w:type="dxa"/>
              <w:end w:w="85" w:type="dxa"/>
            </w:tcMar>
          </w:tcPr>
          <w:p>
            <w:pPr>
              <w:jc w:val="left"/>
            </w:pPr>
            <w:r>
              <w:rPr>
                <w:rFonts w:ascii="Times New Roman" w:hAnsi="Times New Roman" w:eastAsia="Noto Serif CJK SC"/>
                <w:b w:val="0"/>
                <w:i w:val="0"/>
                <w:sz w:val="17"/>
              </w:rPr>
              <w:t>Q1复现/Bootstrap</w:t>
            </w:r>
          </w:p>
        </w:tc>
      </w:tr>
    </w:tbl>
    <w:p>
      <w:pPr>
        <w:pStyle w:val="Heading2"/>
        <w:keepNext/>
      </w:pPr>
      <w:r>
        <w:rPr>
          <w:rFonts w:ascii="Times New Roman" w:hAnsi="Times New Roman" w:eastAsia="Noto Sans CJK SC"/>
          <w:b/>
          <w:i w:val="0"/>
          <w:color w:val="2D4960"/>
          <w:sz w:val="25"/>
        </w:rPr>
        <w:t>2.2 对零配件次品率数据的处理</w:t>
      </w:r>
    </w:p>
    <w:p>
      <w:pPr>
        <w:pStyle w:val="ListBullet"/>
        <w:spacing w:after="50"/>
        <w:ind w:left="340" w:hanging="142"/>
      </w:pPr>
      <w:r>
        <w:rPr>
          <w:rFonts w:ascii="Times New Roman" w:hAnsi="Times New Roman" w:eastAsia="Noto Serif CJK SC"/>
          <w:b w:val="0"/>
          <w:i w:val="0"/>
          <w:sz w:val="20"/>
        </w:rPr>
        <w:t>每个被抽检零件编码为 X_jt=1（次品）或0（合格），同一 quality_id 下累计 n_j 与 k_j。</w:t>
      </w:r>
    </w:p>
    <w:p>
      <w:pPr>
        <w:pStyle w:val="ListBullet"/>
        <w:spacing w:after="50"/>
        <w:ind w:left="340" w:hanging="142"/>
      </w:pPr>
      <w:r>
        <w:rPr>
          <w:rFonts w:ascii="Times New Roman" w:hAnsi="Times New Roman" w:eastAsia="Noto Serif CJK SC"/>
          <w:b w:val="0"/>
          <w:i w:val="0"/>
          <w:sz w:val="20"/>
        </w:rPr>
        <w:t>不做均值中心化、Min-Max、PCA、聚类或3σ删除。次品不是异常值，而是模型最核心的信息。</w:t>
      </w:r>
    </w:p>
    <w:p>
      <w:pPr>
        <w:pStyle w:val="ListBullet"/>
        <w:spacing w:after="50"/>
        <w:ind w:left="340" w:hanging="142"/>
      </w:pPr>
      <w:r>
        <w:rPr>
          <w:rFonts w:ascii="Times New Roman" w:hAnsi="Times New Roman" w:eastAsia="Noto Serif CJK SC"/>
          <w:b w:val="0"/>
          <w:i w:val="0"/>
          <w:sz w:val="20"/>
        </w:rPr>
        <w:t>若检测结果缺失，不得填成0或1；该件不计入 n_j，补测后再进入序列。</w:t>
      </w:r>
    </w:p>
    <w:p>
      <w:pPr>
        <w:pStyle w:val="ListBullet"/>
        <w:spacing w:after="50"/>
        <w:ind w:left="340" w:hanging="142"/>
      </w:pPr>
      <w:r>
        <w:rPr>
          <w:rFonts w:ascii="Times New Roman" w:hAnsi="Times New Roman" w:eastAsia="Noto Serif CJK SC"/>
          <w:b w:val="0"/>
          <w:i w:val="0"/>
          <w:sz w:val="20"/>
        </w:rPr>
        <w:t>一个推断序列只能来自同一批次；若供应商批次改变，应新建 quality_id / batch_id，不能把不同真实 p 的样本混合。</w:t>
      </w:r>
    </w:p>
    <w:p>
      <w:pPr>
        <w:pStyle w:val="ListBullet"/>
        <w:spacing w:after="50"/>
        <w:ind w:left="340" w:hanging="142"/>
      </w:pPr>
      <w:r>
        <w:rPr>
          <w:rFonts w:ascii="Times New Roman" w:hAnsi="Times New Roman" w:eastAsia="Noto Serif CJK SC"/>
          <w:b w:val="0"/>
          <w:i w:val="0"/>
          <w:sz w:val="20"/>
        </w:rPr>
        <w:t>若批量总数有限且抽样比例很高，可将二项模型替换为超几何模型；题目未给批量总数时不额外假设。</w:t>
      </w:r>
    </w:p>
    <w:p>
      <w:pPr>
        <w:pStyle w:val="Heading2"/>
        <w:keepNext/>
      </w:pPr>
      <w:r>
        <w:rPr>
          <w:rFonts w:ascii="Times New Roman" w:hAnsi="Times New Roman" w:eastAsia="Noto Sans CJK SC"/>
          <w:b/>
          <w:i w:val="0"/>
          <w:color w:val="2D4960"/>
          <w:sz w:val="25"/>
        </w:rPr>
        <w:t>2.3 对半成品与成品“工序次品率”数据的特殊处理</w:t>
      </w:r>
    </w:p>
    <w:p>
      <w:pPr>
        <w:spacing w:line="300" w:lineRule="auto" w:after="80"/>
        <w:ind w:firstLine="420"/>
      </w:pPr>
      <w:r>
        <w:rPr>
          <w:rFonts w:ascii="Times New Roman" w:hAnsi="Times New Roman" w:eastAsia="Noto Serif CJK SC"/>
          <w:b w:val="0"/>
          <w:i w:val="0"/>
          <w:sz w:val="21"/>
        </w:rPr>
        <w:t>这一点是第四问最容易被忽略的数据预处理。题目附录规定，半成品和成品次品率指“所有输入均为正品时，由装配工序本身导致输出次品的概率”。因此，用来估计 p_v^proc 的抽样实验必须先保证参与该工序的输入均为已知合格品。如果直接从普通生产线随机抽成品统计次品数，其中会混入“输入零件本来就坏”的失败，所得比例不是表2中 p_process 的统计对象。</w:t>
      </w:r>
    </w:p>
    <w:p>
      <w:pPr>
        <w:spacing w:before="40" w:after="80"/>
        <w:jc w:val="center"/>
      </w:pPr>
      <w:r>
        <w:rPr>
          <w:rFonts w:ascii="Cambria Math" w:hAnsi="Cambria Math" w:eastAsia="Noto Serif CJK SC"/>
          <w:b w:val="0"/>
          <w:i w:val="0"/>
          <w:sz w:val="21"/>
        </w:rPr>
        <w:t>p_v^{proc} = P( node v is defective | every direct input is known-good )</w:t>
      </w:r>
    </w:p>
    <w:tbl>
      <w:tblPr>
        <w:tblW w:type="auto" w:w="0"/>
        <w:jc w:val="center"/>
        <w:tblLook w:firstColumn="1" w:firstRow="1" w:lastColumn="0" w:lastRow="0" w:noHBand="0" w:noVBand="1" w:val="04A0"/>
        <w:tblBorders>
          <w:top w:val="single" w:sz="8" w:space="0" w:color="7EA6C7"/>
          <w:left w:val="single" w:sz="8" w:space="0" w:color="7EA6C7"/>
          <w:bottom w:val="single" w:sz="8" w:space="0" w:color="7EA6C7"/>
          <w:right w:val="single" w:sz="8" w:space="0" w:color="7EA6C7"/>
        </w:tblBorders>
      </w:tblPr>
      <w:tblGrid>
        <w:gridCol w:w="9802"/>
      </w:tblGrid>
      <w:tr>
        <w:trPr>
          <w:tblHeader w:val="true"/>
        </w:trPr>
        <w:tc>
          <w:tcPr>
            <w:tcW w:type="dxa" w:w="9802"/>
            <w:shd w:fill="FFF5E8"/>
            <w:tcMar>
              <w:top w:w="110" w:type="dxa"/>
              <w:start w:w="150" w:type="dxa"/>
              <w:bottom w:w="110" w:type="dxa"/>
              <w:end w:w="150" w:type="dxa"/>
            </w:tcMar>
          </w:tcPr>
          <w:p>
            <w:r>
              <w:rPr>
                <w:rFonts w:ascii="Times New Roman" w:hAnsi="Times New Roman" w:eastAsia="Noto Sans CJK SC"/>
                <w:b/>
                <w:i w:val="0"/>
                <w:color w:val="215074"/>
                <w:sz w:val="20"/>
              </w:rPr>
              <w:t>数据有效性决策：</w:t>
            </w:r>
            <w:r>
              <w:rPr>
                <w:rFonts w:ascii="Times New Roman" w:hAnsi="Times New Roman" w:eastAsia="Noto Serif CJK SC"/>
                <w:b w:val="0"/>
                <w:i w:val="0"/>
                <w:sz w:val="20"/>
              </w:rPr>
              <w:t>若 input_certified=false，则该记录不能直接进入 p_v^proc 的二项估计。优先回溯检测记录筛选“所有输入均已确认合格”的装配样本；若无法重构，则必须重新设计工序抽样实验，而不是用一个混合次品率硬塞回Q3。</w:t>
            </w:r>
          </w:p>
        </w:tc>
      </w:tr>
    </w:tbl>
    <w:p>
      <w:pPr>
        <w:spacing w:after="0"/>
      </w:pPr>
    </w:p>
    <w:p>
      <w:pPr>
        <w:pStyle w:val="Heading2"/>
        <w:keepNext/>
      </w:pPr>
      <w:r>
        <w:rPr>
          <w:rFonts w:ascii="Times New Roman" w:hAnsi="Times New Roman" w:eastAsia="Noto Sans CJK SC"/>
          <w:b/>
          <w:i w:val="0"/>
          <w:color w:val="2D4960"/>
          <w:sz w:val="25"/>
        </w:rPr>
        <w:t>2.4 固定样本与序贯抽样必须分流处理</w:t>
      </w:r>
    </w:p>
    <w:p>
      <w:pPr>
        <w:spacing w:line="300" w:lineRule="auto" w:after="80"/>
        <w:ind w:firstLine="420"/>
      </w:pPr>
      <w:r>
        <w:rPr>
          <w:rFonts w:ascii="Times New Roman" w:hAnsi="Times New Roman" w:eastAsia="Noto Serif CJK SC"/>
          <w:b w:val="0"/>
          <w:i w:val="0"/>
          <w:sz w:val="21"/>
        </w:rPr>
        <w:t>若 n_j 是抽样前预先确定的固定样本量，使用精确二项 Clopper-Pearson 单侧上置信限即可；若 n_j 是因为问题一的序贯证据在某时刻越界后才停止，则普通固定样本置信区间不再自动具有名义覆盖保证，必须反演问题一使用的 e-process / confidence sequence。这个分流不是“模型升级”，而是由停止规则决定的统计合法性要求。</w:t>
      </w:r>
    </w:p>
    <w:p>
      <w:pPr>
        <w:spacing w:before="40" w:after="80"/>
        <w:jc w:val="center"/>
      </w:pPr>
      <w:r>
        <w:rPr>
          <w:rFonts w:ascii="Cambria Math" w:hAnsi="Cambria Math" w:eastAsia="Noto Serif CJK SC"/>
          <w:b w:val="0"/>
          <w:i w:val="0"/>
          <w:sz w:val="21"/>
        </w:rPr>
        <w:t>Fixed sample:  U_j(1-α) = BetaQuantile(1-α ; k_j+1, n_j-k_j),   k_j&lt;n_j</w:t>
      </w:r>
    </w:p>
    <w:p>
      <w:pPr>
        <w:spacing w:before="40" w:after="80"/>
        <w:jc w:val="center"/>
      </w:pPr>
      <w:r>
        <w:rPr>
          <w:rFonts w:ascii="Cambria Math" w:hAnsi="Cambria Math" w:eastAsia="Noto Serif CJK SC"/>
          <w:b w:val="0"/>
          <w:i w:val="0"/>
          <w:sz w:val="21"/>
        </w:rPr>
        <w:t>Sequential sample:  U_{j,t}^{seq}(1-α)=inf{ p0 : E^-_{j,t}(p0) ≥ 1/α }</w:t>
      </w:r>
    </w:p>
    <w:p>
      <w:pPr>
        <w:spacing w:line="300" w:lineRule="auto" w:after="80"/>
        <w:ind w:firstLine="420"/>
      </w:pPr>
      <w:r>
        <w:rPr>
          <w:rFonts w:ascii="Times New Roman" w:hAnsi="Times New Roman" w:eastAsia="Noto Serif CJK SC"/>
          <w:b w:val="0"/>
          <w:i w:val="0"/>
          <w:sz w:val="21"/>
        </w:rPr>
        <w:t>其中 E^-_{j,t}(p0) 与问题一主模型保持同一混合似然比定义；若集合为空则上界取1。由于 E^- 是顺序有效证据过程，在任意数据依赖停止时刻都有 P_p{存在t使U_t&lt;p}≤α。数值实现采用网格定位 + Brent 根求解，不需要新设 p1。</w:t>
      </w:r>
    </w:p>
    <w:p>
      <w:pPr>
        <w:pStyle w:val="Heading2"/>
        <w:keepNext/>
      </w:pPr>
      <w:r>
        <w:rPr>
          <w:rFonts w:ascii="Times New Roman" w:hAnsi="Times New Roman" w:eastAsia="Noto Sans CJK SC"/>
          <w:b/>
          <w:i w:val="0"/>
          <w:color w:val="2D4960"/>
          <w:sz w:val="25"/>
        </w:rPr>
        <w:t>2.5 多个次品率同时不确定：组件级与系统级置信包络</w:t>
      </w:r>
    </w:p>
    <w:p>
      <w:pPr>
        <w:spacing w:line="300" w:lineRule="auto" w:after="80"/>
        <w:ind w:firstLine="420"/>
      </w:pPr>
      <w:r>
        <w:rPr>
          <w:rFonts w:ascii="Times New Roman" w:hAnsi="Times New Roman" w:eastAsia="Noto Serif CJK SC"/>
          <w:b w:val="0"/>
          <w:i w:val="0"/>
          <w:sz w:val="21"/>
        </w:rPr>
        <w:t>Q2每一种情形有3个不确定质量参数（p1、p2、p_f）；Q3实例有12个不确定质量参数（8个零件次品率、3个半成品工序次品率、1个成品工序次品率）。如果论文只分别给每个参数95%上界，却直接声称“整个12维向量以95%置信度落在盒内”，这个结论并不成立。</w:t>
      </w:r>
    </w:p>
    <w:p>
      <w:pPr>
        <w:spacing w:before="40" w:after="80"/>
        <w:jc w:val="center"/>
      </w:pPr>
      <w:r>
        <w:rPr>
          <w:rFonts w:ascii="Cambria Math" w:hAnsi="Cambria Math" w:eastAsia="Noto Serif CJK SC"/>
          <w:b w:val="0"/>
          <w:i w:val="0"/>
          <w:sz w:val="21"/>
        </w:rPr>
        <w:t>Let d=|J|, global α=1-γ.  Set α_j=α/d,  U_j^{sim}(γ)=U_j(1-α/d).</w:t>
      </w:r>
    </w:p>
    <w:p>
      <w:pPr>
        <w:spacing w:before="40" w:after="80"/>
        <w:jc w:val="center"/>
      </w:pPr>
      <w:r>
        <w:rPr>
          <w:rFonts w:ascii="Cambria Math" w:hAnsi="Cambria Math" w:eastAsia="Noto Serif CJK SC"/>
          <w:b w:val="0"/>
          <w:i w:val="0"/>
          <w:sz w:val="21"/>
        </w:rPr>
        <w:t>Then  P( p_j ≤ U_j^{sim}(γ) for all j ) ≥ 1-α = γ  (union bound).</w:t>
      </w:r>
    </w:p>
    <w:p>
      <w:pPr>
        <w:spacing w:line="300" w:lineRule="auto" w:after="80"/>
        <w:ind w:firstLine="420"/>
      </w:pPr>
      <w:r>
        <w:rPr>
          <w:rFonts w:ascii="Times New Roman" w:hAnsi="Times New Roman" w:eastAsia="Noto Serif CJK SC"/>
          <w:b w:val="0"/>
          <w:i w:val="0"/>
          <w:sz w:val="21"/>
        </w:rPr>
        <w:t>这一同时保证不需要假设各参数独立，因此尤其适合作为国赛论文的安全版本。代价是 Bonferroni / union-bound 会偏保守。建议正文报告“系统级同时90%/95%稳健策略”，附录再给未校正的逐参数区间作为保守性对照。</w:t>
      </w:r>
    </w:p>
    <w:p>
      <w:pPr>
        <w:pStyle w:val="Heading2"/>
        <w:keepNext/>
      </w:pPr>
      <w:r>
        <w:rPr>
          <w:rFonts w:ascii="Times New Roman" w:hAnsi="Times New Roman" w:eastAsia="Noto Sans CJK SC"/>
          <w:b/>
          <w:i w:val="0"/>
          <w:color w:val="2D4960"/>
          <w:sz w:val="25"/>
        </w:rPr>
        <w:t>2.6 数据质量控制与单元测试清单</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3267"/>
        <w:gridCol w:w="3267"/>
        <w:gridCol w:w="3267"/>
      </w:tblGrid>
      <w:tr>
        <w:trPr>
          <w:tblHeader w:val="true"/>
        </w:trPr>
        <w:tc>
          <w:tcPr>
            <w:tcW w:type="dxa" w:w="1814"/>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检查项</w:t>
            </w:r>
          </w:p>
        </w:tc>
        <w:tc>
          <w:tcPr>
            <w:tcW w:type="dxa" w:w="3969"/>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规则</w:t>
            </w:r>
          </w:p>
        </w:tc>
        <w:tc>
          <w:tcPr>
            <w:tcW w:type="dxa" w:w="3685"/>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不通过时如何处理</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概率范围</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0≤p_hat,U≤1；百分比统一除以100</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直接报错，禁止静默截断</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样本一致性</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0≤k≤n；n为整数</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回查原始记录</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设计一致性</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fixed不能使用随机停止记录；sequential必须保留sample_order</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改用匹配的区间方法</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工序口径</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process样本必须input_certified=true</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筛选合格输入样本或重采</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成本单位</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全部元/件，Q2/Q3参数保持原表</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与原题逐项复核</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信息继承</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K状态无损拆解后仍为K</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若变U则程序逻辑错误</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Q2吸收性</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对所有稳健参数检查ρ(Qπ)&lt;1</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不可吸收策略剔除</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Q3一致性</w:t>
            </w:r>
          </w:p>
        </w:tc>
        <w:tc>
          <w:tcPr>
            <w:tcW w:type="dxa" w:w="3969"/>
            <w:vAlign w:val="center"/>
            <w:tcMar>
              <w:top w:w="70" w:type="dxa"/>
              <w:start w:w="85" w:type="dxa"/>
              <w:bottom w:w="70" w:type="dxa"/>
              <w:end w:w="85" w:type="dxa"/>
            </w:tcMar>
          </w:tcPr>
          <w:p>
            <w:pPr>
              <w:jc w:val="left"/>
            </w:pPr>
            <w:r>
              <w:rPr>
                <w:rFonts w:ascii="Times New Roman" w:hAnsi="Times New Roman" w:eastAsia="Noto Serif CJK SC"/>
                <w:b w:val="0"/>
                <w:i w:val="0"/>
                <w:sz w:val="17"/>
              </w:rPr>
              <w:t>稳健参数下DP与65536静态枚举同值</w:t>
            </w:r>
          </w:p>
        </w:tc>
        <w:tc>
          <w:tcPr>
            <w:tcW w:type="dxa" w:w="3685"/>
            <w:vAlign w:val="center"/>
            <w:tcMar>
              <w:top w:w="70" w:type="dxa"/>
              <w:start w:w="85" w:type="dxa"/>
              <w:bottom w:w="70" w:type="dxa"/>
              <w:end w:w="85" w:type="dxa"/>
            </w:tcMar>
          </w:tcPr>
          <w:p>
            <w:pPr>
              <w:jc w:val="left"/>
            </w:pPr>
            <w:r>
              <w:rPr>
                <w:rFonts w:ascii="Times New Roman" w:hAnsi="Times New Roman" w:eastAsia="Noto Serif CJK SC"/>
                <w:b w:val="0"/>
                <w:i w:val="0"/>
                <w:sz w:val="17"/>
              </w:rPr>
              <w:t>不一致则定位递推/枚举实现差异</w:t>
            </w:r>
          </w:p>
        </w:tc>
      </w:tr>
    </w:tbl>
    <w:p>
      <w:pPr>
        <w:pStyle w:val="Heading1"/>
        <w:keepNext/>
      </w:pPr>
      <w:r>
        <w:rPr>
          <w:rFonts w:ascii="Times New Roman" w:hAnsi="Times New Roman" w:eastAsia="Noto Sans CJK SC"/>
          <w:b/>
          <w:i w:val="0"/>
          <w:color w:val="1F4E79"/>
          <w:sz w:val="30"/>
        </w:rPr>
        <w:t>3 每种模型的原理、适配性、改进点与局限</w:t>
      </w:r>
    </w:p>
    <w:p>
      <w:pPr>
        <w:pStyle w:val="Heading2"/>
        <w:keepNext/>
      </w:pPr>
      <w:r>
        <w:rPr>
          <w:rFonts w:ascii="Times New Roman" w:hAnsi="Times New Roman" w:eastAsia="Noto Sans CJK SC"/>
          <w:b/>
          <w:i w:val="0"/>
          <w:color w:val="2D4960"/>
          <w:sz w:val="25"/>
        </w:rPr>
        <w:t>3.1 模型A：样本次品率 Plug-in 基准（只做退化校验）</w:t>
      </w:r>
    </w:p>
    <w:p>
      <w:pPr>
        <w:spacing w:line="300" w:lineRule="auto" w:after="80"/>
        <w:ind w:firstLine="420"/>
      </w:pPr>
      <w:r>
        <w:rPr>
          <w:rFonts w:ascii="Times New Roman" w:hAnsi="Times New Roman" w:eastAsia="Noto Sans CJK SC"/>
          <w:b/>
          <w:i w:val="0"/>
          <w:sz w:val="21"/>
        </w:rPr>
        <w:t>核心原理：</w:t>
      </w:r>
      <w:r>
        <w:rPr>
          <w:rFonts w:ascii="Times New Roman" w:hAnsi="Times New Roman" w:eastAsia="Noto Serif CJK SC"/>
          <w:b w:val="0"/>
          <w:i w:val="0"/>
          <w:sz w:val="21"/>
        </w:rPr>
        <w:t>把每个抽样得到的点估计 p_hat=k/n 直接代入问题二、问题三已有的精确生产决策模型，得到“如果这些点估计恰好就是真实参数”时的名义最优策略。这个模型不承担第四问最终决策，而是作为最重要的退化基准：当抽样量趋于充分、置信区间宽度趋近0时，第四问的稳健结果应回到它。</w:t>
      </w:r>
    </w:p>
    <w:p>
      <w:pPr>
        <w:spacing w:line="300" w:lineRule="auto" w:after="80"/>
        <w:ind w:firstLine="420"/>
      </w:pPr>
      <w:r>
        <w:rPr>
          <w:rFonts w:ascii="Times New Roman" w:hAnsi="Times New Roman" w:eastAsia="Noto Sans CJK SC"/>
          <w:b/>
          <w:i w:val="0"/>
          <w:sz w:val="21"/>
        </w:rPr>
        <w:t>适配性：</w:t>
      </w:r>
      <w:r>
        <w:rPr>
          <w:rFonts w:ascii="Times New Roman" w:hAnsi="Times New Roman" w:eastAsia="Noto Serif CJK SC"/>
          <w:b w:val="0"/>
          <w:i w:val="0"/>
          <w:sz w:val="21"/>
        </w:rPr>
        <w:t>Q2/Q3已有成熟评价器，因此名义重算不需要任何新增假设；它还能复现前两问的策略与利润，快速判断Q4程序是否破坏了原有成本与回流口径。</w:t>
      </w:r>
    </w:p>
    <w:p>
      <w:pPr>
        <w:spacing w:line="300" w:lineRule="auto" w:after="80"/>
        <w:ind w:firstLine="420"/>
      </w:pPr>
      <w:r>
        <w:rPr>
          <w:rFonts w:ascii="Times New Roman" w:hAnsi="Times New Roman" w:eastAsia="Noto Sans CJK SC"/>
          <w:b/>
          <w:i w:val="0"/>
          <w:sz w:val="21"/>
        </w:rPr>
        <w:t>创新/改进点：</w:t>
      </w:r>
      <w:r>
        <w:rPr>
          <w:rFonts w:ascii="Times New Roman" w:hAnsi="Times New Roman" w:eastAsia="Noto Serif CJK SC"/>
          <w:b w:val="0"/>
          <w:i w:val="0"/>
          <w:sz w:val="21"/>
        </w:rPr>
        <w:t>不把它包装成创新，而是明确降级为“回归测试”。这比直接把 p_hat 当真值后宣称“已完成第四问”更严谨。</w:t>
      </w:r>
    </w:p>
    <w:p>
      <w:pPr>
        <w:spacing w:line="300" w:lineRule="auto" w:after="80"/>
        <w:ind w:firstLine="420"/>
      </w:pPr>
      <w:r>
        <w:rPr>
          <w:rFonts w:ascii="Times New Roman" w:hAnsi="Times New Roman" w:eastAsia="Noto Sans CJK SC"/>
          <w:b/>
          <w:i w:val="0"/>
          <w:sz w:val="21"/>
        </w:rPr>
        <w:t>局限性：</w:t>
      </w:r>
      <w:r>
        <w:rPr>
          <w:rFonts w:ascii="Times New Roman" w:hAnsi="Times New Roman" w:eastAsia="Noto Serif CJK SC"/>
          <w:b w:val="0"/>
          <w:i w:val="0"/>
          <w:sz w:val="21"/>
        </w:rPr>
        <w:t>完全忽略有限抽样的参数不确定性；n=10,k=1 与 n=1000,k=100 会给出相同策略输入，显然不能回答第四问。</w:t>
      </w:r>
    </w:p>
    <w:p>
      <w:pPr>
        <w:pStyle w:val="Heading2"/>
        <w:keepNext/>
      </w:pPr>
      <w:r>
        <w:rPr>
          <w:rFonts w:ascii="Times New Roman" w:hAnsi="Times New Roman" w:eastAsia="Noto Sans CJK SC"/>
          <w:b/>
          <w:i w:val="0"/>
          <w:color w:val="2D4960"/>
          <w:sz w:val="25"/>
        </w:rPr>
        <w:t>3.2 模型B：精确/顺序有效置信上界（统计主模型）</w:t>
      </w:r>
    </w:p>
    <w:p>
      <w:pPr>
        <w:spacing w:line="300" w:lineRule="auto" w:after="80"/>
        <w:ind w:firstLine="420"/>
      </w:pPr>
      <w:r>
        <w:rPr>
          <w:rFonts w:ascii="Times New Roman" w:hAnsi="Times New Roman" w:eastAsia="Noto Sans CJK SC"/>
          <w:b/>
          <w:i w:val="0"/>
          <w:sz w:val="21"/>
        </w:rPr>
        <w:t>核心原理：</w:t>
      </w:r>
      <w:r>
        <w:rPr>
          <w:rFonts w:ascii="Times New Roman" w:hAnsi="Times New Roman" w:eastAsia="Noto Serif CJK SC"/>
          <w:b w:val="0"/>
          <w:i w:val="0"/>
          <w:sz w:val="21"/>
        </w:rPr>
        <w:t>不尝试给未知次品率制造一个“精确真值”，而是把抽样证据转换为具有明确覆盖含义的上边界。固定样本使用精确二项上限；序贯样本则反演问题一的 e-process 得到任意停止时刻仍有效的上置信序列。企业最关心的是质量恶化风险，因此单侧上界比机械画双侧区间更直接：它告诉后续生产模型“在给定统计保证下，次品率最坏需要防到哪里”。</w:t>
      </w:r>
    </w:p>
    <w:p>
      <w:pPr>
        <w:spacing w:line="300" w:lineRule="auto" w:after="80"/>
        <w:ind w:firstLine="420"/>
      </w:pPr>
      <w:r>
        <w:rPr>
          <w:rFonts w:ascii="Times New Roman" w:hAnsi="Times New Roman" w:eastAsia="Noto Sans CJK SC"/>
          <w:b/>
          <w:i w:val="0"/>
          <w:sz w:val="21"/>
        </w:rPr>
        <w:t>适配性：</w:t>
      </w:r>
      <w:r>
        <w:rPr>
          <w:rFonts w:ascii="Times New Roman" w:hAnsi="Times New Roman" w:eastAsia="Noto Serif CJK SC"/>
          <w:b w:val="0"/>
          <w:i w:val="0"/>
          <w:sz w:val="21"/>
        </w:rPr>
        <w:t>抽样结果天然是Bernoulli数据；题目已经给出90%与95%信度语言；问题一若采用序贯方法，confidence sequence正好处理optional stopping。无需正态性检验，也无需额外 p1、σ、先验。</w:t>
      </w:r>
    </w:p>
    <w:p>
      <w:pPr>
        <w:spacing w:line="300" w:lineRule="auto" w:after="80"/>
        <w:ind w:firstLine="420"/>
      </w:pPr>
      <w:r>
        <w:rPr>
          <w:rFonts w:ascii="Times New Roman" w:hAnsi="Times New Roman" w:eastAsia="Noto Sans CJK SC"/>
          <w:b/>
          <w:i w:val="0"/>
          <w:sz w:val="21"/>
        </w:rPr>
        <w:t>创新/改进点：</w:t>
      </w:r>
      <w:r>
        <w:rPr>
          <w:rFonts w:ascii="Times New Roman" w:hAnsi="Times New Roman" w:eastAsia="Noto Serif CJK SC"/>
          <w:b w:val="0"/>
          <w:i w:val="0"/>
          <w:sz w:val="21"/>
        </w:rPr>
        <w:t>相较优秀论文中“正态3σ波动”或“用人为n=10000得到极窄Beta后验”，本模型把不确定性宽度完全交给真实n、k和真实停止规则决定。多参数时进一步用union bound构造系统级同时上界，避免把12个逐点95%误写成系统95%。</w:t>
      </w:r>
    </w:p>
    <w:p>
      <w:pPr>
        <w:spacing w:line="300" w:lineRule="auto" w:after="80"/>
        <w:ind w:firstLine="420"/>
      </w:pPr>
      <w:r>
        <w:rPr>
          <w:rFonts w:ascii="Times New Roman" w:hAnsi="Times New Roman" w:eastAsia="Noto Sans CJK SC"/>
          <w:b/>
          <w:i w:val="0"/>
          <w:sz w:val="21"/>
        </w:rPr>
        <w:t>局限性：</w:t>
      </w:r>
      <w:r>
        <w:rPr>
          <w:rFonts w:ascii="Times New Roman" w:hAnsi="Times New Roman" w:eastAsia="Noto Serif CJK SC"/>
          <w:b w:val="0"/>
          <w:i w:val="0"/>
          <w:sz w:val="21"/>
        </w:rPr>
        <w:t>Clopper-Pearson与同时Bonferroni上界偏保守；当p接近判定边界且样本少时，上界可能很宽，从而得到较保守的生产策略。这是信息不足本身的后果，而不是模型错误。</w:t>
      </w:r>
    </w:p>
    <w:p>
      <w:pPr>
        <w:pStyle w:val="Heading2"/>
        <w:keepNext/>
      </w:pPr>
      <w:r>
        <w:rPr>
          <w:rFonts w:ascii="Times New Roman" w:hAnsi="Times New Roman" w:eastAsia="Noto Sans CJK SC"/>
          <w:b/>
          <w:i w:val="0"/>
          <w:color w:val="2D4960"/>
          <w:sz w:val="25"/>
        </w:rPr>
        <w:t>3.3 模型C：置信边界驱动的最坏情形重优化（核心决策模型）</w:t>
      </w:r>
    </w:p>
    <w:p>
      <w:pPr>
        <w:spacing w:line="300" w:lineRule="auto" w:after="80"/>
        <w:ind w:firstLine="420"/>
      </w:pPr>
      <w:r>
        <w:rPr>
          <w:rFonts w:ascii="Times New Roman" w:hAnsi="Times New Roman" w:eastAsia="Noto Sans CJK SC"/>
          <w:b/>
          <w:i w:val="0"/>
          <w:sz w:val="21"/>
        </w:rPr>
        <w:t>核心原理：</w:t>
      </w:r>
      <w:r>
        <w:rPr>
          <w:rFonts w:ascii="Times New Roman" w:hAnsi="Times New Roman" w:eastAsia="Noto Serif CJK SC"/>
          <w:b w:val="0"/>
          <w:i w:val="0"/>
          <w:sz w:val="21"/>
        </w:rPr>
        <w:t>第四问不只是“给原策略算一个误差条”，而是要在每个统计上可能的质量参数下重新比较所有可行策略。本文把90%/95%同时置信上界组成不确定集合，对每个候选策略求该集合中的最坏利润，再在所有策略中选最坏利润最大的方案。由于本题的成本均非负、目标是最终成功交付一笔订单，在固定策略下提高任一缺陷概率只会弱化成功率并增加采购、检测、返工、拆解或退换的长期负担；因此最坏点可压缩为各参数的置信上界向量。程序仍会对这一单调性逐参数做数值核验，若扩展模型出现违反，则自动退回直接盒内最小化。</w:t>
      </w:r>
    </w:p>
    <w:p>
      <w:pPr>
        <w:spacing w:line="300" w:lineRule="auto" w:after="80"/>
        <w:ind w:firstLine="420"/>
      </w:pPr>
      <w:r>
        <w:rPr>
          <w:rFonts w:ascii="Times New Roman" w:hAnsi="Times New Roman" w:eastAsia="Noto Sans CJK SC"/>
          <w:b/>
          <w:i w:val="0"/>
          <w:sz w:val="21"/>
        </w:rPr>
        <w:t>适配性：</w:t>
      </w:r>
      <w:r>
        <w:rPr>
          <w:rFonts w:ascii="Times New Roman" w:hAnsi="Times New Roman" w:eastAsia="Noto Serif CJK SC"/>
          <w:b w:val="0"/>
          <w:i w:val="0"/>
          <w:sz w:val="21"/>
        </w:rPr>
        <w:t>Q2只有64种固定策略，Q3具体实例只有65536种固定节点策略，且两问已有精确期望评价器。这使“重新优化”可以直接做全局精确比较，没有必要用黑箱元启发式算法。</w:t>
      </w:r>
    </w:p>
    <w:p>
      <w:pPr>
        <w:spacing w:line="300" w:lineRule="auto" w:after="80"/>
        <w:ind w:firstLine="420"/>
      </w:pPr>
      <w:r>
        <w:rPr>
          <w:rFonts w:ascii="Times New Roman" w:hAnsi="Times New Roman" w:eastAsia="Noto Sans CJK SC"/>
          <w:b/>
          <w:i w:val="0"/>
          <w:sz w:val="21"/>
        </w:rPr>
        <w:t>创新/改进点：</w:t>
      </w:r>
      <w:r>
        <w:rPr>
          <w:rFonts w:ascii="Times New Roman" w:hAnsi="Times New Roman" w:eastAsia="Noto Serif CJK SC"/>
          <w:b w:val="0"/>
          <w:i w:val="0"/>
          <w:sz w:val="21"/>
        </w:rPr>
        <w:t>创新来自统计层与运筹层的接口：Q1给出置信上界，Q2/Q3负责闭环经济评价，二者通过统一p向量连接。与仅扰动原最优策略不同，本模型在每个风险水平都重新搜索策略，因此能发现“原策略不稳但另一个策略更抗样本误差”的结构切换。</w:t>
      </w:r>
    </w:p>
    <w:p>
      <w:pPr>
        <w:spacing w:line="300" w:lineRule="auto" w:after="80"/>
        <w:ind w:firstLine="420"/>
      </w:pPr>
      <w:r>
        <w:rPr>
          <w:rFonts w:ascii="Times New Roman" w:hAnsi="Times New Roman" w:eastAsia="Noto Sans CJK SC"/>
          <w:b/>
          <w:i w:val="0"/>
          <w:sz w:val="21"/>
        </w:rPr>
        <w:t>局限性：</w:t>
      </w:r>
      <w:r>
        <w:rPr>
          <w:rFonts w:ascii="Times New Roman" w:hAnsi="Times New Roman" w:eastAsia="Noto Serif CJK SC"/>
          <w:b w:val="0"/>
          <w:i w:val="0"/>
          <w:sz w:val="21"/>
        </w:rPr>
        <w:t>使用上界盒会偏向保守管理；单调性证明依赖“最终必须成功交付、成本非负、无质量越差反而额外获利”的题设经济机制。如果未来加入报废补贴、质量分级销售或非线性奖励，应重新检查最坏点位置。</w:t>
      </w:r>
    </w:p>
    <w:p>
      <w:pPr>
        <w:pStyle w:val="Heading2"/>
        <w:keepNext/>
      </w:pPr>
      <w:r>
        <w:rPr>
          <w:rFonts w:ascii="Times New Roman" w:hAnsi="Times New Roman" w:eastAsia="Noto Sans CJK SC"/>
          <w:b/>
          <w:i w:val="0"/>
          <w:color w:val="2D4960"/>
          <w:sz w:val="25"/>
        </w:rPr>
        <w:t>3.4 模型D：同抽样设计的 Parametric Bootstrap（模型检验，不做主优化）</w:t>
      </w:r>
    </w:p>
    <w:p>
      <w:pPr>
        <w:spacing w:line="300" w:lineRule="auto" w:after="80"/>
        <w:ind w:firstLine="420"/>
      </w:pPr>
      <w:r>
        <w:rPr>
          <w:rFonts w:ascii="Times New Roman" w:hAnsi="Times New Roman" w:eastAsia="Noto Sans CJK SC"/>
          <w:b/>
          <w:i w:val="0"/>
          <w:sz w:val="21"/>
        </w:rPr>
        <w:t>核心原理：</w:t>
      </w:r>
      <w:r>
        <w:rPr>
          <w:rFonts w:ascii="Times New Roman" w:hAnsi="Times New Roman" w:eastAsia="Noto Serif CJK SC"/>
          <w:b w:val="0"/>
          <w:i w:val="0"/>
          <w:sz w:val="21"/>
        </w:rPr>
        <w:t>把“抽样误差会不会换策略”直接变成重复实验。以当前 p_hat 作为生成参数，若原设计是固定n，则重复生成 K*~Binomial(n,p_hat)；若原设计是问题一的序贯抽样，则逐件生成Bernoulli流并用完全相同的停止规则决定n*。每次得到新的样本记录后重新计算置信边界并重新优化，统计每种策略成为最优的频率。</w:t>
      </w:r>
    </w:p>
    <w:p>
      <w:pPr>
        <w:spacing w:line="300" w:lineRule="auto" w:after="80"/>
        <w:ind w:firstLine="420"/>
      </w:pPr>
      <w:r>
        <w:rPr>
          <w:rFonts w:ascii="Times New Roman" w:hAnsi="Times New Roman" w:eastAsia="Noto Sans CJK SC"/>
          <w:b/>
          <w:i w:val="0"/>
          <w:sz w:val="21"/>
        </w:rPr>
        <w:t>适配性：</w:t>
      </w:r>
      <w:r>
        <w:rPr>
          <w:rFonts w:ascii="Times New Roman" w:hAnsi="Times New Roman" w:eastAsia="Noto Serif CJK SC"/>
          <w:b w:val="0"/>
          <w:i w:val="0"/>
          <w:sz w:val="21"/>
        </w:rPr>
        <w:t>它完整保留“先抽样、再估计、再决策”的数据生成链，比直接对p做±5%扰动更贴近企业实际。</w:t>
      </w:r>
    </w:p>
    <w:p>
      <w:pPr>
        <w:spacing w:line="300" w:lineRule="auto" w:after="80"/>
        <w:ind w:firstLine="420"/>
      </w:pPr>
      <w:r>
        <w:rPr>
          <w:rFonts w:ascii="Times New Roman" w:hAnsi="Times New Roman" w:eastAsia="Noto Sans CJK SC"/>
          <w:b/>
          <w:i w:val="0"/>
          <w:sz w:val="21"/>
        </w:rPr>
        <w:t>创新/改进点：</w:t>
      </w:r>
      <w:r>
        <w:rPr>
          <w:rFonts w:ascii="Times New Roman" w:hAnsi="Times New Roman" w:eastAsia="Noto Serif CJK SC"/>
          <w:b w:val="0"/>
          <w:i w:val="0"/>
          <w:sz w:val="21"/>
        </w:rPr>
        <w:t>Monte Carlo只承担验证职责，不把随机噪声塞进主优化器；同时bootstrap必须复现原来的fixed/sequential抽样机制，避免把随机停止数据假装成固定样本。</w:t>
      </w:r>
    </w:p>
    <w:p>
      <w:pPr>
        <w:spacing w:line="300" w:lineRule="auto" w:after="80"/>
        <w:ind w:firstLine="420"/>
      </w:pPr>
      <w:r>
        <w:rPr>
          <w:rFonts w:ascii="Times New Roman" w:hAnsi="Times New Roman" w:eastAsia="Noto Sans CJK SC"/>
          <w:b/>
          <w:i w:val="0"/>
          <w:sz w:val="21"/>
        </w:rPr>
        <w:t>局限性：</w:t>
      </w:r>
      <w:r>
        <w:rPr>
          <w:rFonts w:ascii="Times New Roman" w:hAnsi="Times New Roman" w:eastAsia="Noto Serif CJK SC"/>
          <w:b w:val="0"/>
          <w:i w:val="0"/>
          <w:sz w:val="21"/>
        </w:rPr>
        <w:t>稳定率是数值估计，需要报告Monte Carlo标准误；Q3每次都要重新优化，计算量较Q2大，因此采用“B逐级翻倍直至稳定”的收敛方案，而不是随手指定一个神奇的5000次。</w:t>
      </w:r>
    </w:p>
    <w:p>
      <w:pPr>
        <w:pStyle w:val="Heading2"/>
        <w:keepNext/>
      </w:pPr>
      <w:r>
        <w:rPr>
          <w:rFonts w:ascii="Times New Roman" w:hAnsi="Times New Roman" w:eastAsia="Noto Sans CJK SC"/>
          <w:b/>
          <w:i w:val="0"/>
          <w:color w:val="2D4960"/>
          <w:sz w:val="25"/>
        </w:rPr>
        <w:t>3.5 模型E：Beta-Binomial Bayes（条件扩展，不作为本题主线）</w:t>
      </w:r>
    </w:p>
    <w:p>
      <w:pPr>
        <w:spacing w:line="300" w:lineRule="auto" w:after="80"/>
        <w:ind w:firstLine="420"/>
      </w:pPr>
      <w:r>
        <w:rPr>
          <w:rFonts w:ascii="Times New Roman" w:hAnsi="Times New Roman" w:eastAsia="Noto Sans CJK SC"/>
          <w:b/>
          <w:i w:val="0"/>
          <w:sz w:val="21"/>
        </w:rPr>
        <w:t>核心原理：</w:t>
      </w:r>
      <w:r>
        <w:rPr>
          <w:rFonts w:ascii="Times New Roman" w:hAnsi="Times New Roman" w:eastAsia="Noto Serif CJK SC"/>
          <w:b w:val="0"/>
          <w:i w:val="0"/>
          <w:sz w:val="21"/>
        </w:rPr>
        <w:t>如果企业确有历史批次、供应商长期质量或已验证的先验样本，可把 p_j 的先验写成 Beta(a_j,b_j)，当前抽样 K_j|p_j~Binomial(n_j,p_j)，得到后验 Beta(a_j+k_j,b_j+n_j-k_j)，再最大化后验期望利润。</w:t>
      </w:r>
    </w:p>
    <w:p>
      <w:pPr>
        <w:spacing w:before="40" w:after="80"/>
        <w:jc w:val="center"/>
      </w:pPr>
      <w:r>
        <w:rPr>
          <w:rFonts w:ascii="Cambria Math" w:hAnsi="Cambria Math" w:eastAsia="Noto Serif CJK SC"/>
          <w:b w:val="0"/>
          <w:i w:val="0"/>
          <w:sz w:val="21"/>
        </w:rPr>
        <w:t>p_j | D_j ~ Beta(a_j+k_j, b_j+n_j-k_j)</w:t>
      </w:r>
    </w:p>
    <w:p>
      <w:pPr>
        <w:spacing w:before="40" w:after="80"/>
        <w:jc w:val="center"/>
      </w:pPr>
      <w:r>
        <w:rPr>
          <w:rFonts w:ascii="Cambria Math" w:hAnsi="Cambria Math" w:eastAsia="Noto Serif CJK SC"/>
          <w:b w:val="0"/>
          <w:i w:val="0"/>
          <w:sz w:val="21"/>
        </w:rPr>
        <w:t>π_B* = arg max_π E[ Π(π;p) | D ]</w:t>
      </w:r>
    </w:p>
    <w:p>
      <w:pPr>
        <w:spacing w:line="300" w:lineRule="auto" w:after="80"/>
        <w:ind w:firstLine="420"/>
      </w:pPr>
      <w:r>
        <w:rPr>
          <w:rFonts w:ascii="Times New Roman" w:hAnsi="Times New Roman" w:eastAsia="Noto Sans CJK SC"/>
          <w:b/>
          <w:i w:val="0"/>
          <w:sz w:val="21"/>
        </w:rPr>
        <w:t>适配性：</w:t>
      </w:r>
      <w:r>
        <w:rPr>
          <w:rFonts w:ascii="Times New Roman" w:hAnsi="Times New Roman" w:eastAsia="Noto Serif CJK SC"/>
          <w:b w:val="0"/>
          <w:i w:val="0"/>
          <w:sz w:val="21"/>
        </w:rPr>
        <w:t>Beta与Binomial共轭，计算方便；优秀论文A/C也采用类似思路，说明这一框架在本题语境中具有直观解释。</w:t>
      </w:r>
    </w:p>
    <w:p>
      <w:pPr>
        <w:spacing w:line="300" w:lineRule="auto" w:after="80"/>
        <w:ind w:firstLine="420"/>
      </w:pPr>
      <w:r>
        <w:rPr>
          <w:rFonts w:ascii="Times New Roman" w:hAnsi="Times New Roman" w:eastAsia="Noto Sans CJK SC"/>
          <w:b/>
          <w:i w:val="0"/>
          <w:sz w:val="21"/>
        </w:rPr>
        <w:t>创新/改进点：</w:t>
      </w:r>
      <w:r>
        <w:rPr>
          <w:rFonts w:ascii="Times New Roman" w:hAnsi="Times New Roman" w:eastAsia="Noto Serif CJK SC"/>
          <w:b w:val="0"/>
          <w:i w:val="0"/>
          <w:sz w:val="21"/>
        </w:rPr>
        <w:t>本文只有在先验可追溯时才启用，并严格保证“先验一次 + 当前似然一次”，不把本次样本同时写进先验和后验两遍。</w:t>
      </w:r>
    </w:p>
    <w:p>
      <w:pPr>
        <w:spacing w:line="300" w:lineRule="auto" w:after="80"/>
        <w:ind w:firstLine="420"/>
      </w:pPr>
      <w:r>
        <w:rPr>
          <w:rFonts w:ascii="Times New Roman" w:hAnsi="Times New Roman" w:eastAsia="Noto Sans CJK SC"/>
          <w:b/>
          <w:i w:val="0"/>
          <w:sz w:val="21"/>
        </w:rPr>
        <w:t>局限性：</w:t>
      </w:r>
      <w:r>
        <w:rPr>
          <w:rFonts w:ascii="Times New Roman" w:hAnsi="Times New Roman" w:eastAsia="Noto Serif CJK SC"/>
          <w:b w:val="0"/>
          <w:i w:val="0"/>
          <w:sz w:val="21"/>
        </w:rPr>
        <w:t>题目没有a_j、b_j，更没有历史批次原始数据；因此Beta(1,1)只能叫“无信息先验的敏感性对照”，不能作为客观主结果。</w:t>
      </w:r>
    </w:p>
    <w:p>
      <w:pPr>
        <w:pStyle w:val="Heading1"/>
        <w:keepNext/>
      </w:pPr>
      <w:r>
        <w:rPr>
          <w:rFonts w:ascii="Times New Roman" w:hAnsi="Times New Roman" w:eastAsia="Noto Sans CJK SC"/>
          <w:b/>
          <w:i w:val="0"/>
          <w:color w:val="1F4E79"/>
          <w:sz w:val="30"/>
        </w:rPr>
        <w:t>4 可视化流程：第四问模型应用步骤</w:t>
      </w:r>
    </w:p>
    <w:p>
      <w:pPr>
        <w:spacing w:line="300" w:lineRule="auto" w:after="80"/>
        <w:ind w:firstLine="420"/>
      </w:pPr>
      <w:r>
        <w:rPr>
          <w:rFonts w:ascii="Times New Roman" w:hAnsi="Times New Roman" w:eastAsia="Noto Serif CJK SC"/>
          <w:b w:val="0"/>
          <w:i w:val="0"/>
          <w:sz w:val="21"/>
        </w:rPr>
        <w:t>流程图中的决策节点刻意没有放“数据是否服从正态分布”。原因是本题原始质量数据就是0/1 Bernoulli变量，其精确抽样分布已知；做Shapiro-Wilk或3σ正态性判断既没有必要，也会把问题带偏。真正应该判断的是“抽样是否固定停止”“工序次品率样本口径是否有效”“利润对缺陷率的单调性是否通过核验”。</w:t>
      </w:r>
    </w:p>
    <w:p>
      <w:pPr>
        <w:jc w:val="center"/>
      </w:pPr>
      <w:r>
        <w:drawing>
          <wp:inline xmlns:a="http://schemas.openxmlformats.org/drawingml/2006/main" xmlns:pic="http://schemas.openxmlformats.org/drawingml/2006/picture">
            <wp:extent cx="4680000" cy="8403406"/>
            <wp:docPr id="1" name="Picture 1"/>
            <wp:cNvGraphicFramePr>
              <a:graphicFrameLocks noChangeAspect="1"/>
            </wp:cNvGraphicFramePr>
            <a:graphic>
              <a:graphicData uri="http://schemas.openxmlformats.org/drawingml/2006/picture">
                <pic:pic>
                  <pic:nvPicPr>
                    <pic:cNvPr id="0" name="q4_model_flow.png"/>
                    <pic:cNvPicPr/>
                  </pic:nvPicPr>
                  <pic:blipFill>
                    <a:blip r:embed="rId11"/>
                    <a:stretch>
                      <a:fillRect/>
                    </a:stretch>
                  </pic:blipFill>
                  <pic:spPr>
                    <a:xfrm>
                      <a:off x="0" y="0"/>
                      <a:ext cx="4680000" cy="8403406"/>
                    </a:xfrm>
                    <a:prstGeom prst="rect"/>
                  </pic:spPr>
                </pic:pic>
              </a:graphicData>
            </a:graphic>
          </wp:inline>
        </w:drawing>
      </w:r>
    </w:p>
    <w:p>
      <w:pPr>
        <w:jc w:val="center"/>
      </w:pPr>
      <w:r>
        <w:rPr>
          <w:rFonts w:ascii="Times New Roman" w:hAnsi="Times New Roman" w:eastAsia="Noto Sans CJK SC"/>
          <w:b/>
          <w:i w:val="0"/>
          <w:sz w:val="18"/>
        </w:rPr>
        <w:t>图 Q4-1  问题四模型应用总流程（含关键决策节点）</w:t>
      </w:r>
    </w:p>
    <w:p>
      <w:pPr>
        <w:pStyle w:val="Heading1"/>
        <w:keepNext/>
      </w:pPr>
      <w:r>
        <w:rPr>
          <w:rFonts w:ascii="Times New Roman" w:hAnsi="Times New Roman" w:eastAsia="Noto Sans CJK SC"/>
          <w:b/>
          <w:i w:val="0"/>
          <w:color w:val="1F4E79"/>
          <w:sz w:val="30"/>
        </w:rPr>
        <w:t>5 论文撰写素材：问题重述、问题分析、模型假设、符号说明</w:t>
      </w:r>
    </w:p>
    <w:p>
      <w:pPr>
        <w:pStyle w:val="Heading2"/>
        <w:keepNext/>
      </w:pPr>
      <w:r>
        <w:rPr>
          <w:rFonts w:ascii="Times New Roman" w:hAnsi="Times New Roman" w:eastAsia="Noto Sans CJK SC"/>
          <w:b/>
          <w:i w:val="0"/>
          <w:color w:val="2D4960"/>
          <w:sz w:val="25"/>
        </w:rPr>
        <w:t>5.1 【问题重述】建议成稿</w:t>
      </w:r>
    </w:p>
    <w:p>
      <w:pPr>
        <w:spacing w:line="300" w:lineRule="auto" w:after="80"/>
        <w:ind w:firstLine="420"/>
      </w:pPr>
      <w:r>
        <w:rPr>
          <w:rFonts w:ascii="Times New Roman" w:hAnsi="Times New Roman" w:eastAsia="Noto Serif CJK SC"/>
          <w:b w:val="0"/>
          <w:i w:val="0"/>
          <w:sz w:val="21"/>
        </w:rPr>
        <w:t>电子制造企业的质量决策通常建立在抽样检验而非完全信息之上。对供应商来料、半成品装配工序及最终成品而言，企业能够观测的只是有限样本中的次品数量，而真正决定检测、拆解与售后成本的总体次品率并不可直接观测。若仍将样本次品率视为确定常数，容易在样本较少或参数接近决策临界值时得到过度确定的生产方案。因此，问题四的核心不再是重新构造一套生产成本模型，而是研究“抽样统计误差如何沿生产网络传播，并最终改变最优决策”。</w:t>
      </w:r>
    </w:p>
    <w:p>
      <w:pPr>
        <w:spacing w:line="300" w:lineRule="auto" w:after="80"/>
        <w:ind w:firstLine="420"/>
      </w:pPr>
      <w:r>
        <w:rPr>
          <w:rFonts w:ascii="Times New Roman" w:hAnsi="Times New Roman" w:eastAsia="Noto Serif CJK SC"/>
          <w:b w:val="0"/>
          <w:i w:val="0"/>
          <w:sz w:val="21"/>
        </w:rPr>
        <w:t>在前两问已经建立的两零件闭环生产系统和多层BOM生产网络基础上，本问需要把每个零配件、半成品工序和成品工序的次品率表示为由抽样证据约束的未知参数，并在90%和95%的统计保证下重新评价全部候选检测/拆解策略。具体可拆分为三个子问题：其一，针对固定样本或序贯抽样记录，构造与抽样机制一致的质量参数置信边界，并确保半成品/成品抽样严格对应“合格输入条件下的工序次品率”；其二，将多维质量参数的不确定性嵌入问题二、问题三已有的长期期望成本模型，重新搜索名义与稳健最优策略；其三，通过重复抽样实验、最优—次优利润间隔和策略切换概率，判断现有样本信息是否足以支持稳定生产决策。</w:t>
      </w:r>
    </w:p>
    <w:p>
      <w:pPr>
        <w:spacing w:line="300" w:lineRule="auto" w:after="80"/>
        <w:ind w:firstLine="420"/>
      </w:pPr>
      <w:r>
        <w:rPr>
          <w:rFonts w:ascii="Times New Roman" w:hAnsi="Times New Roman" w:eastAsia="Noto Serif CJK SC"/>
          <w:b w:val="0"/>
          <w:i w:val="0"/>
          <w:sz w:val="21"/>
        </w:rPr>
        <w:t>近年的方法研究也强调这两层耦合。Howard等（2021）指出，confidence sequence可在数据依赖的停止时刻保持时间统一覆盖，这为问题一式序贯抽样后的参数区间提供了统计基础；Assid等（2023）在制造—再制造系统中将质量检验与回收、生产控制联合评价，说明质量信息不能脱离闭环生产经济性单独优化。结合上述思想，本问采用“抽样置信边界—闭环精确评价—稳健重优化—策略稳定性检验”的分层框架。</w:t>
      </w:r>
    </w:p>
    <w:p>
      <w:pPr>
        <w:pStyle w:val="Heading2"/>
        <w:keepNext/>
      </w:pPr>
      <w:r>
        <w:rPr>
          <w:rFonts w:ascii="Times New Roman" w:hAnsi="Times New Roman" w:eastAsia="Noto Sans CJK SC"/>
          <w:b/>
          <w:i w:val="0"/>
          <w:color w:val="2D4960"/>
          <w:sz w:val="25"/>
        </w:rPr>
        <w:t>5.2 【问题分析】建议成稿</w:t>
      </w:r>
    </w:p>
    <w:p>
      <w:pPr>
        <w:spacing w:line="300" w:lineRule="auto" w:after="80"/>
        <w:ind w:firstLine="420"/>
      </w:pPr>
      <w:r>
        <w:rPr>
          <w:rFonts w:ascii="Times New Roman" w:hAnsi="Times New Roman" w:eastAsia="Noto Serif CJK SC"/>
          <w:b w:val="0"/>
          <w:i w:val="0"/>
          <w:sz w:val="21"/>
        </w:rPr>
        <w:t>总体思路：问题四是在问题二、问题三确定参数决策模型之外增加一层“统计不确定性”，而不是把生产机理全部推倒重建。首先由原始抽样记录恢复每个质量参数的统计证据，并根据抽样是否固定停止选择精确二项置信上界或顺序有效置信序列；随后将这些上界作为质量风险包络传入问题二/三原有的精确长期成本评价器，对所有候选策略重新优化；最后通过与原抽样设计相同的参数自助法重复“抽样—估计—决策”链条，量化策略稳定程度。这样可以把参数不确定性与产品逐件随机性清晰分离。</w:t>
      </w:r>
    </w:p>
    <w:p>
      <w:pPr>
        <w:spacing w:line="300" w:lineRule="auto" w:after="80"/>
        <w:ind w:firstLine="420"/>
      </w:pPr>
      <w:r>
        <w:rPr>
          <w:rFonts w:ascii="Times New Roman" w:hAnsi="Times New Roman" w:eastAsia="Noto Serif CJK SC"/>
          <w:b w:val="0"/>
          <w:i w:val="0"/>
          <w:sz w:val="21"/>
        </w:rPr>
        <w:t>问题4分析。关键矛盾在于抽样次数越少，检测费用越低，但质量参数的不确定区间越宽，生产策略越可能因估计误差发生切换；反之，增加抽样可以缩小质量风险边界，却也增加前端检测成本。由于题目没有给出各参数的实际 n、k 和先验分布，不能用人为Beta参数或统一±5%扰动代替统计证据。第一步建立quality_id—n—k—sampling_design数据表，并对工序次品率额外检查“所有输入均已知合格”的条件口径；第二步在90%和95%风险水平下得到多参数同时置信上界；第三步分别调用问题二的64策略Bellman–Markov评价器和问题三的BOM分层递推/65536枚举评价器，在置信集合上做最坏情形重优化；第四步比较名义、90%稳健与95%稳健策略，计算利润安全裕度与最优—次优间隔；第五步按照原抽样机制做parametric bootstrap，估计各策略成为最优的概率，并据此判断是否需要补充抽样。</w:t>
      </w:r>
    </w:p>
    <w:tbl>
      <w:tblPr>
        <w:tblW w:type="auto" w:w="0"/>
        <w:jc w:val="center"/>
        <w:tblLook w:firstColumn="1" w:firstRow="1" w:lastColumn="0" w:lastRow="0" w:noHBand="0" w:noVBand="1" w:val="04A0"/>
        <w:tblBorders>
          <w:top w:val="single" w:sz="8" w:space="0" w:color="7EA6C7"/>
          <w:left w:val="single" w:sz="8" w:space="0" w:color="7EA6C7"/>
          <w:bottom w:val="single" w:sz="8" w:space="0" w:color="7EA6C7"/>
          <w:right w:val="single" w:sz="8" w:space="0" w:color="7EA6C7"/>
        </w:tblBorders>
      </w:tblPr>
      <w:tblGrid>
        <w:gridCol w:w="9802"/>
      </w:tblGrid>
      <w:tr>
        <w:trPr>
          <w:tblHeader w:val="true"/>
        </w:trPr>
        <w:tc>
          <w:tcPr>
            <w:tcW w:type="dxa" w:w="9802"/>
            <w:shd w:fill="EEF5FB"/>
            <w:tcMar>
              <w:top w:w="110" w:type="dxa"/>
              <w:start w:w="150" w:type="dxa"/>
              <w:bottom w:w="110" w:type="dxa"/>
              <w:end w:w="150" w:type="dxa"/>
            </w:tcMar>
          </w:tcPr>
          <w:p>
            <w:r>
              <w:rPr>
                <w:rFonts w:ascii="Times New Roman" w:hAnsi="Times New Roman" w:eastAsia="Noto Sans CJK SC"/>
                <w:b/>
                <w:i w:val="0"/>
                <w:color w:val="215074"/>
                <w:sz w:val="20"/>
              </w:rPr>
              <w:t>问题四分析流程图文字版：</w:t>
            </w:r>
            <w:r>
              <w:rPr>
                <w:rFonts w:ascii="Times New Roman" w:hAnsi="Times New Roman" w:eastAsia="Noto Serif CJK SC"/>
                <w:b w:val="0"/>
                <w:i w:val="0"/>
                <w:sz w:val="20"/>
              </w:rPr>
              <w:t>抽样原始记录 → 判断 fixed / sequential → 检查工序样本输入是否全部合格 → 计算90%/95%单侧上界 → 构造系统级同时置信包络 → 调用Q2/Q3精确评价器 → 单调性成立？是：上界向量即最坏点；否：盒内数值最小化 → 重新优化全部策略 → 名义/稳健策略对比 → 同设计bootstrap → 稳定率/决策间隔 → 是否需要更多抽样。</w:t>
            </w:r>
          </w:p>
        </w:tc>
      </w:tr>
    </w:tbl>
    <w:p>
      <w:pPr>
        <w:spacing w:after="0"/>
      </w:pPr>
    </w:p>
    <w:p>
      <w:pPr>
        <w:pStyle w:val="Heading2"/>
        <w:keepNext/>
      </w:pPr>
      <w:r>
        <w:rPr>
          <w:rFonts w:ascii="Times New Roman" w:hAnsi="Times New Roman" w:eastAsia="Noto Sans CJK SC"/>
          <w:b/>
          <w:i w:val="0"/>
          <w:color w:val="2D4960"/>
          <w:sz w:val="25"/>
        </w:rPr>
        <w:t>5.3 【模型假设】建议成稿</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2450"/>
        <w:gridCol w:w="2450"/>
        <w:gridCol w:w="2450"/>
        <w:gridCol w:w="2450"/>
      </w:tblGrid>
      <w:tr>
        <w:trPr>
          <w:tblHeader w:val="true"/>
        </w:trPr>
        <w:tc>
          <w:tcPr>
            <w:tcW w:type="dxa" w:w="794"/>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编号</w:t>
            </w:r>
          </w:p>
        </w:tc>
        <w:tc>
          <w:tcPr>
            <w:tcW w:type="dxa" w:w="3175"/>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假设内容</w:t>
            </w:r>
          </w:p>
        </w:tc>
        <w:tc>
          <w:tcPr>
            <w:tcW w:type="dxa" w:w="3288"/>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合理性依据</w:t>
            </w:r>
          </w:p>
        </w:tc>
        <w:tc>
          <w:tcPr>
            <w:tcW w:type="dxa" w:w="255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对模型的影响</w:t>
            </w:r>
          </w:p>
        </w:tc>
      </w:tr>
      <w:tr>
        <w:tc>
          <w:tcPr>
            <w:tcW w:type="dxa" w:w="794"/>
            <w:vAlign w:val="center"/>
            <w:tcMar>
              <w:top w:w="70" w:type="dxa"/>
              <w:start w:w="85" w:type="dxa"/>
              <w:bottom w:w="70" w:type="dxa"/>
              <w:end w:w="85" w:type="dxa"/>
            </w:tcMar>
          </w:tcPr>
          <w:p>
            <w:pPr>
              <w:jc w:val="center"/>
            </w:pPr>
            <w:r>
              <w:rPr>
                <w:rFonts w:ascii="Times New Roman" w:hAnsi="Times New Roman" w:eastAsia="Noto Serif CJK SC"/>
                <w:b w:val="0"/>
                <w:i w:val="0"/>
                <w:sz w:val="16"/>
              </w:rPr>
              <w:t>假设1</w:t>
            </w:r>
          </w:p>
        </w:tc>
        <w:tc>
          <w:tcPr>
            <w:tcW w:type="dxa" w:w="3175"/>
            <w:vAlign w:val="center"/>
            <w:tcMar>
              <w:top w:w="70" w:type="dxa"/>
              <w:start w:w="85" w:type="dxa"/>
              <w:bottom w:w="70" w:type="dxa"/>
              <w:end w:w="85" w:type="dxa"/>
            </w:tcMar>
          </w:tcPr>
          <w:p>
            <w:pPr>
              <w:jc w:val="left"/>
            </w:pPr>
            <w:r>
              <w:rPr>
                <w:rFonts w:ascii="Times New Roman" w:hAnsi="Times New Roman" w:eastAsia="Noto Serif CJK SC"/>
                <w:b w:val="0"/>
                <w:i w:val="0"/>
                <w:sz w:val="16"/>
              </w:rPr>
              <w:t>同一quality_id对应的抽样来自同一质量稳定批次，抽检对象具有代表性；单件质量可记为Bernoulli变量。</w:t>
            </w:r>
          </w:p>
        </w:tc>
        <w:tc>
          <w:tcPr>
            <w:tcW w:type="dxa" w:w="3288"/>
            <w:vAlign w:val="center"/>
            <w:tcMar>
              <w:top w:w="70" w:type="dxa"/>
              <w:start w:w="85" w:type="dxa"/>
              <w:bottom w:w="70" w:type="dxa"/>
              <w:end w:w="85" w:type="dxa"/>
            </w:tcMar>
          </w:tcPr>
          <w:p>
            <w:pPr>
              <w:jc w:val="left"/>
            </w:pPr>
            <w:r>
              <w:rPr>
                <w:rFonts w:ascii="Times New Roman" w:hAnsi="Times New Roman" w:eastAsia="Noto Serif CJK SC"/>
                <w:b w:val="0"/>
                <w:i w:val="0"/>
                <w:sz w:val="16"/>
              </w:rPr>
              <w:t>这是使用二项抽样模型的必要条件；题目未给批内时间漂移或空间聚集信息。</w:t>
            </w:r>
          </w:p>
        </w:tc>
        <w:tc>
          <w:tcPr>
            <w:tcW w:type="dxa" w:w="2551"/>
            <w:vAlign w:val="center"/>
            <w:tcMar>
              <w:top w:w="70" w:type="dxa"/>
              <w:start w:w="85" w:type="dxa"/>
              <w:bottom w:w="70" w:type="dxa"/>
              <w:end w:w="85" w:type="dxa"/>
            </w:tcMar>
          </w:tcPr>
          <w:p>
            <w:pPr>
              <w:jc w:val="left"/>
            </w:pPr>
            <w:r>
              <w:rPr>
                <w:rFonts w:ascii="Times New Roman" w:hAnsi="Times New Roman" w:eastAsia="Noto Serif CJK SC"/>
                <w:b w:val="0"/>
                <w:i w:val="0"/>
                <w:sz w:val="16"/>
              </w:rPr>
              <w:t>使 n、k 能直接形成次品率的统计证据；若实际批次漂移，应分批建模。</w:t>
            </w:r>
          </w:p>
        </w:tc>
      </w:tr>
      <w:tr>
        <w:tc>
          <w:tcPr>
            <w:tcW w:type="dxa" w:w="794"/>
            <w:vAlign w:val="center"/>
            <w:tcMar>
              <w:top w:w="70" w:type="dxa"/>
              <w:start w:w="85" w:type="dxa"/>
              <w:bottom w:w="70" w:type="dxa"/>
              <w:end w:w="85" w:type="dxa"/>
            </w:tcMar>
          </w:tcPr>
          <w:p>
            <w:pPr>
              <w:jc w:val="center"/>
            </w:pPr>
            <w:r>
              <w:rPr>
                <w:rFonts w:ascii="Times New Roman" w:hAnsi="Times New Roman" w:eastAsia="Noto Serif CJK SC"/>
                <w:b w:val="0"/>
                <w:i w:val="0"/>
                <w:sz w:val="16"/>
              </w:rPr>
              <w:t>假设2</w:t>
            </w:r>
          </w:p>
        </w:tc>
        <w:tc>
          <w:tcPr>
            <w:tcW w:type="dxa" w:w="3175"/>
            <w:vAlign w:val="center"/>
            <w:tcMar>
              <w:top w:w="70" w:type="dxa"/>
              <w:start w:w="85" w:type="dxa"/>
              <w:bottom w:w="70" w:type="dxa"/>
              <w:end w:w="85" w:type="dxa"/>
            </w:tcMar>
          </w:tcPr>
          <w:p>
            <w:pPr>
              <w:jc w:val="left"/>
            </w:pPr>
            <w:r>
              <w:rPr>
                <w:rFonts w:ascii="Times New Roman" w:hAnsi="Times New Roman" w:eastAsia="Noto Serif CJK SC"/>
                <w:b w:val="0"/>
                <w:i w:val="0"/>
                <w:sz w:val="16"/>
              </w:rPr>
              <w:t>检测设备能正确判别合格/次品，不考虑误检与漏检。</w:t>
            </w:r>
          </w:p>
        </w:tc>
        <w:tc>
          <w:tcPr>
            <w:tcW w:type="dxa" w:w="3288"/>
            <w:vAlign w:val="center"/>
            <w:tcMar>
              <w:top w:w="70" w:type="dxa"/>
              <w:start w:w="85" w:type="dxa"/>
              <w:bottom w:w="70" w:type="dxa"/>
              <w:end w:w="85" w:type="dxa"/>
            </w:tcMar>
          </w:tcPr>
          <w:p>
            <w:pPr>
              <w:jc w:val="left"/>
            </w:pPr>
            <w:r>
              <w:rPr>
                <w:rFonts w:ascii="Times New Roman" w:hAnsi="Times New Roman" w:eastAsia="Noto Serif CJK SC"/>
                <w:b w:val="0"/>
                <w:i w:val="0"/>
                <w:sz w:val="16"/>
              </w:rPr>
              <w:t>题目只给检测成本，未提供灵敏度、特异度等测量误差参数，擅自引入会制造不可识别参数。</w:t>
            </w:r>
          </w:p>
        </w:tc>
        <w:tc>
          <w:tcPr>
            <w:tcW w:type="dxa" w:w="2551"/>
            <w:vAlign w:val="center"/>
            <w:tcMar>
              <w:top w:w="70" w:type="dxa"/>
              <w:start w:w="85" w:type="dxa"/>
              <w:bottom w:w="70" w:type="dxa"/>
              <w:end w:w="85" w:type="dxa"/>
            </w:tcMar>
          </w:tcPr>
          <w:p>
            <w:pPr>
              <w:jc w:val="left"/>
            </w:pPr>
            <w:r>
              <w:rPr>
                <w:rFonts w:ascii="Times New Roman" w:hAnsi="Times New Roman" w:eastAsia="Noto Serif CJK SC"/>
                <w:b w:val="0"/>
                <w:i w:val="0"/>
                <w:sz w:val="16"/>
              </w:rPr>
              <w:t>把检测结果视为真实0/1观测；若有检具误差数据，可扩展成带测量误差的潜变量模型。</w:t>
            </w:r>
          </w:p>
        </w:tc>
      </w:tr>
      <w:tr>
        <w:tc>
          <w:tcPr>
            <w:tcW w:type="dxa" w:w="794"/>
            <w:vAlign w:val="center"/>
            <w:tcMar>
              <w:top w:w="70" w:type="dxa"/>
              <w:start w:w="85" w:type="dxa"/>
              <w:bottom w:w="70" w:type="dxa"/>
              <w:end w:w="85" w:type="dxa"/>
            </w:tcMar>
          </w:tcPr>
          <w:p>
            <w:pPr>
              <w:jc w:val="center"/>
            </w:pPr>
            <w:r>
              <w:rPr>
                <w:rFonts w:ascii="Times New Roman" w:hAnsi="Times New Roman" w:eastAsia="Noto Serif CJK SC"/>
                <w:b w:val="0"/>
                <w:i w:val="0"/>
                <w:sz w:val="16"/>
              </w:rPr>
              <w:t>假设3</w:t>
            </w:r>
          </w:p>
        </w:tc>
        <w:tc>
          <w:tcPr>
            <w:tcW w:type="dxa" w:w="3175"/>
            <w:vAlign w:val="center"/>
            <w:tcMar>
              <w:top w:w="70" w:type="dxa"/>
              <w:start w:w="85" w:type="dxa"/>
              <w:bottom w:w="70" w:type="dxa"/>
              <w:end w:w="85" w:type="dxa"/>
            </w:tcMar>
          </w:tcPr>
          <w:p>
            <w:pPr>
              <w:jc w:val="left"/>
            </w:pPr>
            <w:r>
              <w:rPr>
                <w:rFonts w:ascii="Times New Roman" w:hAnsi="Times New Roman" w:eastAsia="Noto Serif CJK SC"/>
                <w:b w:val="0"/>
                <w:i w:val="0"/>
                <w:sz w:val="16"/>
              </w:rPr>
              <w:t>半成品/成品工序次品率的抽样只使用“所有直接输入均已确认合格”的装配记录。</w:t>
            </w:r>
          </w:p>
        </w:tc>
        <w:tc>
          <w:tcPr>
            <w:tcW w:type="dxa" w:w="3288"/>
            <w:vAlign w:val="center"/>
            <w:tcMar>
              <w:top w:w="70" w:type="dxa"/>
              <w:start w:w="85" w:type="dxa"/>
              <w:bottom w:w="70" w:type="dxa"/>
              <w:end w:w="85" w:type="dxa"/>
            </w:tcMar>
          </w:tcPr>
          <w:p>
            <w:pPr>
              <w:jc w:val="left"/>
            </w:pPr>
            <w:r>
              <w:rPr>
                <w:rFonts w:ascii="Times New Roman" w:hAnsi="Times New Roman" w:eastAsia="Noto Serif CJK SC"/>
                <w:b w:val="0"/>
                <w:i w:val="0"/>
                <w:sz w:val="16"/>
              </w:rPr>
              <w:t>题目附录明确给出的是条件工序次品率；普通产线总次品率会混入输入缺陷。</w:t>
            </w:r>
          </w:p>
        </w:tc>
        <w:tc>
          <w:tcPr>
            <w:tcW w:type="dxa" w:w="2551"/>
            <w:vAlign w:val="center"/>
            <w:tcMar>
              <w:top w:w="70" w:type="dxa"/>
              <w:start w:w="85" w:type="dxa"/>
              <w:bottom w:w="70" w:type="dxa"/>
              <w:end w:w="85" w:type="dxa"/>
            </w:tcMar>
          </w:tcPr>
          <w:p>
            <w:pPr>
              <w:jc w:val="left"/>
            </w:pPr>
            <w:r>
              <w:rPr>
                <w:rFonts w:ascii="Times New Roman" w:hAnsi="Times New Roman" w:eastAsia="Noto Serif CJK SC"/>
                <w:b w:val="0"/>
                <w:i w:val="0"/>
                <w:sz w:val="16"/>
              </w:rPr>
              <w:t>保证统计层估计对象与Q2/Q3中p_process的定义完全一致。</w:t>
            </w:r>
          </w:p>
        </w:tc>
      </w:tr>
      <w:tr>
        <w:tc>
          <w:tcPr>
            <w:tcW w:type="dxa" w:w="794"/>
            <w:vAlign w:val="center"/>
            <w:tcMar>
              <w:top w:w="70" w:type="dxa"/>
              <w:start w:w="85" w:type="dxa"/>
              <w:bottom w:w="70" w:type="dxa"/>
              <w:end w:w="85" w:type="dxa"/>
            </w:tcMar>
          </w:tcPr>
          <w:p>
            <w:pPr>
              <w:jc w:val="center"/>
            </w:pPr>
            <w:r>
              <w:rPr>
                <w:rFonts w:ascii="Times New Roman" w:hAnsi="Times New Roman" w:eastAsia="Noto Serif CJK SC"/>
                <w:b w:val="0"/>
                <w:i w:val="0"/>
                <w:sz w:val="16"/>
              </w:rPr>
              <w:t>假设4</w:t>
            </w:r>
          </w:p>
        </w:tc>
        <w:tc>
          <w:tcPr>
            <w:tcW w:type="dxa" w:w="3175"/>
            <w:vAlign w:val="center"/>
            <w:tcMar>
              <w:top w:w="70" w:type="dxa"/>
              <w:start w:w="85" w:type="dxa"/>
              <w:bottom w:w="70" w:type="dxa"/>
              <w:end w:w="85" w:type="dxa"/>
            </w:tcMar>
          </w:tcPr>
          <w:p>
            <w:pPr>
              <w:jc w:val="left"/>
            </w:pPr>
            <w:r>
              <w:rPr>
                <w:rFonts w:ascii="Times New Roman" w:hAnsi="Times New Roman" w:eastAsia="Noto Serif CJK SC"/>
                <w:b w:val="0"/>
                <w:i w:val="0"/>
                <w:sz w:val="16"/>
              </w:rPr>
              <w:t>问题四考察期间各项采购、检测、装配、拆解、售价及调换损失保持问题二/三给定值，只有次品率存在抽样不确定性。</w:t>
            </w:r>
          </w:p>
        </w:tc>
        <w:tc>
          <w:tcPr>
            <w:tcW w:type="dxa" w:w="3288"/>
            <w:vAlign w:val="center"/>
            <w:tcMar>
              <w:top w:w="70" w:type="dxa"/>
              <w:start w:w="85" w:type="dxa"/>
              <w:bottom w:w="70" w:type="dxa"/>
              <w:end w:w="85" w:type="dxa"/>
            </w:tcMar>
          </w:tcPr>
          <w:p>
            <w:pPr>
              <w:jc w:val="left"/>
            </w:pPr>
            <w:r>
              <w:rPr>
                <w:rFonts w:ascii="Times New Roman" w:hAnsi="Times New Roman" w:eastAsia="Noto Serif CJK SC"/>
                <w:b w:val="0"/>
                <w:i w:val="0"/>
                <w:sz w:val="16"/>
              </w:rPr>
              <w:t>问题四只修改次品率来源，题目没有说明成本同时随机变化。</w:t>
            </w:r>
          </w:p>
        </w:tc>
        <w:tc>
          <w:tcPr>
            <w:tcW w:type="dxa" w:w="2551"/>
            <w:vAlign w:val="center"/>
            <w:tcMar>
              <w:top w:w="70" w:type="dxa"/>
              <w:start w:w="85" w:type="dxa"/>
              <w:bottom w:w="70" w:type="dxa"/>
              <w:end w:w="85" w:type="dxa"/>
            </w:tcMar>
          </w:tcPr>
          <w:p>
            <w:pPr>
              <w:jc w:val="left"/>
            </w:pPr>
            <w:r>
              <w:rPr>
                <w:rFonts w:ascii="Times New Roman" w:hAnsi="Times New Roman" w:eastAsia="Noto Serif CJK SC"/>
                <w:b w:val="0"/>
                <w:i w:val="0"/>
                <w:sz w:val="16"/>
              </w:rPr>
              <w:t>隔离“参数估计误差”的影响，使Q4能够直接复用Q2/Q3评价器。</w:t>
            </w:r>
          </w:p>
        </w:tc>
      </w:tr>
      <w:tr>
        <w:tc>
          <w:tcPr>
            <w:tcW w:type="dxa" w:w="794"/>
            <w:vAlign w:val="center"/>
            <w:tcMar>
              <w:top w:w="70" w:type="dxa"/>
              <w:start w:w="85" w:type="dxa"/>
              <w:bottom w:w="70" w:type="dxa"/>
              <w:end w:w="85" w:type="dxa"/>
            </w:tcMar>
          </w:tcPr>
          <w:p>
            <w:pPr>
              <w:jc w:val="center"/>
            </w:pPr>
            <w:r>
              <w:rPr>
                <w:rFonts w:ascii="Times New Roman" w:hAnsi="Times New Roman" w:eastAsia="Noto Serif CJK SC"/>
                <w:b w:val="0"/>
                <w:i w:val="0"/>
                <w:sz w:val="16"/>
              </w:rPr>
              <w:t>假设5</w:t>
            </w:r>
          </w:p>
        </w:tc>
        <w:tc>
          <w:tcPr>
            <w:tcW w:type="dxa" w:w="3175"/>
            <w:vAlign w:val="center"/>
            <w:tcMar>
              <w:top w:w="70" w:type="dxa"/>
              <w:start w:w="85" w:type="dxa"/>
              <w:bottom w:w="70" w:type="dxa"/>
              <w:end w:w="85" w:type="dxa"/>
            </w:tcMar>
          </w:tcPr>
          <w:p>
            <w:pPr>
              <w:jc w:val="left"/>
            </w:pPr>
            <w:r>
              <w:rPr>
                <w:rFonts w:ascii="Times New Roman" w:hAnsi="Times New Roman" w:eastAsia="Noto Serif CJK SC"/>
                <w:b w:val="0"/>
                <w:i w:val="0"/>
                <w:sz w:val="16"/>
              </w:rPr>
              <w:t>无损拆解、已知合格信息继承、一笔订单售价只计一次等生产规则继续沿用问题二/三。</w:t>
            </w:r>
          </w:p>
        </w:tc>
        <w:tc>
          <w:tcPr>
            <w:tcW w:type="dxa" w:w="3288"/>
            <w:vAlign w:val="center"/>
            <w:tcMar>
              <w:top w:w="70" w:type="dxa"/>
              <w:start w:w="85" w:type="dxa"/>
              <w:bottom w:w="70" w:type="dxa"/>
              <w:end w:w="85" w:type="dxa"/>
            </w:tcMar>
          </w:tcPr>
          <w:p>
            <w:pPr>
              <w:jc w:val="left"/>
            </w:pPr>
            <w:r>
              <w:rPr>
                <w:rFonts w:ascii="Times New Roman" w:hAnsi="Times New Roman" w:eastAsia="Noto Serif CJK SC"/>
                <w:b w:val="0"/>
                <w:i w:val="0"/>
                <w:sz w:val="16"/>
              </w:rPr>
              <w:t>这些均由原题与前两问统一口径确定，第四问没有修改。</w:t>
            </w:r>
          </w:p>
        </w:tc>
        <w:tc>
          <w:tcPr>
            <w:tcW w:type="dxa" w:w="2551"/>
            <w:vAlign w:val="center"/>
            <w:tcMar>
              <w:top w:w="70" w:type="dxa"/>
              <w:start w:w="85" w:type="dxa"/>
              <w:bottom w:w="70" w:type="dxa"/>
              <w:end w:w="85" w:type="dxa"/>
            </w:tcMar>
          </w:tcPr>
          <w:p>
            <w:pPr>
              <w:jc w:val="left"/>
            </w:pPr>
            <w:r>
              <w:rPr>
                <w:rFonts w:ascii="Times New Roman" w:hAnsi="Times New Roman" w:eastAsia="Noto Serif CJK SC"/>
                <w:b w:val="0"/>
                <w:i w:val="0"/>
                <w:sz w:val="16"/>
              </w:rPr>
              <w:t>保证不同风险水平下结果可比较，不因核算口径变化造成假策略切换。</w:t>
            </w:r>
          </w:p>
        </w:tc>
      </w:tr>
    </w:tbl>
    <w:p>
      <w:pPr>
        <w:pStyle w:val="Heading2"/>
        <w:keepNext/>
      </w:pPr>
      <w:r>
        <w:rPr>
          <w:rFonts w:ascii="Times New Roman" w:hAnsi="Times New Roman" w:eastAsia="Noto Sans CJK SC"/>
          <w:b/>
          <w:i w:val="0"/>
          <w:color w:val="2D4960"/>
          <w:sz w:val="25"/>
        </w:rPr>
        <w:t>5.4 【符号说明】三线表内容</w:t>
      </w:r>
    </w:p>
    <w:tbl>
      <w:tblPr>
        <w:tblW w:type="auto" w:w="0"/>
        <w:jc w:val="center"/>
        <w:tblLayout w:type="autofit"/>
        <w:tblLook w:firstColumn="1" w:firstRow="1" w:lastColumn="0" w:lastRow="0" w:noHBand="0" w:noVBand="1" w:val="04A0"/>
        <w:tblBorders>
          <w:top w:val="single" w:sz="8" w:color="000000"/>
          <w:left w:val="nil"/>
          <w:bottom w:val="single" w:sz="8" w:color="000000"/>
          <w:right w:val="nil"/>
          <w:insideH w:val="nil"/>
          <w:insideV w:val="nil"/>
        </w:tblBorders>
      </w:tblPr>
      <w:tblGrid>
        <w:gridCol w:w="3267"/>
        <w:gridCol w:w="3267"/>
        <w:gridCol w:w="3267"/>
      </w:tblGrid>
      <w:tr>
        <w:trPr>
          <w:tblHeader w:val="true"/>
        </w:trPr>
        <w:tc>
          <w:tcPr>
            <w:tcW w:type="dxa" w:w="1814"/>
            <w:vAlign w:val="center"/>
            <w:tcMar>
              <w:top w:w="70" w:type="dxa"/>
              <w:start w:w="85" w:type="dxa"/>
              <w:bottom w:w="70" w:type="dxa"/>
              <w:end w:w="85" w:type="dxa"/>
            </w:tcMar>
            <w:tcBorders>
              <w:bottom w:val="single" w:sz="8" w:color="000000"/>
            </w:tcBorders>
          </w:tcPr>
          <w:p>
            <w:pPr>
              <w:jc w:val="center"/>
            </w:pPr>
            <w:r>
              <w:rPr>
                <w:rFonts w:ascii="Times New Roman" w:hAnsi="Times New Roman" w:eastAsia="Noto Sans CJK SC"/>
                <w:b/>
                <w:i w:val="0"/>
                <w:sz w:val="17"/>
              </w:rPr>
              <w:t>符号</w:t>
            </w:r>
          </w:p>
        </w:tc>
        <w:tc>
          <w:tcPr>
            <w:tcW w:type="dxa" w:w="5953"/>
            <w:vAlign w:val="center"/>
            <w:tcMar>
              <w:top w:w="70" w:type="dxa"/>
              <w:start w:w="85" w:type="dxa"/>
              <w:bottom w:w="70" w:type="dxa"/>
              <w:end w:w="85" w:type="dxa"/>
            </w:tcMar>
            <w:tcBorders>
              <w:bottom w:val="single" w:sz="8" w:color="000000"/>
            </w:tcBorders>
          </w:tcPr>
          <w:p>
            <w:pPr>
              <w:jc w:val="center"/>
            </w:pPr>
            <w:r>
              <w:rPr>
                <w:rFonts w:ascii="Times New Roman" w:hAnsi="Times New Roman" w:eastAsia="Noto Sans CJK SC"/>
                <w:b/>
                <w:i w:val="0"/>
                <w:sz w:val="17"/>
              </w:rPr>
              <w:t>含义</w:t>
            </w:r>
          </w:p>
        </w:tc>
        <w:tc>
          <w:tcPr>
            <w:tcW w:type="dxa" w:w="1701"/>
            <w:vAlign w:val="center"/>
            <w:tcMar>
              <w:top w:w="70" w:type="dxa"/>
              <w:start w:w="85" w:type="dxa"/>
              <w:bottom w:w="70" w:type="dxa"/>
              <w:end w:w="85" w:type="dxa"/>
            </w:tcMar>
            <w:tcBorders>
              <w:bottom w:val="single" w:sz="8" w:color="000000"/>
            </w:tcBorders>
          </w:tcPr>
          <w:p>
            <w:pPr>
              <w:jc w:val="center"/>
            </w:pPr>
            <w:r>
              <w:rPr>
                <w:rFonts w:ascii="Times New Roman" w:hAnsi="Times New Roman" w:eastAsia="Noto Sans CJK SC"/>
                <w:b/>
                <w:i w:val="0"/>
                <w:sz w:val="17"/>
              </w:rPr>
              <w:t>单位</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j</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质量参数索引；Q2每情形d=3，Q3实例d=12</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X_{jt}</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质量参数j对应第t件抽样结果，次品=1</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n_j</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质量参数j的实际样本量</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件</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k_j</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样本中的次品数</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件</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p_j</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未知真实次品率</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p_hat_j</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样本次品率k_j/n_j</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γ</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系统级置信水平，本题取0.90或0.95</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α</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1-γ</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U_j^{fix}, U_j^{seq}</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固定/序贯抽样下单侧上置信界</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U_γ</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由各参数上界构成的不确定集合</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π</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生产策略；Q2为6位静态策略，Q3为16位静态节点策略</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V_q(π;p)</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给定质量参数p时，问题q完成一笔订单的期望总成本</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元/订单</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Π_q(π;p)</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给定p下的期望利润，S-V_q</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元/订单</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Q_π(p)</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Q2固定策略下暂态转移矩阵</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ρ(Q_π)</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暂态矩阵谱半径</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π_nom</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使用p_hat得到的名义最优策略</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π_R,γ</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γ置信水平下的稳健最优策略</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Δ</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最优与次优策略的利润间隔</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元/订单</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R_π</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bootstrap中策略π成为最优的频率/稳定率</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w:t>
            </w:r>
          </w:p>
        </w:tc>
      </w:tr>
      <w:tr>
        <w:tc>
          <w:tcPr>
            <w:tcW w:type="dxa" w:w="1814"/>
            <w:vAlign w:val="center"/>
            <w:tcMar>
              <w:top w:w="70" w:type="dxa"/>
              <w:start w:w="85" w:type="dxa"/>
              <w:bottom w:w="70" w:type="dxa"/>
              <w:end w:w="85" w:type="dxa"/>
            </w:tcMar>
          </w:tcPr>
          <w:p>
            <w:pPr>
              <w:jc w:val="center"/>
            </w:pPr>
            <w:r>
              <w:rPr>
                <w:rFonts w:ascii="Times New Roman" w:hAnsi="Times New Roman" w:eastAsia="Noto Serif CJK SC"/>
                <w:b w:val="0"/>
                <w:i w:val="0"/>
                <w:sz w:val="17"/>
              </w:rPr>
              <w:t>B</w:t>
            </w:r>
          </w:p>
        </w:tc>
        <w:tc>
          <w:tcPr>
            <w:tcW w:type="dxa" w:w="5953"/>
            <w:vAlign w:val="center"/>
            <w:tcMar>
              <w:top w:w="70" w:type="dxa"/>
              <w:start w:w="85" w:type="dxa"/>
              <w:bottom w:w="70" w:type="dxa"/>
              <w:end w:w="85" w:type="dxa"/>
            </w:tcMar>
          </w:tcPr>
          <w:p>
            <w:pPr>
              <w:jc w:val="left"/>
            </w:pPr>
            <w:r>
              <w:rPr>
                <w:rFonts w:ascii="Times New Roman" w:hAnsi="Times New Roman" w:eastAsia="Noto Serif CJK SC"/>
                <w:b w:val="0"/>
                <w:i w:val="0"/>
                <w:sz w:val="17"/>
              </w:rPr>
              <w:t>bootstrap重复次数，仅为数值精度设置</w:t>
            </w:r>
          </w:p>
        </w:tc>
        <w:tc>
          <w:tcPr>
            <w:tcW w:type="dxa" w:w="1701"/>
            <w:vAlign w:val="center"/>
            <w:tcMar>
              <w:top w:w="70" w:type="dxa"/>
              <w:start w:w="85" w:type="dxa"/>
              <w:bottom w:w="70" w:type="dxa"/>
              <w:end w:w="85" w:type="dxa"/>
            </w:tcMar>
          </w:tcPr>
          <w:p>
            <w:pPr>
              <w:jc w:val="left"/>
            </w:pPr>
            <w:r>
              <w:rPr>
                <w:rFonts w:ascii="Times New Roman" w:hAnsi="Times New Roman" w:eastAsia="Noto Serif CJK SC"/>
                <w:b w:val="0"/>
                <w:i w:val="0"/>
                <w:sz w:val="17"/>
              </w:rPr>
              <w:t>次</w:t>
            </w:r>
          </w:p>
        </w:tc>
      </w:tr>
    </w:tbl>
    <w:p>
      <w:pPr>
        <w:pStyle w:val="Heading1"/>
        <w:keepNext/>
      </w:pPr>
      <w:r>
        <w:rPr>
          <w:rFonts w:ascii="Times New Roman" w:hAnsi="Times New Roman" w:eastAsia="Noto Sans CJK SC"/>
          <w:b/>
          <w:i w:val="0"/>
          <w:color w:val="1F4E79"/>
          <w:sz w:val="30"/>
        </w:rPr>
        <w:t>6 针对第四问的模型建立</w:t>
      </w:r>
    </w:p>
    <w:p>
      <w:pPr>
        <w:pStyle w:val="Heading2"/>
        <w:keepNext/>
      </w:pPr>
      <w:r>
        <w:rPr>
          <w:rFonts w:ascii="Times New Roman" w:hAnsi="Times New Roman" w:eastAsia="Noto Sans CJK SC"/>
          <w:b/>
          <w:i w:val="0"/>
          <w:color w:val="2D4960"/>
          <w:sz w:val="25"/>
        </w:rPr>
        <w:t>6.1 抽样数据生成模型</w:t>
      </w:r>
    </w:p>
    <w:p>
      <w:pPr>
        <w:spacing w:line="300" w:lineRule="auto" w:after="80"/>
        <w:ind w:firstLine="420"/>
      </w:pPr>
      <w:r>
        <w:rPr>
          <w:rFonts w:ascii="Times New Roman" w:hAnsi="Times New Roman" w:eastAsia="Noto Serif CJK SC"/>
          <w:b w:val="0"/>
          <w:i w:val="0"/>
          <w:sz w:val="21"/>
        </w:rPr>
        <w:t>对任一质量参数 j（零件原始次品率或装配工序条件次品率），在符合第2章抽样口径时记：</w:t>
      </w:r>
    </w:p>
    <w:p>
      <w:pPr>
        <w:spacing w:before="40" w:after="80"/>
        <w:jc w:val="center"/>
      </w:pPr>
      <w:r>
        <w:rPr>
          <w:rFonts w:ascii="Cambria Math" w:hAnsi="Cambria Math" w:eastAsia="Noto Serif CJK SC"/>
          <w:b w:val="0"/>
          <w:i w:val="0"/>
          <w:sz w:val="21"/>
        </w:rPr>
        <w:t>X_{jt} ~ Bernoulli(p_j),    K_j = Σ_{t=1}^{n_j} X_{jt},    K_j | p_j ~ Binomial(n_j,p_j).   (1)</w:t>
      </w:r>
    </w:p>
    <w:p>
      <w:pPr>
        <w:spacing w:before="40" w:after="80"/>
        <w:jc w:val="center"/>
      </w:pPr>
      <w:r>
        <w:rPr>
          <w:rFonts w:ascii="Cambria Math" w:hAnsi="Cambria Math" w:eastAsia="Noto Serif CJK SC"/>
          <w:b w:val="0"/>
          <w:i w:val="0"/>
          <w:sz w:val="21"/>
        </w:rPr>
        <w:t>p_hat_j = k_j / n_j.   (2)</w:t>
      </w:r>
    </w:p>
    <w:p>
      <w:pPr>
        <w:spacing w:line="300" w:lineRule="auto" w:after="80"/>
        <w:ind w:firstLine="420"/>
      </w:pPr>
      <w:r>
        <w:rPr>
          <w:rFonts w:ascii="Times New Roman" w:hAnsi="Times New Roman" w:eastAsia="Noto Serif CJK SC"/>
          <w:b w:val="0"/>
          <w:i w:val="0"/>
          <w:sz w:val="21"/>
        </w:rPr>
        <w:t>式(2)只给名义点估计，不直接作为第四问真实参数。统计层的输出不是“一个新的p”，而是风险水平γ下的上界U_j(γ)。</w:t>
      </w:r>
    </w:p>
    <w:p>
      <w:pPr>
        <w:pStyle w:val="Heading2"/>
        <w:keepNext/>
      </w:pPr>
      <w:r>
        <w:rPr>
          <w:rFonts w:ascii="Times New Roman" w:hAnsi="Times New Roman" w:eastAsia="Noto Sans CJK SC"/>
          <w:b/>
          <w:i w:val="0"/>
          <w:color w:val="2D4960"/>
          <w:sz w:val="25"/>
        </w:rPr>
        <w:t>6.2 固定样本：精确单侧上置信限</w:t>
      </w:r>
    </w:p>
    <w:p>
      <w:pPr>
        <w:spacing w:line="300" w:lineRule="auto" w:after="80"/>
        <w:ind w:firstLine="420"/>
      </w:pPr>
      <w:r>
        <w:rPr>
          <w:rFonts w:ascii="Times New Roman" w:hAnsi="Times New Roman" w:eastAsia="Noto Serif CJK SC"/>
          <w:b w:val="0"/>
          <w:i w:val="0"/>
          <w:sz w:val="21"/>
        </w:rPr>
        <w:t>若 n_j 在抽样前就固定，则在给定 α=1-γ 下使用精确二项反演。对 k_j&lt;n_j：</w:t>
      </w:r>
    </w:p>
    <w:p>
      <w:pPr>
        <w:spacing w:before="40" w:after="80"/>
        <w:jc w:val="center"/>
      </w:pPr>
      <w:r>
        <w:rPr>
          <w:rFonts w:ascii="Cambria Math" w:hAnsi="Cambria Math" w:eastAsia="Noto Serif CJK SC"/>
          <w:b w:val="0"/>
          <w:i w:val="0"/>
          <w:sz w:val="21"/>
        </w:rPr>
        <w:t>U_j^{fix}(γ) = F_{Beta(k_j+1, n_j-k_j)}^{-1}(γ).   (3)</w:t>
      </w:r>
    </w:p>
    <w:p>
      <w:pPr>
        <w:spacing w:line="300" w:lineRule="auto" w:after="80"/>
        <w:ind w:firstLine="420"/>
      </w:pPr>
      <w:r>
        <w:rPr>
          <w:rFonts w:ascii="Times New Roman" w:hAnsi="Times New Roman" w:eastAsia="Noto Serif CJK SC"/>
          <w:b w:val="0"/>
          <w:i w:val="0"/>
          <w:sz w:val="21"/>
        </w:rPr>
        <w:t>若 k_j=n_j，则U_j=1。式(3)不依赖正态近似，在小样本和尾部情况下仍保持名义覆盖。若只用于系统级稳健优化，单侧上界已经足够；双侧区间可留作图形展示。</w:t>
      </w:r>
    </w:p>
    <w:p>
      <w:pPr>
        <w:pStyle w:val="Heading2"/>
        <w:keepNext/>
      </w:pPr>
      <w:r>
        <w:rPr>
          <w:rFonts w:ascii="Times New Roman" w:hAnsi="Times New Roman" w:eastAsia="Noto Sans CJK SC"/>
          <w:b/>
          <w:i w:val="0"/>
          <w:color w:val="2D4960"/>
          <w:sz w:val="25"/>
        </w:rPr>
        <w:t>6.3 序贯样本：反演问题一的 e-process 置信序列</w:t>
      </w:r>
    </w:p>
    <w:p>
      <w:pPr>
        <w:spacing w:line="300" w:lineRule="auto" w:after="80"/>
        <w:ind w:firstLine="420"/>
      </w:pPr>
      <w:r>
        <w:rPr>
          <w:rFonts w:ascii="Times New Roman" w:hAnsi="Times New Roman" w:eastAsia="Noto Serif CJK SC"/>
          <w:b w:val="0"/>
          <w:i w:val="0"/>
          <w:sz w:val="21"/>
        </w:rPr>
        <w:t>若某质量参数是在问题一式“证据够就停止”的规则下得到，n_j本身是随机停止时间。此时沿用问题一的单侧混合似然比证据 E^-_t(p0)，把候选参数p0逐一当作原假设边界，通过反演得到：</w:t>
      </w:r>
    </w:p>
    <w:p>
      <w:pPr>
        <w:spacing w:before="40" w:after="80"/>
        <w:jc w:val="center"/>
      </w:pPr>
      <w:r>
        <w:rPr>
          <w:rFonts w:ascii="Cambria Math" w:hAnsi="Cambria Math" w:eastAsia="Noto Serif CJK SC"/>
          <w:b w:val="0"/>
          <w:i w:val="0"/>
          <w:sz w:val="21"/>
        </w:rPr>
        <w:t>U_{j,t}^{seq}(γ) = inf { p0 ∈ (0,1] : E^-_{j,t}(p0) ≥ 1/(1-γ) }.   (4)</w:t>
      </w:r>
    </w:p>
    <w:p>
      <w:pPr>
        <w:spacing w:line="300" w:lineRule="auto" w:after="80"/>
        <w:ind w:firstLine="420"/>
      </w:pPr>
      <w:r>
        <w:rPr>
          <w:rFonts w:ascii="Times New Roman" w:hAnsi="Times New Roman" w:eastAsia="Noto Serif CJK SC"/>
          <w:b w:val="0"/>
          <w:i w:val="0"/>
          <w:sz w:val="21"/>
        </w:rPr>
        <w:t>由于E-process满足Ville型任意停止控制，式(4)在数据依赖的停止时刻仍有覆盖保证。数值上只需在[p_hat,1]内寻找首次达到阈值的p0，采用粗网格定位后用Brent法求根。</w:t>
      </w:r>
    </w:p>
    <w:p>
      <w:pPr>
        <w:pStyle w:val="Heading2"/>
        <w:keepNext/>
      </w:pPr>
      <w:r>
        <w:rPr>
          <w:rFonts w:ascii="Times New Roman" w:hAnsi="Times New Roman" w:eastAsia="Noto Sans CJK SC"/>
          <w:b/>
          <w:i w:val="0"/>
          <w:color w:val="2D4960"/>
          <w:sz w:val="25"/>
        </w:rPr>
        <w:t>6.4 多参数同时风险包络</w:t>
      </w:r>
    </w:p>
    <w:p>
      <w:pPr>
        <w:spacing w:line="300" w:lineRule="auto" w:after="80"/>
        <w:ind w:firstLine="420"/>
      </w:pPr>
      <w:r>
        <w:rPr>
          <w:rFonts w:ascii="Times New Roman" w:hAnsi="Times New Roman" w:eastAsia="Noto Serif CJK SC"/>
          <w:b w:val="0"/>
          <w:i w:val="0"/>
          <w:sz w:val="21"/>
        </w:rPr>
        <w:t>为保证整个生产系统的所有质量参数同时落在上界内，令d为该子问题不确定参数数量，系统总体风险α=1-γ，按union bound分配：</w:t>
      </w:r>
    </w:p>
    <w:p>
      <w:pPr>
        <w:spacing w:before="40" w:after="80"/>
        <w:jc w:val="center"/>
      </w:pPr>
      <w:r>
        <w:rPr>
          <w:rFonts w:ascii="Cambria Math" w:hAnsi="Cambria Math" w:eastAsia="Noto Serif CJK SC"/>
          <w:b w:val="0"/>
          <w:i w:val="0"/>
          <w:sz w:val="21"/>
        </w:rPr>
        <w:t>α_j = α/d,    U_j^{sim}(γ)=U_j(1-α/d).   (5)</w:t>
      </w:r>
    </w:p>
    <w:p>
      <w:pPr>
        <w:spacing w:before="40" w:after="80"/>
        <w:jc w:val="center"/>
      </w:pPr>
      <w:r>
        <w:rPr>
          <w:rFonts w:ascii="Cambria Math" w:hAnsi="Cambria Math" w:eastAsia="Noto Serif CJK SC"/>
          <w:b w:val="0"/>
          <w:i w:val="0"/>
          <w:sz w:val="21"/>
        </w:rPr>
        <w:t>U_γ = { p : 0≤p_j≤U_j^{sim}(γ),  j=1,…,d }.   (6)</w:t>
      </w:r>
    </w:p>
    <w:p>
      <w:pPr>
        <w:spacing w:line="300" w:lineRule="auto" w:after="80"/>
        <w:ind w:firstLine="420"/>
      </w:pPr>
      <w:r>
        <w:rPr>
          <w:rFonts w:ascii="Times New Roman" w:hAnsi="Times New Roman" w:eastAsia="Noto Serif CJK SC"/>
          <w:b w:val="0"/>
          <w:i w:val="0"/>
          <w:sz w:val="21"/>
        </w:rPr>
        <w:t>Q2每种情形d=3；Q3实例d=12。若企业只关注逐参数风险而不要求系统级同时保证，可使用未校正上界作为敏感性版本，但必须在论文中标注“componentwise”，不能称为整体95%置信域。</w:t>
      </w:r>
    </w:p>
    <w:p>
      <w:pPr>
        <w:pStyle w:val="Heading2"/>
        <w:keepNext/>
      </w:pPr>
      <w:r>
        <w:rPr>
          <w:rFonts w:ascii="Times New Roman" w:hAnsi="Times New Roman" w:eastAsia="Noto Sans CJK SC"/>
          <w:b/>
          <w:i w:val="0"/>
          <w:color w:val="2D4960"/>
          <w:sz w:val="25"/>
        </w:rPr>
        <w:t>6.5 问题二在参数不确定下的稳健重优化</w:t>
      </w:r>
    </w:p>
    <w:p>
      <w:pPr>
        <w:spacing w:line="300" w:lineRule="auto" w:after="80"/>
        <w:ind w:firstLine="420"/>
      </w:pPr>
      <w:r>
        <w:rPr>
          <w:rFonts w:ascii="Times New Roman" w:hAnsi="Times New Roman" w:eastAsia="Noto Serif CJK SC"/>
          <w:b w:val="0"/>
          <w:i w:val="0"/>
          <w:sz w:val="21"/>
        </w:rPr>
        <w:t>沿用问题二策略变量：</w:t>
      </w:r>
    </w:p>
    <w:p>
      <w:pPr>
        <w:spacing w:before="40" w:after="80"/>
        <w:jc w:val="center"/>
      </w:pPr>
      <w:r>
        <w:rPr>
          <w:rFonts w:ascii="Cambria Math" w:hAnsi="Cambria Math" w:eastAsia="Noto Serif CJK SC"/>
          <w:b w:val="0"/>
          <w:i w:val="0"/>
          <w:sz w:val="21"/>
        </w:rPr>
        <w:t>π_2=(x_1,x_2,y,z,r_1,r_2) ∈ {0,1}^6.   (7)</w:t>
      </w:r>
    </w:p>
    <w:p>
      <w:pPr>
        <w:spacing w:line="300" w:lineRule="auto" w:after="80"/>
        <w:ind w:firstLine="420"/>
      </w:pPr>
      <w:r>
        <w:rPr>
          <w:rFonts w:ascii="Times New Roman" w:hAnsi="Times New Roman" w:eastAsia="Noto Serif CJK SC"/>
          <w:b w:val="0"/>
          <w:i w:val="0"/>
          <w:sz w:val="21"/>
        </w:rPr>
        <w:t>给定任意质量向量p=(p1,p2,p_f)，问题二已有精确长期成本评价：对固定策略构造暂态转移矩阵Q_π(p)与单步期望成本向量c_π(p)，解：</w:t>
      </w:r>
    </w:p>
    <w:p>
      <w:pPr>
        <w:spacing w:before="40" w:after="80"/>
        <w:jc w:val="center"/>
      </w:pPr>
      <w:r>
        <w:rPr>
          <w:rFonts w:ascii="Cambria Math" w:hAnsi="Cambria Math" w:eastAsia="Noto Serif CJK SC"/>
          <w:b w:val="0"/>
          <w:i w:val="0"/>
          <w:sz w:val="21"/>
        </w:rPr>
        <w:t>V_π(p) = c_π(p) + Q_π(p)V_π(p),</w:t>
      </w:r>
    </w:p>
    <w:p>
      <w:pPr>
        <w:spacing w:before="40" w:after="80"/>
        <w:jc w:val="center"/>
      </w:pPr>
      <w:r>
        <w:rPr>
          <w:rFonts w:ascii="Cambria Math" w:hAnsi="Cambria Math" w:eastAsia="Noto Serif CJK SC"/>
          <w:b w:val="0"/>
          <w:i w:val="0"/>
          <w:sz w:val="21"/>
        </w:rPr>
        <w:t>V_π(p) = [I-Q_π(p)]^{-1} c_π(p).   (8)</w:t>
      </w:r>
    </w:p>
    <w:p>
      <w:pPr>
        <w:spacing w:line="300" w:lineRule="auto" w:after="80"/>
        <w:ind w:firstLine="420"/>
      </w:pPr>
      <w:r>
        <w:rPr>
          <w:rFonts w:ascii="Times New Roman" w:hAnsi="Times New Roman" w:eastAsia="Noto Serif CJK SC"/>
          <w:b w:val="0"/>
          <w:i w:val="0"/>
          <w:sz w:val="21"/>
        </w:rPr>
        <w:t>代码中使用线性方程求解而不是显式求逆。以一笔订单售价S只计一次：</w:t>
      </w:r>
    </w:p>
    <w:p>
      <w:pPr>
        <w:spacing w:before="40" w:after="80"/>
        <w:jc w:val="center"/>
      </w:pPr>
      <w:r>
        <w:rPr>
          <w:rFonts w:ascii="Cambria Math" w:hAnsi="Cambria Math" w:eastAsia="Noto Serif CJK SC"/>
          <w:b w:val="0"/>
          <w:i w:val="0"/>
          <w:sz w:val="21"/>
        </w:rPr>
        <w:t>Π_2(π;p) = S - V_π(N;p).   (9)</w:t>
      </w:r>
    </w:p>
    <w:p>
      <w:pPr>
        <w:spacing w:line="300" w:lineRule="auto" w:after="80"/>
        <w:ind w:firstLine="420"/>
      </w:pPr>
      <w:r>
        <w:rPr>
          <w:rFonts w:ascii="Times New Roman" w:hAnsi="Times New Roman" w:eastAsia="Noto Serif CJK SC"/>
          <w:b w:val="0"/>
          <w:i w:val="0"/>
          <w:sz w:val="21"/>
        </w:rPr>
        <w:t>第四问在γ置信水平下的核心目标函数为：</w:t>
      </w:r>
    </w:p>
    <w:p>
      <w:pPr>
        <w:spacing w:before="40" w:after="80"/>
        <w:jc w:val="center"/>
      </w:pPr>
      <w:r>
        <w:rPr>
          <w:rFonts w:ascii="Cambria Math" w:hAnsi="Cambria Math" w:eastAsia="Noto Serif CJK SC"/>
          <w:b w:val="0"/>
          <w:i w:val="0"/>
          <w:sz w:val="21"/>
        </w:rPr>
        <w:t>π_{2,R}*(γ)=arg max_{π∈Π_2}  min_{p∈U_γ} Π_2(π;p).   (10)</w:t>
      </w:r>
    </w:p>
    <w:p>
      <w:pPr>
        <w:spacing w:line="300" w:lineRule="auto" w:after="80"/>
        <w:ind w:firstLine="420"/>
      </w:pPr>
      <w:r>
        <w:rPr>
          <w:rFonts w:ascii="Times New Roman" w:hAnsi="Times New Roman" w:eastAsia="Noto Serif CJK SC"/>
          <w:b w:val="0"/>
          <w:i w:val="0"/>
          <w:sz w:val="21"/>
        </w:rPr>
        <w:t>约束条件：</w:t>
      </w:r>
    </w:p>
    <w:p>
      <w:pPr>
        <w:pStyle w:val="ListBullet"/>
        <w:spacing w:after="50"/>
        <w:ind w:left="340" w:hanging="142"/>
      </w:pPr>
      <w:r>
        <w:rPr>
          <w:rFonts w:ascii="Times New Roman" w:hAnsi="Times New Roman" w:eastAsia="Noto Serif CJK SC"/>
          <w:b w:val="0"/>
          <w:i w:val="0"/>
          <w:sz w:val="20"/>
        </w:rPr>
        <w:t>x1,x2,y,z,r1,r2∈{0,1}；若z=0，则规范化r1=r2=0。</w:t>
      </w:r>
    </w:p>
    <w:p>
      <w:pPr>
        <w:pStyle w:val="ListBullet"/>
        <w:spacing w:after="50"/>
        <w:ind w:left="340" w:hanging="142"/>
      </w:pPr>
      <w:r>
        <w:rPr>
          <w:rFonts w:ascii="Times New Roman" w:hAnsi="Times New Roman" w:eastAsia="Noto Serif CJK SC"/>
          <w:b w:val="0"/>
          <w:i w:val="0"/>
          <w:sz w:val="20"/>
        </w:rPr>
        <w:t>0≤p_j≤U_j≤1，所有题目给定成本非负。</w:t>
      </w:r>
    </w:p>
    <w:p>
      <w:pPr>
        <w:pStyle w:val="ListBullet"/>
        <w:spacing w:after="50"/>
        <w:ind w:left="340" w:hanging="142"/>
      </w:pPr>
      <w:r>
        <w:rPr>
          <w:rFonts w:ascii="Times New Roman" w:hAnsi="Times New Roman" w:eastAsia="Noto Serif CJK SC"/>
          <w:b w:val="0"/>
          <w:i w:val="0"/>
          <w:sz w:val="20"/>
        </w:rPr>
        <w:t>检测完全准确，已知合格回收件不重复检测；换货不产生第二次销售收入。</w:t>
      </w:r>
    </w:p>
    <w:p>
      <w:pPr>
        <w:pStyle w:val="ListBullet"/>
        <w:spacing w:after="50"/>
        <w:ind w:left="340" w:hanging="142"/>
      </w:pPr>
      <w:r>
        <w:rPr>
          <w:rFonts w:ascii="Times New Roman" w:hAnsi="Times New Roman" w:eastAsia="Noto Serif CJK SC"/>
          <w:b w:val="0"/>
          <w:i w:val="0"/>
          <w:sz w:val="20"/>
        </w:rPr>
        <w:t>对整个不确定集合保持可吸收：sup_{p∈U_γ} ρ(Q_π(p))&lt;1；不满足者判为不可行。</w:t>
      </w:r>
    </w:p>
    <w:p>
      <w:pPr>
        <w:pStyle w:val="Heading2"/>
        <w:keepNext/>
      </w:pPr>
      <w:r>
        <w:rPr>
          <w:rFonts w:ascii="Times New Roman" w:hAnsi="Times New Roman" w:eastAsia="Noto Sans CJK SC"/>
          <w:b/>
          <w:i w:val="0"/>
          <w:color w:val="2D4960"/>
          <w:sz w:val="25"/>
        </w:rPr>
        <w:t>6.6 问题三在参数不确定下的稳健重优化</w:t>
      </w:r>
    </w:p>
    <w:p>
      <w:pPr>
        <w:spacing w:line="300" w:lineRule="auto" w:after="80"/>
        <w:ind w:firstLine="420"/>
      </w:pPr>
      <w:r>
        <w:rPr>
          <w:rFonts w:ascii="Times New Roman" w:hAnsi="Times New Roman" w:eastAsia="Noto Serif CJK SC"/>
          <w:b w:val="0"/>
          <w:i w:val="0"/>
          <w:sz w:val="21"/>
        </w:rPr>
        <w:t>问题三继续使用16位静态节点策略：</w:t>
      </w:r>
    </w:p>
    <w:p>
      <w:pPr>
        <w:spacing w:before="40" w:after="80"/>
        <w:jc w:val="center"/>
      </w:pPr>
      <w:r>
        <w:rPr>
          <w:rFonts w:ascii="Cambria Math" w:hAnsi="Cambria Math" w:eastAsia="Noto Serif CJK SC"/>
          <w:b w:val="0"/>
          <w:i w:val="0"/>
          <w:sz w:val="21"/>
        </w:rPr>
        <w:t>π_3=(x_1,…,x_8, y_1,y_2,y_3, z_1,z_2,z_3, y_F,z_F) ∈ {0,1}^{16}.   (11)</w:t>
      </w:r>
    </w:p>
    <w:p>
      <w:pPr>
        <w:spacing w:line="300" w:lineRule="auto" w:after="80"/>
        <w:ind w:firstLine="420"/>
      </w:pPr>
      <w:r>
        <w:rPr>
          <w:rFonts w:ascii="Times New Roman" w:hAnsi="Times New Roman" w:eastAsia="Noto Serif CJK SC"/>
          <w:b w:val="0"/>
          <w:i w:val="0"/>
          <w:sz w:val="21"/>
        </w:rPr>
        <w:t>对任意给定p向量，BOM分层状态压缩递推按照问题三既定规则计算根节点F的单位订单期望成本V_F(π;p)：叶节点处理购买/检测；内部节点传播输入合格概率与工序条件失效率；节点失败时保留Known/Unknown信息并通过Bayes更新未知子件；拆解后已知合格件直接复用，未知件按恢复成本递推。</w:t>
      </w:r>
    </w:p>
    <w:p>
      <w:pPr>
        <w:spacing w:before="40" w:after="80"/>
        <w:jc w:val="center"/>
      </w:pPr>
      <w:r>
        <w:rPr>
          <w:rFonts w:ascii="Cambria Math" w:hAnsi="Cambria Math" w:eastAsia="Noto Serif CJK SC"/>
          <w:b w:val="0"/>
          <w:i w:val="0"/>
          <w:sz w:val="21"/>
        </w:rPr>
        <w:t>Π_3(π;p)=S-V_F(π;p).   (12)</w:t>
      </w:r>
    </w:p>
    <w:p>
      <w:pPr>
        <w:spacing w:before="40" w:after="80"/>
        <w:jc w:val="center"/>
      </w:pPr>
      <w:r>
        <w:rPr>
          <w:rFonts w:ascii="Cambria Math" w:hAnsi="Cambria Math" w:eastAsia="Noto Serif CJK SC"/>
          <w:b w:val="0"/>
          <w:i w:val="0"/>
          <w:sz w:val="21"/>
        </w:rPr>
        <w:t>π_{3,R}*(γ)=arg max_{π∈Π_3}  min_{p∈U_γ} Π_3(π;p).   (13)</w:t>
      </w:r>
    </w:p>
    <w:p>
      <w:pPr>
        <w:spacing w:line="300" w:lineRule="auto" w:after="80"/>
        <w:ind w:firstLine="420"/>
      </w:pPr>
      <w:r>
        <w:rPr>
          <w:rFonts w:ascii="Times New Roman" w:hAnsi="Times New Roman" w:eastAsia="Noto Serif CJK SC"/>
          <w:b w:val="0"/>
          <w:i w:val="0"/>
          <w:sz w:val="21"/>
        </w:rPr>
        <w:t>一般m,n情形用后序遍历+记忆化递推；题目给定2工序8零件实例同时做2^16=65536静态策略精确枚举。这里的枚举用于证明“固定节点策略空间”中的全局最优，不宣称穷尽所有依连续历史改变动作的POMDP策略。</w:t>
      </w:r>
    </w:p>
    <w:p>
      <w:pPr>
        <w:pStyle w:val="Heading2"/>
        <w:keepNext/>
      </w:pPr>
      <w:r>
        <w:rPr>
          <w:rFonts w:ascii="Times New Roman" w:hAnsi="Times New Roman" w:eastAsia="Noto Sans CJK SC"/>
          <w:b/>
          <w:i w:val="0"/>
          <w:color w:val="2D4960"/>
          <w:sz w:val="25"/>
        </w:rPr>
        <w:t>6.7 单调性简化：为什么最坏点可以落在置信上界向量</w:t>
      </w:r>
    </w:p>
    <w:p>
      <w:pPr>
        <w:spacing w:line="300" w:lineRule="auto" w:after="80"/>
        <w:ind w:firstLine="420"/>
      </w:pPr>
      <w:r>
        <w:rPr>
          <w:rFonts w:ascii="Times New Roman" w:hAnsi="Times New Roman" w:eastAsia="Noto Serif CJK SC"/>
          <w:b w:val="0"/>
          <w:i w:val="0"/>
          <w:sz w:val="21"/>
        </w:rPr>
        <w:t>对固定生产策略π，把任一质量参数从p_j提高到p_j′≥p_j，相当于在相同的随机数耦合下，把一部分原本合格的来料/装配结果改成次品。由于企业必须最终交付一件合格产品，且所有采购、检测、装配、拆解和退换成本非负，增加缺陷不会产生额外售价，也不能消除最终成功所必需的后续生产；它只会增加或保持失败、替换与返工负担。因此固定策略的期望成本对每个缺陷概率应非减，期望利润应非增：</w:t>
      </w:r>
    </w:p>
    <w:p>
      <w:pPr>
        <w:spacing w:before="40" w:after="80"/>
        <w:jc w:val="center"/>
      </w:pPr>
      <w:r>
        <w:rPr>
          <w:rFonts w:ascii="Cambria Math" w:hAnsi="Cambria Math" w:eastAsia="Noto Serif CJK SC"/>
          <w:b w:val="0"/>
          <w:i w:val="0"/>
          <w:sz w:val="21"/>
        </w:rPr>
        <w:t>p ≼ p′  ⇒  V_q(π;p) ≤ V_q(π;p′),  Π_q(π;p) ≥ Π_q(π;p′).   (14)</w:t>
      </w:r>
    </w:p>
    <w:p>
      <w:pPr>
        <w:spacing w:before="40" w:after="80"/>
        <w:jc w:val="center"/>
      </w:pPr>
      <w:r>
        <w:rPr>
          <w:rFonts w:ascii="Cambria Math" w:hAnsi="Cambria Math" w:eastAsia="Noto Serif CJK SC"/>
          <w:b w:val="0"/>
          <w:i w:val="0"/>
          <w:sz w:val="21"/>
        </w:rPr>
        <w:t>min_{p∈U_γ} Π_q(π;p) = Π_q(π; U_γ^{upper}).   (15)</w:t>
      </w:r>
    </w:p>
    <w:p>
      <w:pPr>
        <w:spacing w:line="300" w:lineRule="auto" w:after="80"/>
        <w:ind w:firstLine="420"/>
      </w:pPr>
      <w:r>
        <w:rPr>
          <w:rFonts w:ascii="Times New Roman" w:hAnsi="Times New Roman" w:eastAsia="Noto Serif CJK SC"/>
          <w:b w:val="0"/>
          <w:i w:val="0"/>
          <w:sz w:val="21"/>
        </w:rPr>
        <w:t>式(15)把一个多维最坏情形搜索压缩为“把所有质量参数取对应上界后，再运行一次精确评价器”。这不是经验假设：程序会对每个参数在[点估计,上界]上做单调性回归测试。如果任何策略/扩展模型出现违反，就关闭式(15)捷径，退回对盒内端点/数值最小化的直接搜索。</w:t>
      </w:r>
    </w:p>
    <w:p>
      <w:pPr>
        <w:pStyle w:val="Heading2"/>
        <w:keepNext/>
      </w:pPr>
      <w:r>
        <w:rPr>
          <w:rFonts w:ascii="Times New Roman" w:hAnsi="Times New Roman" w:eastAsia="Noto Sans CJK SC"/>
          <w:b/>
          <w:i w:val="0"/>
          <w:color w:val="2D4960"/>
          <w:sz w:val="25"/>
        </w:rPr>
        <w:t>6.8 决策稳定性指标</w:t>
      </w:r>
    </w:p>
    <w:p>
      <w:pPr>
        <w:spacing w:line="300" w:lineRule="auto" w:after="80"/>
        <w:ind w:firstLine="420"/>
      </w:pPr>
      <w:r>
        <w:rPr>
          <w:rFonts w:ascii="Times New Roman" w:hAnsi="Times New Roman" w:eastAsia="Noto Serif CJK SC"/>
          <w:b w:val="0"/>
          <w:i w:val="0"/>
          <w:sz w:val="21"/>
        </w:rPr>
        <w:t>只报告“最优策略没变”还不够。为了判断稳健强度，至少同时报告最优—次优利润间隔与重复抽样稳定率。设在给定风险水平下第一、第二名策略分别为π_(1)、π_(2)：</w:t>
      </w:r>
    </w:p>
    <w:p>
      <w:pPr>
        <w:spacing w:before="40" w:after="80"/>
        <w:jc w:val="center"/>
      </w:pPr>
      <w:r>
        <w:rPr>
          <w:rFonts w:ascii="Cambria Math" w:hAnsi="Cambria Math" w:eastAsia="Noto Serif CJK SC"/>
          <w:b w:val="0"/>
          <w:i w:val="0"/>
          <w:sz w:val="21"/>
        </w:rPr>
        <w:t>Δ = Π(π_(1)) - Π(π_(2)),    Δ_r = Δ / |Π(π_(1))|.   (16)</w:t>
      </w:r>
    </w:p>
    <w:p>
      <w:pPr>
        <w:spacing w:line="300" w:lineRule="auto" w:after="80"/>
        <w:ind w:firstLine="420"/>
      </w:pPr>
      <w:r>
        <w:rPr>
          <w:rFonts w:ascii="Times New Roman" w:hAnsi="Times New Roman" w:eastAsia="Noto Serif CJK SC"/>
          <w:b w:val="0"/>
          <w:i w:val="0"/>
          <w:sz w:val="21"/>
        </w:rPr>
        <w:t>若Δ很小，即使第一名数学上唯一，实际采样稍有变化也可能换策略。Bootstrap中第b次重新抽样与重优化得到π_b*，则：</w:t>
      </w:r>
    </w:p>
    <w:p>
      <w:pPr>
        <w:spacing w:before="40" w:after="80"/>
        <w:jc w:val="center"/>
      </w:pPr>
      <w:r>
        <w:rPr>
          <w:rFonts w:ascii="Cambria Math" w:hAnsi="Cambria Math" w:eastAsia="Noto Serif CJK SC"/>
          <w:b w:val="0"/>
          <w:i w:val="0"/>
          <w:sz w:val="21"/>
        </w:rPr>
        <w:t>R_π = (1/B) Σ_{b=1}^B I(π_b*=π).   (17)</w:t>
      </w:r>
    </w:p>
    <w:p>
      <w:pPr>
        <w:spacing w:line="300" w:lineRule="auto" w:after="80"/>
        <w:ind w:firstLine="420"/>
      </w:pPr>
      <w:r>
        <w:rPr>
          <w:rFonts w:ascii="Times New Roman" w:hAnsi="Times New Roman" w:eastAsia="Noto Serif CJK SC"/>
          <w:b w:val="0"/>
          <w:i w:val="0"/>
          <w:sz w:val="21"/>
        </w:rPr>
        <w:t>R_π高且Δ大，说明策略既有经济优势又有统计稳定性；R_π低或多个策略频率接近，则应把“继续抽样以缩小不确定性”作为管理建议，而不是强行给一个过度确定的方案。</w:t>
      </w:r>
    </w:p>
    <w:p>
      <w:pPr>
        <w:pStyle w:val="Heading1"/>
        <w:keepNext/>
      </w:pPr>
      <w:r>
        <w:rPr>
          <w:rFonts w:ascii="Times New Roman" w:hAnsi="Times New Roman" w:eastAsia="Noto Sans CJK SC"/>
          <w:b/>
          <w:i w:val="0"/>
          <w:color w:val="1F4E79"/>
          <w:sz w:val="30"/>
        </w:rPr>
        <w:t>7 求解方法、程序实现与关键结果规则</w:t>
      </w:r>
    </w:p>
    <w:p>
      <w:pPr>
        <w:pStyle w:val="Heading2"/>
        <w:keepNext/>
      </w:pPr>
      <w:r>
        <w:rPr>
          <w:rFonts w:ascii="Times New Roman" w:hAnsi="Times New Roman" w:eastAsia="Noto Sans CJK SC"/>
          <w:b/>
          <w:i w:val="0"/>
          <w:color w:val="2D4960"/>
          <w:sz w:val="25"/>
        </w:rPr>
        <w:t>7.1 总体求解工具</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2450"/>
        <w:gridCol w:w="2450"/>
        <w:gridCol w:w="2450"/>
        <w:gridCol w:w="2450"/>
      </w:tblGrid>
      <w:tr>
        <w:trPr>
          <w:tblHeader w:val="true"/>
        </w:trPr>
        <w:tc>
          <w:tcPr>
            <w:tcW w:type="dxa" w:w="170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任务</w:t>
            </w:r>
          </w:p>
        </w:tc>
        <w:tc>
          <w:tcPr>
            <w:tcW w:type="dxa" w:w="238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Python工具</w:t>
            </w:r>
          </w:p>
        </w:tc>
        <w:tc>
          <w:tcPr>
            <w:tcW w:type="dxa" w:w="3402"/>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作用</w:t>
            </w:r>
          </w:p>
        </w:tc>
        <w:tc>
          <w:tcPr>
            <w:tcW w:type="dxa" w:w="1928"/>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MATLAB角色</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抽样表读写/校验</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pandas, dataclasses</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6"/>
              </w:rPr>
              <w:t>统一n、k、design、quality_id</w:t>
            </w:r>
          </w:p>
        </w:tc>
        <w:tc>
          <w:tcPr>
            <w:tcW w:type="dxa" w:w="1928"/>
            <w:vAlign w:val="center"/>
            <w:tcMar>
              <w:top w:w="70" w:type="dxa"/>
              <w:start w:w="85" w:type="dxa"/>
              <w:bottom w:w="70" w:type="dxa"/>
              <w:end w:w="85" w:type="dxa"/>
            </w:tcMar>
          </w:tcPr>
          <w:p>
            <w:pPr>
              <w:jc w:val="left"/>
            </w:pPr>
            <w:r>
              <w:rPr>
                <w:rFonts w:ascii="Times New Roman" w:hAnsi="Times New Roman" w:eastAsia="Noto Serif CJK SC"/>
                <w:b w:val="0"/>
                <w:i w:val="0"/>
                <w:sz w:val="16"/>
              </w:rPr>
              <w:t>不参与</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固定样本上界</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scipy.stats.beta / binom</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6"/>
              </w:rPr>
              <w:t>精确二项反演</w:t>
            </w:r>
          </w:p>
        </w:tc>
        <w:tc>
          <w:tcPr>
            <w:tcW w:type="dxa" w:w="1928"/>
            <w:vAlign w:val="center"/>
            <w:tcMar>
              <w:top w:w="70" w:type="dxa"/>
              <w:start w:w="85" w:type="dxa"/>
              <w:bottom w:w="70" w:type="dxa"/>
              <w:end w:w="85" w:type="dxa"/>
            </w:tcMar>
          </w:tcPr>
          <w:p>
            <w:pPr>
              <w:jc w:val="left"/>
            </w:pPr>
            <w:r>
              <w:rPr>
                <w:rFonts w:ascii="Times New Roman" w:hAnsi="Times New Roman" w:eastAsia="Noto Serif CJK SC"/>
                <w:b w:val="0"/>
                <w:i w:val="0"/>
                <w:sz w:val="16"/>
              </w:rPr>
              <w:t>只画区间图</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序贯上界</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scipy.special.betainc, betaln + scipy.optimize.brentq</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6"/>
              </w:rPr>
              <w:t>复用Q1 e-process并反演</w:t>
            </w:r>
          </w:p>
        </w:tc>
        <w:tc>
          <w:tcPr>
            <w:tcW w:type="dxa" w:w="1928"/>
            <w:vAlign w:val="center"/>
            <w:tcMar>
              <w:top w:w="70" w:type="dxa"/>
              <w:start w:w="85" w:type="dxa"/>
              <w:bottom w:w="70" w:type="dxa"/>
              <w:end w:w="85" w:type="dxa"/>
            </w:tcMar>
          </w:tcPr>
          <w:p>
            <w:pPr>
              <w:jc w:val="left"/>
            </w:pPr>
            <w:r>
              <w:rPr>
                <w:rFonts w:ascii="Times New Roman" w:hAnsi="Times New Roman" w:eastAsia="Noto Serif CJK SC"/>
                <w:b w:val="0"/>
                <w:i w:val="0"/>
                <w:sz w:val="16"/>
              </w:rPr>
              <w:t>只画置信序列</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Q2评价</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NumPy/SciPy线性方程 + 原Q2 evaluator</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6"/>
              </w:rPr>
              <w:t>64策略精确评价、谱半径检查</w:t>
            </w:r>
          </w:p>
        </w:tc>
        <w:tc>
          <w:tcPr>
            <w:tcW w:type="dxa" w:w="1928"/>
            <w:vAlign w:val="center"/>
            <w:tcMar>
              <w:top w:w="70" w:type="dxa"/>
              <w:start w:w="85" w:type="dxa"/>
              <w:bottom w:w="70" w:type="dxa"/>
              <w:end w:w="85" w:type="dxa"/>
            </w:tcMar>
          </w:tcPr>
          <w:p>
            <w:pPr>
              <w:jc w:val="left"/>
            </w:pPr>
            <w:r>
              <w:rPr>
                <w:rFonts w:ascii="Times New Roman" w:hAnsi="Times New Roman" w:eastAsia="Noto Serif CJK SC"/>
                <w:b w:val="0"/>
                <w:i w:val="0"/>
                <w:sz w:val="16"/>
              </w:rPr>
              <w:t>画热图/成本图</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Q3评价</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原Q3 BOM递推 + 65536枚举</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6"/>
              </w:rPr>
              <w:t>一般结构递推，本例全局静态搜索</w:t>
            </w:r>
          </w:p>
        </w:tc>
        <w:tc>
          <w:tcPr>
            <w:tcW w:type="dxa" w:w="1928"/>
            <w:vAlign w:val="center"/>
            <w:tcMar>
              <w:top w:w="70" w:type="dxa"/>
              <w:start w:w="85" w:type="dxa"/>
              <w:bottom w:w="70" w:type="dxa"/>
              <w:end w:w="85" w:type="dxa"/>
            </w:tcMar>
          </w:tcPr>
          <w:p>
            <w:pPr>
              <w:jc w:val="left"/>
            </w:pPr>
            <w:r>
              <w:rPr>
                <w:rFonts w:ascii="Times New Roman" w:hAnsi="Times New Roman" w:eastAsia="Noto Serif CJK SC"/>
                <w:b w:val="0"/>
                <w:i w:val="0"/>
                <w:sz w:val="16"/>
              </w:rPr>
              <w:t>画BOM/策略图</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Bootstrap</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numpy.random.Generator</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6"/>
              </w:rPr>
              <w:t>复现fixed/sequential抽样</w:t>
            </w:r>
          </w:p>
        </w:tc>
        <w:tc>
          <w:tcPr>
            <w:tcW w:type="dxa" w:w="1928"/>
            <w:vAlign w:val="center"/>
            <w:tcMar>
              <w:top w:w="70" w:type="dxa"/>
              <w:start w:w="85" w:type="dxa"/>
              <w:bottom w:w="70" w:type="dxa"/>
              <w:end w:w="85" w:type="dxa"/>
            </w:tcMar>
          </w:tcPr>
          <w:p>
            <w:pPr>
              <w:jc w:val="left"/>
            </w:pPr>
            <w:r>
              <w:rPr>
                <w:rFonts w:ascii="Times New Roman" w:hAnsi="Times New Roman" w:eastAsia="Noto Serif CJK SC"/>
                <w:b w:val="0"/>
                <w:i w:val="0"/>
                <w:sz w:val="16"/>
              </w:rPr>
              <w:t>画稳定率/分布</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输出</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6"/>
              </w:rPr>
              <w:t>pandas.to_csv</w:t>
            </w:r>
          </w:p>
        </w:tc>
        <w:tc>
          <w:tcPr>
            <w:tcW w:type="dxa" w:w="3402"/>
            <w:vAlign w:val="center"/>
            <w:tcMar>
              <w:top w:w="70" w:type="dxa"/>
              <w:start w:w="85" w:type="dxa"/>
              <w:bottom w:w="70" w:type="dxa"/>
              <w:end w:w="85" w:type="dxa"/>
            </w:tcMar>
          </w:tcPr>
          <w:p>
            <w:pPr>
              <w:jc w:val="left"/>
            </w:pPr>
            <w:r>
              <w:rPr>
                <w:rFonts w:ascii="Times New Roman" w:hAnsi="Times New Roman" w:eastAsia="Noto Serif CJK SC"/>
                <w:b w:val="0"/>
                <w:i w:val="0"/>
                <w:sz w:val="16"/>
              </w:rPr>
              <w:t>所有结果与绘图解耦</w:t>
            </w:r>
          </w:p>
        </w:tc>
        <w:tc>
          <w:tcPr>
            <w:tcW w:type="dxa" w:w="1928"/>
            <w:vAlign w:val="center"/>
            <w:tcMar>
              <w:top w:w="70" w:type="dxa"/>
              <w:start w:w="85" w:type="dxa"/>
              <w:bottom w:w="70" w:type="dxa"/>
              <w:end w:w="85" w:type="dxa"/>
            </w:tcMar>
          </w:tcPr>
          <w:p>
            <w:pPr>
              <w:jc w:val="left"/>
            </w:pPr>
            <w:r>
              <w:rPr>
                <w:rFonts w:ascii="Times New Roman" w:hAnsi="Times New Roman" w:eastAsia="Noto Serif CJK SC"/>
                <w:b w:val="0"/>
                <w:i w:val="0"/>
                <w:sz w:val="16"/>
              </w:rPr>
              <w:t>readtable读取CSV</w:t>
            </w:r>
          </w:p>
        </w:tc>
      </w:tr>
    </w:tbl>
    <w:p>
      <w:pPr>
        <w:pStyle w:val="Heading2"/>
        <w:keepNext/>
      </w:pPr>
      <w:r>
        <w:rPr>
          <w:rFonts w:ascii="Times New Roman" w:hAnsi="Times New Roman" w:eastAsia="Noto Sans CJK SC"/>
          <w:b/>
          <w:i w:val="0"/>
          <w:color w:val="2D4960"/>
          <w:sz w:val="25"/>
        </w:rPr>
        <w:t>7.2 问题二重求解步骤</w:t>
      </w:r>
    </w:p>
    <w:p>
      <w:pPr>
        <w:pStyle w:val="ListBullet"/>
        <w:spacing w:after="50"/>
        <w:ind w:left="340" w:hanging="142"/>
      </w:pPr>
      <w:r>
        <w:rPr>
          <w:rFonts w:ascii="Times New Roman" w:hAnsi="Times New Roman" w:eastAsia="Noto Serif CJK SC"/>
          <w:b w:val="0"/>
          <w:i w:val="0"/>
          <w:sz w:val="20"/>
        </w:rPr>
        <w:t>逐情形读取表1成本，并从sampling_records中匹配p1、p2、p_f对应的真实n、k和sampling_design。</w:t>
      </w:r>
    </w:p>
    <w:p>
      <w:pPr>
        <w:pStyle w:val="ListBullet"/>
        <w:spacing w:after="50"/>
        <w:ind w:left="340" w:hanging="142"/>
      </w:pPr>
      <w:r>
        <w:rPr>
          <w:rFonts w:ascii="Times New Roman" w:hAnsi="Times New Roman" w:eastAsia="Noto Serif CJK SC"/>
          <w:b w:val="0"/>
          <w:i w:val="0"/>
          <w:sz w:val="20"/>
        </w:rPr>
        <w:t>计算p_hat、90%同时上界向量U_0.90、95%同时上界向量U_0.95。</w:t>
      </w:r>
    </w:p>
    <w:p>
      <w:pPr>
        <w:pStyle w:val="ListBullet"/>
        <w:spacing w:after="50"/>
        <w:ind w:left="340" w:hanging="142"/>
      </w:pPr>
      <w:r>
        <w:rPr>
          <w:rFonts w:ascii="Times New Roman" w:hAnsi="Times New Roman" w:eastAsia="Noto Serif CJK SC"/>
          <w:b w:val="0"/>
          <w:i w:val="0"/>
          <w:sz w:val="20"/>
        </w:rPr>
        <w:t>分别在p_hat、U_0.90、U_0.95下生成全部64个策略，剔除不可吸收策略，调用同一Bellman评价器计算V和Π。</w:t>
      </w:r>
    </w:p>
    <w:p>
      <w:pPr>
        <w:pStyle w:val="ListBullet"/>
        <w:spacing w:after="50"/>
        <w:ind w:left="340" w:hanging="142"/>
      </w:pPr>
      <w:r>
        <w:rPr>
          <w:rFonts w:ascii="Times New Roman" w:hAnsi="Times New Roman" w:eastAsia="Noto Serif CJK SC"/>
          <w:b w:val="0"/>
          <w:i w:val="0"/>
          <w:sz w:val="20"/>
        </w:rPr>
        <w:t>每个风险水平都重新排序，不把名义最优策略固定住；保存Top-k、成本分解、Δ与决策位。</w:t>
      </w:r>
    </w:p>
    <w:p>
      <w:pPr>
        <w:pStyle w:val="ListBullet"/>
        <w:spacing w:after="50"/>
        <w:ind w:left="340" w:hanging="142"/>
      </w:pPr>
      <w:r>
        <w:rPr>
          <w:rFonts w:ascii="Times New Roman" w:hAnsi="Times New Roman" w:eastAsia="Noto Serif CJK SC"/>
          <w:b w:val="0"/>
          <w:i w:val="0"/>
          <w:sz w:val="20"/>
        </w:rPr>
        <w:t>检查p=p_hat时结果与问题二原程序完全一致，作为回归测试。</w:t>
      </w:r>
    </w:p>
    <w:p>
      <w:pPr>
        <w:pStyle w:val="Heading2"/>
        <w:keepNext/>
      </w:pPr>
      <w:r>
        <w:rPr>
          <w:rFonts w:ascii="Times New Roman" w:hAnsi="Times New Roman" w:eastAsia="Noto Sans CJK SC"/>
          <w:b/>
          <w:i w:val="0"/>
          <w:color w:val="2D4960"/>
          <w:sz w:val="25"/>
        </w:rPr>
        <w:t>7.3 问题三重求解步骤</w:t>
      </w:r>
    </w:p>
    <w:p>
      <w:pPr>
        <w:pStyle w:val="ListBullet"/>
        <w:spacing w:after="50"/>
        <w:ind w:left="340" w:hanging="142"/>
      </w:pPr>
      <w:r>
        <w:rPr>
          <w:rFonts w:ascii="Times New Roman" w:hAnsi="Times New Roman" w:eastAsia="Noto Serif CJK SC"/>
          <w:b w:val="0"/>
          <w:i w:val="0"/>
          <w:sz w:val="20"/>
        </w:rPr>
        <w:t>读取8个raw零件抽样记录和H1/H2/H3/F四个process抽样记录；先做input_certified口径检查。</w:t>
      </w:r>
    </w:p>
    <w:p>
      <w:pPr>
        <w:pStyle w:val="ListBullet"/>
        <w:spacing w:after="50"/>
        <w:ind w:left="340" w:hanging="142"/>
      </w:pPr>
      <w:r>
        <w:rPr>
          <w:rFonts w:ascii="Times New Roman" w:hAnsi="Times New Roman" w:eastAsia="Noto Serif CJK SC"/>
          <w:b w:val="0"/>
          <w:i w:val="0"/>
          <w:sz w:val="20"/>
        </w:rPr>
        <w:t>生成12维p_hat、U_0.90、U_0.95。</w:t>
      </w:r>
    </w:p>
    <w:p>
      <w:pPr>
        <w:pStyle w:val="ListBullet"/>
        <w:spacing w:after="50"/>
        <w:ind w:left="340" w:hanging="142"/>
      </w:pPr>
      <w:r>
        <w:rPr>
          <w:rFonts w:ascii="Times New Roman" w:hAnsi="Times New Roman" w:eastAsia="Noto Serif CJK SC"/>
          <w:b w:val="0"/>
          <w:i w:val="0"/>
          <w:sz w:val="20"/>
        </w:rPr>
        <w:t>在三个参数向量下分别运行BOM后序递推；对题目实例同时运行65536静态策略平坦枚举。</w:t>
      </w:r>
    </w:p>
    <w:p>
      <w:pPr>
        <w:pStyle w:val="ListBullet"/>
        <w:spacing w:after="50"/>
        <w:ind w:left="340" w:hanging="142"/>
      </w:pPr>
      <w:r>
        <w:rPr>
          <w:rFonts w:ascii="Times New Roman" w:hAnsi="Times New Roman" w:eastAsia="Noto Serif CJK SC"/>
          <w:b w:val="0"/>
          <w:i w:val="0"/>
          <w:sz w:val="20"/>
        </w:rPr>
        <w:t>要求递推与枚举最优目标值在数值容差内一致；若出现并列最优，报告策略集合而不是强行选唯一。</w:t>
      </w:r>
    </w:p>
    <w:p>
      <w:pPr>
        <w:pStyle w:val="ListBullet"/>
        <w:spacing w:after="50"/>
        <w:ind w:left="340" w:hanging="142"/>
      </w:pPr>
      <w:r>
        <w:rPr>
          <w:rFonts w:ascii="Times New Roman" w:hAnsi="Times New Roman" w:eastAsia="Noto Serif CJK SC"/>
          <w:b w:val="0"/>
          <w:i w:val="0"/>
          <w:sz w:val="20"/>
        </w:rPr>
        <w:t>保存名义与稳健策略的16位编码、各节点检测/拆解状态、V_F、Π、Top-k间隔与成本构成。</w:t>
      </w:r>
    </w:p>
    <w:p>
      <w:pPr>
        <w:pStyle w:val="Heading2"/>
        <w:keepNext/>
      </w:pPr>
      <w:r>
        <w:rPr>
          <w:rFonts w:ascii="Times New Roman" w:hAnsi="Times New Roman" w:eastAsia="Noto Sans CJK SC"/>
          <w:b/>
          <w:i w:val="0"/>
          <w:color w:val="2D4960"/>
          <w:sz w:val="25"/>
        </w:rPr>
        <w:t>7.4 Bootstrap 稳定性求解</w:t>
      </w:r>
    </w:p>
    <w:p>
      <w:pPr>
        <w:spacing w:line="300" w:lineRule="auto" w:after="80"/>
        <w:ind w:firstLine="420"/>
      </w:pPr>
      <w:r>
        <w:rPr>
          <w:rFonts w:ascii="Times New Roman" w:hAnsi="Times New Roman" w:eastAsia="Noto Serif CJK SC"/>
          <w:b w:val="0"/>
          <w:i w:val="0"/>
          <w:sz w:val="21"/>
        </w:rPr>
        <w:t>Bootstrap只用于检验，重复次数B不是题目数据。建议从一个可承受的初始B开始，再依次翻倍B、2B、4B，直到主要策略稳定率、均值利润及其Monte Carlo标准误不再发生实质变化。这样“模拟多少次”由数值收敛决定，而不是人为写死。Q3每轮通过分层递推求最优；只对名义、90%、95%以及少量代表性bootstrap场景再执行65536全枚举核验，避免把验证成本无限放大。</w:t>
      </w:r>
    </w:p>
    <w:p>
      <w:pPr>
        <w:spacing w:before="40" w:after="80"/>
        <w:jc w:val="center"/>
      </w:pPr>
      <w:r>
        <w:rPr>
          <w:rFonts w:ascii="Cambria Math" w:hAnsi="Cambria Math" w:eastAsia="Noto Serif CJK SC"/>
          <w:b w:val="0"/>
          <w:i w:val="0"/>
          <w:sz w:val="21"/>
        </w:rPr>
        <w:t>SE(R_π_hat) = sqrt( R_π_hat(1-R_π_hat) / B ).   (18)</w:t>
      </w:r>
    </w:p>
    <w:p>
      <w:pPr>
        <w:pStyle w:val="Heading2"/>
        <w:keepNext/>
      </w:pPr>
      <w:r>
        <w:rPr>
          <w:rFonts w:ascii="Times New Roman" w:hAnsi="Times New Roman" w:eastAsia="Noto Sans CJK SC"/>
          <w:b/>
          <w:i w:val="0"/>
          <w:color w:val="2D4960"/>
          <w:sz w:val="25"/>
        </w:rPr>
        <w:t>7.5 目前可以给出的“关键结果”和不能凭空给出的结果</w:t>
      </w:r>
    </w:p>
    <w:tbl>
      <w:tblPr>
        <w:tblW w:type="auto" w:w="0"/>
        <w:jc w:val="center"/>
        <w:tblLook w:firstColumn="1" w:firstRow="1" w:lastColumn="0" w:lastRow="0" w:noHBand="0" w:noVBand="1" w:val="04A0"/>
        <w:tblBorders>
          <w:top w:val="single" w:sz="8" w:space="0" w:color="7EA6C7"/>
          <w:left w:val="single" w:sz="8" w:space="0" w:color="7EA6C7"/>
          <w:bottom w:val="single" w:sz="8" w:space="0" w:color="7EA6C7"/>
          <w:right w:val="single" w:sz="8" w:space="0" w:color="7EA6C7"/>
        </w:tblBorders>
      </w:tblPr>
      <w:tblGrid>
        <w:gridCol w:w="9802"/>
      </w:tblGrid>
      <w:tr>
        <w:trPr>
          <w:tblHeader w:val="true"/>
        </w:trPr>
        <w:tc>
          <w:tcPr>
            <w:tcW w:type="dxa" w:w="9802"/>
            <w:shd w:fill="FDECEC"/>
            <w:tcMar>
              <w:top w:w="110" w:type="dxa"/>
              <w:start w:w="150" w:type="dxa"/>
              <w:bottom w:w="110" w:type="dxa"/>
              <w:end w:w="150" w:type="dxa"/>
            </w:tcMar>
          </w:tcPr>
          <w:p>
            <w:r>
              <w:rPr>
                <w:rFonts w:ascii="Times New Roman" w:hAnsi="Times New Roman" w:eastAsia="Noto Sans CJK SC"/>
                <w:b/>
                <w:i w:val="0"/>
                <w:color w:val="215074"/>
                <w:sz w:val="20"/>
              </w:rPr>
              <w:t>禁止伪造的Q4结果：</w:t>
            </w:r>
            <w:r>
              <w:rPr>
                <w:rFonts w:ascii="Times New Roman" w:hAnsi="Times New Roman" w:eastAsia="Noto Serif CJK SC"/>
                <w:b w:val="0"/>
                <w:i w:val="0"/>
                <w:sz w:val="20"/>
              </w:rPr>
              <w:t>在没有实际sampling_records（n_j,k_j,design）之前，不能计算唯一的90%/95%置信上界，因此也不能声称某个Q4稳健策略或稳健利润是最终数值。任何把n=10000、n=100、Beta(1,1)当成题目事实的数值都应明确降级为“设计情景/方法演示”。</w:t>
            </w:r>
          </w:p>
        </w:tc>
      </w:tr>
    </w:tbl>
    <w:p>
      <w:pPr>
        <w:spacing w:after="0"/>
      </w:pPr>
    </w:p>
    <w:p>
      <w:pPr>
        <w:spacing w:line="300" w:lineRule="auto" w:after="80"/>
        <w:ind w:firstLine="420"/>
      </w:pPr>
      <w:r>
        <w:rPr>
          <w:rFonts w:ascii="Times New Roman" w:hAnsi="Times New Roman" w:eastAsia="Noto Serif CJK SC"/>
          <w:b w:val="0"/>
          <w:i w:val="0"/>
          <w:sz w:val="21"/>
        </w:rPr>
        <w:t>但可以、也应该先做两类回归结果：第一，当把不确定集合退化为单点p_hat时，Q2求解器应复现前一问六种情形的名义最优利润（约18.84、12.00、16.47、14.75、14.96、21.68元/订单，按既定Q2口径）；第二，Q3在表2名义点估计下应复现既定静态最优策略1111111111111101，单位订单期望成本约139.7778元、利润约60.2222元。它们只用于验证“Q4外层没有改坏Q2/Q3内层”，不能冒充抽样不确定性下的新答案。</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3267"/>
        <w:gridCol w:w="3267"/>
        <w:gridCol w:w="3267"/>
      </w:tblGrid>
      <w:tr>
        <w:trPr>
          <w:tblHeader w:val="true"/>
        </w:trPr>
        <w:tc>
          <w:tcPr>
            <w:tcW w:type="dxa" w:w="2154"/>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输出表</w:t>
            </w:r>
          </w:p>
        </w:tc>
        <w:tc>
          <w:tcPr>
            <w:tcW w:type="dxa" w:w="2381"/>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当前状态</w:t>
            </w:r>
          </w:p>
        </w:tc>
        <w:tc>
          <w:tcPr>
            <w:tcW w:type="dxa" w:w="4932"/>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比赛现场填充内容</w:t>
            </w:r>
          </w:p>
        </w:tc>
      </w:tr>
      <w:tr>
        <w:tc>
          <w:tcPr>
            <w:tcW w:type="dxa" w:w="2154"/>
            <w:vAlign w:val="center"/>
            <w:tcMar>
              <w:top w:w="70" w:type="dxa"/>
              <w:start w:w="85" w:type="dxa"/>
              <w:bottom w:w="70" w:type="dxa"/>
              <w:end w:w="85" w:type="dxa"/>
            </w:tcMar>
          </w:tcPr>
          <w:p>
            <w:pPr>
              <w:jc w:val="center"/>
            </w:pPr>
            <w:r>
              <w:rPr>
                <w:rFonts w:ascii="Times New Roman" w:hAnsi="Times New Roman" w:eastAsia="Noto Serif CJK SC"/>
                <w:b w:val="0"/>
                <w:i w:val="0"/>
                <w:sz w:val="17"/>
              </w:rPr>
              <w:t>Q4-Q2稳健结果表</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7"/>
              </w:rPr>
              <w:t>框架可直接生成</w:t>
            </w:r>
          </w:p>
        </w:tc>
        <w:tc>
          <w:tcPr>
            <w:tcW w:type="dxa" w:w="4932"/>
            <w:vAlign w:val="center"/>
            <w:tcMar>
              <w:top w:w="70" w:type="dxa"/>
              <w:start w:w="85" w:type="dxa"/>
              <w:bottom w:w="70" w:type="dxa"/>
              <w:end w:w="85" w:type="dxa"/>
            </w:tcMar>
          </w:tcPr>
          <w:p>
            <w:pPr>
              <w:jc w:val="left"/>
            </w:pPr>
            <w:r>
              <w:rPr>
                <w:rFonts w:ascii="Times New Roman" w:hAnsi="Times New Roman" w:eastAsia="Noto Serif CJK SC"/>
                <w:b w:val="0"/>
                <w:i w:val="0"/>
                <w:sz w:val="17"/>
              </w:rPr>
              <w:t>每种情形：名义/90%/95%策略、利润、Δ、策略是否切换</w:t>
            </w:r>
          </w:p>
        </w:tc>
      </w:tr>
      <w:tr>
        <w:tc>
          <w:tcPr>
            <w:tcW w:type="dxa" w:w="2154"/>
            <w:vAlign w:val="center"/>
            <w:tcMar>
              <w:top w:w="70" w:type="dxa"/>
              <w:start w:w="85" w:type="dxa"/>
              <w:bottom w:w="70" w:type="dxa"/>
              <w:end w:w="85" w:type="dxa"/>
            </w:tcMar>
          </w:tcPr>
          <w:p>
            <w:pPr>
              <w:jc w:val="center"/>
            </w:pPr>
            <w:r>
              <w:rPr>
                <w:rFonts w:ascii="Times New Roman" w:hAnsi="Times New Roman" w:eastAsia="Noto Serif CJK SC"/>
                <w:b w:val="0"/>
                <w:i w:val="0"/>
                <w:sz w:val="17"/>
              </w:rPr>
              <w:t>Q4-Q3稳健结果表</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7"/>
              </w:rPr>
              <w:t>框架可直接生成</w:t>
            </w:r>
          </w:p>
        </w:tc>
        <w:tc>
          <w:tcPr>
            <w:tcW w:type="dxa" w:w="4932"/>
            <w:vAlign w:val="center"/>
            <w:tcMar>
              <w:top w:w="70" w:type="dxa"/>
              <w:start w:w="85" w:type="dxa"/>
              <w:bottom w:w="70" w:type="dxa"/>
              <w:end w:w="85" w:type="dxa"/>
            </w:tcMar>
          </w:tcPr>
          <w:p>
            <w:pPr>
              <w:jc w:val="left"/>
            </w:pPr>
            <w:r>
              <w:rPr>
                <w:rFonts w:ascii="Times New Roman" w:hAnsi="Times New Roman" w:eastAsia="Noto Serif CJK SC"/>
                <w:b w:val="0"/>
                <w:i w:val="0"/>
                <w:sz w:val="17"/>
              </w:rPr>
              <w:t>16位名义/90%/95%策略、V、Π、Top-k差距</w:t>
            </w:r>
          </w:p>
        </w:tc>
      </w:tr>
      <w:tr>
        <w:tc>
          <w:tcPr>
            <w:tcW w:type="dxa" w:w="2154"/>
            <w:vAlign w:val="center"/>
            <w:tcMar>
              <w:top w:w="70" w:type="dxa"/>
              <w:start w:w="85" w:type="dxa"/>
              <w:bottom w:w="70" w:type="dxa"/>
              <w:end w:w="85" w:type="dxa"/>
            </w:tcMar>
          </w:tcPr>
          <w:p>
            <w:pPr>
              <w:jc w:val="center"/>
            </w:pPr>
            <w:r>
              <w:rPr>
                <w:rFonts w:ascii="Times New Roman" w:hAnsi="Times New Roman" w:eastAsia="Noto Serif CJK SC"/>
                <w:b w:val="0"/>
                <w:i w:val="0"/>
                <w:sz w:val="17"/>
              </w:rPr>
              <w:t>参数区间表</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7"/>
              </w:rPr>
              <w:t>需n,k,design</w:t>
            </w:r>
          </w:p>
        </w:tc>
        <w:tc>
          <w:tcPr>
            <w:tcW w:type="dxa" w:w="4932"/>
            <w:vAlign w:val="center"/>
            <w:tcMar>
              <w:top w:w="70" w:type="dxa"/>
              <w:start w:w="85" w:type="dxa"/>
              <w:bottom w:w="70" w:type="dxa"/>
              <w:end w:w="85" w:type="dxa"/>
            </w:tcMar>
          </w:tcPr>
          <w:p>
            <w:pPr>
              <w:jc w:val="left"/>
            </w:pPr>
            <w:r>
              <w:rPr>
                <w:rFonts w:ascii="Times New Roman" w:hAnsi="Times New Roman" w:eastAsia="Noto Serif CJK SC"/>
                <w:b w:val="0"/>
                <w:i w:val="0"/>
                <w:sz w:val="17"/>
              </w:rPr>
              <w:t>每个quality_id的p_hat、componentwise U、simultaneous U</w:t>
            </w:r>
          </w:p>
        </w:tc>
      </w:tr>
      <w:tr>
        <w:tc>
          <w:tcPr>
            <w:tcW w:type="dxa" w:w="2154"/>
            <w:vAlign w:val="center"/>
            <w:tcMar>
              <w:top w:w="70" w:type="dxa"/>
              <w:start w:w="85" w:type="dxa"/>
              <w:bottom w:w="70" w:type="dxa"/>
              <w:end w:w="85" w:type="dxa"/>
            </w:tcMar>
          </w:tcPr>
          <w:p>
            <w:pPr>
              <w:jc w:val="center"/>
            </w:pPr>
            <w:r>
              <w:rPr>
                <w:rFonts w:ascii="Times New Roman" w:hAnsi="Times New Roman" w:eastAsia="Noto Serif CJK SC"/>
                <w:b w:val="0"/>
                <w:i w:val="0"/>
                <w:sz w:val="17"/>
              </w:rPr>
              <w:t>Bootstrap稳定性表</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7"/>
              </w:rPr>
              <w:t>需n,k,design</w:t>
            </w:r>
          </w:p>
        </w:tc>
        <w:tc>
          <w:tcPr>
            <w:tcW w:type="dxa" w:w="4932"/>
            <w:vAlign w:val="center"/>
            <w:tcMar>
              <w:top w:w="70" w:type="dxa"/>
              <w:start w:w="85" w:type="dxa"/>
              <w:bottom w:w="70" w:type="dxa"/>
              <w:end w:w="85" w:type="dxa"/>
            </w:tcMar>
          </w:tcPr>
          <w:p>
            <w:pPr>
              <w:jc w:val="left"/>
            </w:pPr>
            <w:r>
              <w:rPr>
                <w:rFonts w:ascii="Times New Roman" w:hAnsi="Times New Roman" w:eastAsia="Noto Serif CJK SC"/>
                <w:b w:val="0"/>
                <w:i w:val="0"/>
                <w:sz w:val="17"/>
              </w:rPr>
              <w:t>策略频率Rπ、Monte Carlo SE、利润分位信息</w:t>
            </w:r>
          </w:p>
        </w:tc>
      </w:tr>
      <w:tr>
        <w:tc>
          <w:tcPr>
            <w:tcW w:type="dxa" w:w="2154"/>
            <w:vAlign w:val="center"/>
            <w:tcMar>
              <w:top w:w="70" w:type="dxa"/>
              <w:start w:w="85" w:type="dxa"/>
              <w:bottom w:w="70" w:type="dxa"/>
              <w:end w:w="85" w:type="dxa"/>
            </w:tcMar>
          </w:tcPr>
          <w:p>
            <w:pPr>
              <w:jc w:val="center"/>
            </w:pPr>
            <w:r>
              <w:rPr>
                <w:rFonts w:ascii="Times New Roman" w:hAnsi="Times New Roman" w:eastAsia="Noto Serif CJK SC"/>
                <w:b w:val="0"/>
                <w:i w:val="0"/>
                <w:sz w:val="17"/>
              </w:rPr>
              <w:t>信息充分性表</w:t>
            </w:r>
          </w:p>
        </w:tc>
        <w:tc>
          <w:tcPr>
            <w:tcW w:type="dxa" w:w="2381"/>
            <w:vAlign w:val="center"/>
            <w:tcMar>
              <w:top w:w="70" w:type="dxa"/>
              <w:start w:w="85" w:type="dxa"/>
              <w:bottom w:w="70" w:type="dxa"/>
              <w:end w:w="85" w:type="dxa"/>
            </w:tcMar>
          </w:tcPr>
          <w:p>
            <w:pPr>
              <w:jc w:val="left"/>
            </w:pPr>
            <w:r>
              <w:rPr>
                <w:rFonts w:ascii="Times New Roman" w:hAnsi="Times New Roman" w:eastAsia="Noto Serif CJK SC"/>
                <w:b w:val="0"/>
                <w:i w:val="0"/>
                <w:sz w:val="17"/>
              </w:rPr>
              <w:t>需实际/设计样本</w:t>
            </w:r>
          </w:p>
        </w:tc>
        <w:tc>
          <w:tcPr>
            <w:tcW w:type="dxa" w:w="4932"/>
            <w:vAlign w:val="center"/>
            <w:tcMar>
              <w:top w:w="70" w:type="dxa"/>
              <w:start w:w="85" w:type="dxa"/>
              <w:bottom w:w="70" w:type="dxa"/>
              <w:end w:w="85" w:type="dxa"/>
            </w:tcMar>
          </w:tcPr>
          <w:p>
            <w:pPr>
              <w:jc w:val="left"/>
            </w:pPr>
            <w:r>
              <w:rPr>
                <w:rFonts w:ascii="Times New Roman" w:hAnsi="Times New Roman" w:eastAsia="Noto Serif CJK SC"/>
                <w:b w:val="0"/>
                <w:i w:val="0"/>
                <w:sz w:val="17"/>
              </w:rPr>
              <w:t>新增抽样后区间宽度与策略是否继续切换</w:t>
            </w:r>
          </w:p>
        </w:tc>
      </w:tr>
    </w:tbl>
    <w:p>
      <w:pPr>
        <w:pStyle w:val="Heading2"/>
        <w:keepNext/>
      </w:pPr>
      <w:r>
        <w:rPr>
          <w:rFonts w:ascii="Times New Roman" w:hAnsi="Times New Roman" w:eastAsia="Noto Sans CJK SC"/>
          <w:b/>
          <w:i w:val="0"/>
          <w:color w:val="2D4960"/>
          <w:sz w:val="25"/>
        </w:rPr>
        <w:t>7.6 关键Python接口（可直接接到Q2/Q3项目）</w:t>
      </w:r>
    </w:p>
    <w:tbl>
      <w:tblPr>
        <w:tblW w:type="auto" w:w="0"/>
        <w:tblLook w:firstColumn="1" w:firstRow="1" w:lastColumn="0" w:lastRow="0" w:noHBand="0" w:noVBand="1" w:val="04A0"/>
        <w:tblBorders>
          <w:top w:val="single" w:sz="5" w:space="0" w:color="CBD5E1"/>
          <w:left w:val="single" w:sz="5" w:space="0" w:color="CBD5E1"/>
          <w:bottom w:val="single" w:sz="5" w:space="0" w:color="CBD5E1"/>
          <w:right w:val="single" w:sz="5" w:space="0" w:color="CBD5E1"/>
        </w:tblBorders>
      </w:tblPr>
      <w:tblGrid>
        <w:gridCol w:w="9802"/>
      </w:tblGrid>
      <w:tr>
        <w:trPr>
          <w:tblHeader w:val="true"/>
        </w:trPr>
        <w:tc>
          <w:tcPr>
            <w:tcW w:type="dxa" w:w="9802"/>
            <w:shd w:fill="F7F9FB"/>
            <w:tcMar>
              <w:top w:w="100" w:type="dxa"/>
              <w:start w:w="120" w:type="dxa"/>
              <w:bottom w:w="100" w:type="dxa"/>
              <w:end w:w="120" w:type="dxa"/>
            </w:tcMar>
          </w:tcPr>
          <w:p>
            <w:pPr>
              <w:spacing w:line="240" w:lineRule="auto" w:after="0"/>
              <w:ind w:firstLine="0"/>
            </w:pPr>
            <w:r>
              <w:rPr>
                <w:rFonts w:ascii="DejaVu Sans Mono" w:hAnsi="DejaVu Sans Mono" w:eastAsia="Noto Sans Mono CJK SC"/>
                <w:b w:val="0"/>
                <w:i w:val="0"/>
                <w:sz w:val="15"/>
              </w:rPr>
              <w:t>from dataclasses import dataclass</w:t>
            </w:r>
            <w:r>
              <w:br/>
            </w:r>
            <w:r>
              <w:rPr>
                <w:rFonts w:ascii="DejaVu Sans Mono" w:hAnsi="DejaVu Sans Mono" w:eastAsia="Noto Sans Mono CJK SC"/>
                <w:b w:val="0"/>
                <w:i w:val="0"/>
                <w:sz w:val="15"/>
              </w:rPr>
              <w:t>from scipy.stats import beta</w:t>
            </w:r>
            <w:r>
              <w:br/>
            </w:r>
            <w:r>
              <w:rPr>
                <w:rFonts w:ascii="DejaVu Sans Mono" w:hAnsi="DejaVu Sans Mono" w:eastAsia="Noto Sans Mono CJK SC"/>
                <w:b w:val="0"/>
                <w:i w:val="0"/>
                <w:sz w:val="15"/>
              </w:rPr>
              <w:t>from scipy.optimize import brentq</w:t>
            </w:r>
            <w:r>
              <w:br/>
            </w:r>
            <w:r>
              <w:rPr>
                <w:rFonts w:ascii="DejaVu Sans Mono" w:hAnsi="DejaVu Sans Mono" w:eastAsia="Noto Sans Mono CJK SC"/>
                <w:b w:val="0"/>
                <w:i w:val="0"/>
                <w:sz w:val="15"/>
              </w:rPr>
              <w:t>import numpy as np</w:t>
            </w:r>
            <w:r>
              <w:br/>
            </w:r>
            <w:r>
              <w:rPr>
                <w:rFonts w:ascii="DejaVu Sans Mono" w:hAnsi="DejaVu Sans Mono" w:eastAsia="Noto Sans Mono CJK SC"/>
                <w:b w:val="0"/>
                <w:i w:val="0"/>
                <w:sz w:val="15"/>
              </w:rPr>
            </w:r>
            <w:r>
              <w:br/>
            </w:r>
            <w:r>
              <w:rPr>
                <w:rFonts w:ascii="DejaVu Sans Mono" w:hAnsi="DejaVu Sans Mono" w:eastAsia="Noto Sans Mono CJK SC"/>
                <w:b w:val="0"/>
                <w:i w:val="0"/>
                <w:sz w:val="15"/>
              </w:rPr>
              <w:t>@dataclass(frozen=True)</w:t>
            </w:r>
            <w:r>
              <w:br/>
            </w:r>
            <w:r>
              <w:rPr>
                <w:rFonts w:ascii="DejaVu Sans Mono" w:hAnsi="DejaVu Sans Mono" w:eastAsia="Noto Sans Mono CJK SC"/>
                <w:b w:val="0"/>
                <w:i w:val="0"/>
                <w:sz w:val="15"/>
              </w:rPr>
              <w:t>class SampleRecord:</w:t>
            </w:r>
            <w:r>
              <w:br/>
            </w:r>
            <w:r>
              <w:rPr>
                <w:rFonts w:ascii="DejaVu Sans Mono" w:hAnsi="DejaVu Sans Mono" w:eastAsia="Noto Sans Mono CJK SC"/>
                <w:b w:val="0"/>
                <w:i w:val="0"/>
                <w:sz w:val="15"/>
              </w:rPr>
              <w:t xml:space="preserve">    quality_id: str</w:t>
            </w:r>
            <w:r>
              <w:br/>
            </w:r>
            <w:r>
              <w:rPr>
                <w:rFonts w:ascii="DejaVu Sans Mono" w:hAnsi="DejaVu Sans Mono" w:eastAsia="Noto Sans Mono CJK SC"/>
                <w:b w:val="0"/>
                <w:i w:val="0"/>
                <w:sz w:val="15"/>
              </w:rPr>
              <w:t xml:space="preserve">    n: int</w:t>
            </w:r>
            <w:r>
              <w:br/>
            </w:r>
            <w:r>
              <w:rPr>
                <w:rFonts w:ascii="DejaVu Sans Mono" w:hAnsi="DejaVu Sans Mono" w:eastAsia="Noto Sans Mono CJK SC"/>
                <w:b w:val="0"/>
                <w:i w:val="0"/>
                <w:sz w:val="15"/>
              </w:rPr>
              <w:t xml:space="preserve">    k: int</w:t>
            </w:r>
            <w:r>
              <w:br/>
            </w:r>
            <w:r>
              <w:rPr>
                <w:rFonts w:ascii="DejaVu Sans Mono" w:hAnsi="DejaVu Sans Mono" w:eastAsia="Noto Sans Mono CJK SC"/>
                <w:b w:val="0"/>
                <w:i w:val="0"/>
                <w:sz w:val="15"/>
              </w:rPr>
              <w:t xml:space="preserve">    design: str          # "fixed" or "sequential"</w:t>
            </w:r>
            <w:r>
              <w:br/>
            </w:r>
            <w:r>
              <w:rPr>
                <w:rFonts w:ascii="DejaVu Sans Mono" w:hAnsi="DejaVu Sans Mono" w:eastAsia="Noto Sans Mono CJK SC"/>
                <w:b w:val="0"/>
                <w:i w:val="0"/>
                <w:sz w:val="15"/>
              </w:rPr>
              <w:t xml:space="preserve">    input_certified: bool = True</w:t>
            </w:r>
            <w:r>
              <w:br/>
            </w:r>
            <w:r>
              <w:rPr>
                <w:rFonts w:ascii="DejaVu Sans Mono" w:hAnsi="DejaVu Sans Mono" w:eastAsia="Noto Sans Mono CJK SC"/>
                <w:b w:val="0"/>
                <w:i w:val="0"/>
                <w:sz w:val="15"/>
              </w:rPr>
            </w:r>
            <w:r>
              <w:br/>
            </w:r>
            <w:r>
              <w:rPr>
                <w:rFonts w:ascii="DejaVu Sans Mono" w:hAnsi="DejaVu Sans Mono" w:eastAsia="Noto Sans Mono CJK SC"/>
                <w:b w:val="0"/>
                <w:i w:val="0"/>
                <w:sz w:val="15"/>
              </w:rPr>
            </w:r>
            <w:r>
              <w:br/>
            </w:r>
            <w:r>
              <w:rPr>
                <w:rFonts w:ascii="DejaVu Sans Mono" w:hAnsi="DejaVu Sans Mono" w:eastAsia="Noto Sans Mono CJK SC"/>
                <w:b w:val="0"/>
                <w:i w:val="0"/>
                <w:sz w:val="15"/>
              </w:rPr>
              <w:t>def cp_upper(k: int, n: int, confidence: float) -&gt; float:</w:t>
            </w:r>
            <w:r>
              <w:br/>
            </w:r>
            <w:r>
              <w:rPr>
                <w:rFonts w:ascii="DejaVu Sans Mono" w:hAnsi="DejaVu Sans Mono" w:eastAsia="Noto Sans Mono CJK SC"/>
                <w:b w:val="0"/>
                <w:i w:val="0"/>
                <w:sz w:val="15"/>
              </w:rPr>
              <w:t xml:space="preserve">    if k == n:</w:t>
            </w:r>
            <w:r>
              <w:br/>
            </w:r>
            <w:r>
              <w:rPr>
                <w:rFonts w:ascii="DejaVu Sans Mono" w:hAnsi="DejaVu Sans Mono" w:eastAsia="Noto Sans Mono CJK SC"/>
                <w:b w:val="0"/>
                <w:i w:val="0"/>
                <w:sz w:val="15"/>
              </w:rPr>
              <w:t xml:space="preserve">        return 1.0</w:t>
            </w:r>
            <w:r>
              <w:br/>
            </w:r>
            <w:r>
              <w:rPr>
                <w:rFonts w:ascii="DejaVu Sans Mono" w:hAnsi="DejaVu Sans Mono" w:eastAsia="Noto Sans Mono CJK SC"/>
                <w:b w:val="0"/>
                <w:i w:val="0"/>
                <w:sz w:val="15"/>
              </w:rPr>
              <w:t xml:space="preserve">    return float(beta.ppf(confidence, k + 1, n - k))</w:t>
            </w:r>
            <w:r>
              <w:br/>
            </w:r>
            <w:r>
              <w:rPr>
                <w:rFonts w:ascii="DejaVu Sans Mono" w:hAnsi="DejaVu Sans Mono" w:eastAsia="Noto Sans Mono CJK SC"/>
                <w:b w:val="0"/>
                <w:i w:val="0"/>
                <w:sz w:val="15"/>
              </w:rPr>
            </w:r>
            <w:r>
              <w:br/>
            </w:r>
            <w:r>
              <w:rPr>
                <w:rFonts w:ascii="DejaVu Sans Mono" w:hAnsi="DejaVu Sans Mono" w:eastAsia="Noto Sans Mono CJK SC"/>
                <w:b w:val="0"/>
                <w:i w:val="0"/>
                <w:sz w:val="15"/>
              </w:rPr>
            </w:r>
            <w:r>
              <w:br/>
            </w:r>
            <w:r>
              <w:rPr>
                <w:rFonts w:ascii="DejaVu Sans Mono" w:hAnsi="DejaVu Sans Mono" w:eastAsia="Noto Sans Mono CJK SC"/>
                <w:b w:val="0"/>
                <w:i w:val="0"/>
                <w:sz w:val="15"/>
              </w:rPr>
              <w:t>def simultaneous_confidence(global_conf: float, d: int) -&gt; float:</w:t>
            </w:r>
            <w:r>
              <w:br/>
            </w:r>
            <w:r>
              <w:rPr>
                <w:rFonts w:ascii="DejaVu Sans Mono" w:hAnsi="DejaVu Sans Mono" w:eastAsia="Noto Sans Mono CJK SC"/>
                <w:b w:val="0"/>
                <w:i w:val="0"/>
                <w:sz w:val="15"/>
              </w:rPr>
              <w:t xml:space="preserve">    alpha = 1.0 - global_conf</w:t>
            </w:r>
            <w:r>
              <w:br/>
            </w:r>
            <w:r>
              <w:rPr>
                <w:rFonts w:ascii="DejaVu Sans Mono" w:hAnsi="DejaVu Sans Mono" w:eastAsia="Noto Sans Mono CJK SC"/>
                <w:b w:val="0"/>
                <w:i w:val="0"/>
                <w:sz w:val="15"/>
              </w:rPr>
              <w:t xml:space="preserve">    return 1.0 - alpha / d</w:t>
            </w:r>
            <w:r>
              <w:br/>
            </w:r>
            <w:r>
              <w:rPr>
                <w:rFonts w:ascii="DejaVu Sans Mono" w:hAnsi="DejaVu Sans Mono" w:eastAsia="Noto Sans Mono CJK SC"/>
                <w:b w:val="0"/>
                <w:i w:val="0"/>
                <w:sz w:val="15"/>
              </w:rPr>
            </w:r>
            <w:r>
              <w:br/>
            </w:r>
            <w:r>
              <w:rPr>
                <w:rFonts w:ascii="DejaVu Sans Mono" w:hAnsi="DejaVu Sans Mono" w:eastAsia="Noto Sans Mono CJK SC"/>
                <w:b w:val="0"/>
                <w:i w:val="0"/>
                <w:sz w:val="15"/>
              </w:rPr>
            </w:r>
            <w:r>
              <w:br/>
            </w:r>
            <w:r>
              <w:rPr>
                <w:rFonts w:ascii="DejaVu Sans Mono" w:hAnsi="DejaVu Sans Mono" w:eastAsia="Noto Sans Mono CJK SC"/>
                <w:b w:val="0"/>
                <w:i w:val="0"/>
                <w:sz w:val="15"/>
              </w:rPr>
              <w:t>def build_upper_vector(records, global_conf, sequential_upper_fn):</w:t>
            </w:r>
            <w:r>
              <w:br/>
            </w:r>
            <w:r>
              <w:rPr>
                <w:rFonts w:ascii="DejaVu Sans Mono" w:hAnsi="DejaVu Sans Mono" w:eastAsia="Noto Sans Mono CJK SC"/>
                <w:b w:val="0"/>
                <w:i w:val="0"/>
                <w:sz w:val="15"/>
              </w:rPr>
              <w:t xml:space="preserve">    d = len(records)</w:t>
            </w:r>
            <w:r>
              <w:br/>
            </w:r>
            <w:r>
              <w:rPr>
                <w:rFonts w:ascii="DejaVu Sans Mono" w:hAnsi="DejaVu Sans Mono" w:eastAsia="Noto Sans Mono CJK SC"/>
                <w:b w:val="0"/>
                <w:i w:val="0"/>
                <w:sz w:val="15"/>
              </w:rPr>
              <w:t xml:space="preserve">    per_conf = simultaneous_confidence(global_conf, d)</w:t>
            </w:r>
            <w:r>
              <w:br/>
            </w:r>
            <w:r>
              <w:rPr>
                <w:rFonts w:ascii="DejaVu Sans Mono" w:hAnsi="DejaVu Sans Mono" w:eastAsia="Noto Sans Mono CJK SC"/>
                <w:b w:val="0"/>
                <w:i w:val="0"/>
                <w:sz w:val="15"/>
              </w:rPr>
              <w:t xml:space="preserve">    U = {}</w:t>
            </w:r>
            <w:r>
              <w:br/>
            </w:r>
            <w:r>
              <w:rPr>
                <w:rFonts w:ascii="DejaVu Sans Mono" w:hAnsi="DejaVu Sans Mono" w:eastAsia="Noto Sans Mono CJK SC"/>
                <w:b w:val="0"/>
                <w:i w:val="0"/>
                <w:sz w:val="15"/>
              </w:rPr>
              <w:t xml:space="preserve">    for r in records:</w:t>
            </w:r>
            <w:r>
              <w:br/>
            </w:r>
            <w:r>
              <w:rPr>
                <w:rFonts w:ascii="DejaVu Sans Mono" w:hAnsi="DejaVu Sans Mono" w:eastAsia="Noto Sans Mono CJK SC"/>
                <w:b w:val="0"/>
                <w:i w:val="0"/>
                <w:sz w:val="15"/>
              </w:rPr>
              <w:t xml:space="preserve">        if r.design == "fixed":</w:t>
            </w:r>
            <w:r>
              <w:br/>
            </w:r>
            <w:r>
              <w:rPr>
                <w:rFonts w:ascii="DejaVu Sans Mono" w:hAnsi="DejaVu Sans Mono" w:eastAsia="Noto Sans Mono CJK SC"/>
                <w:b w:val="0"/>
                <w:i w:val="0"/>
                <w:sz w:val="15"/>
              </w:rPr>
              <w:t xml:space="preserve">            U[r.quality_id] = cp_upper(r.k, r.n, per_conf)</w:t>
            </w:r>
            <w:r>
              <w:br/>
            </w:r>
            <w:r>
              <w:rPr>
                <w:rFonts w:ascii="DejaVu Sans Mono" w:hAnsi="DejaVu Sans Mono" w:eastAsia="Noto Sans Mono CJK SC"/>
                <w:b w:val="0"/>
                <w:i w:val="0"/>
                <w:sz w:val="15"/>
              </w:rPr>
              <w:t xml:space="preserve">        elif r.design == "sequential":</w:t>
            </w:r>
            <w:r>
              <w:br/>
            </w:r>
            <w:r>
              <w:rPr>
                <w:rFonts w:ascii="DejaVu Sans Mono" w:hAnsi="DejaVu Sans Mono" w:eastAsia="Noto Sans Mono CJK SC"/>
                <w:b w:val="0"/>
                <w:i w:val="0"/>
                <w:sz w:val="15"/>
              </w:rPr>
              <w:t xml:space="preserve">            U[r.quality_id] = sequential_upper_fn(r.n, r.k, per_conf)</w:t>
            </w:r>
            <w:r>
              <w:br/>
            </w:r>
            <w:r>
              <w:rPr>
                <w:rFonts w:ascii="DejaVu Sans Mono" w:hAnsi="DejaVu Sans Mono" w:eastAsia="Noto Sans Mono CJK SC"/>
                <w:b w:val="0"/>
                <w:i w:val="0"/>
                <w:sz w:val="15"/>
              </w:rPr>
              <w:t xml:space="preserve">        else:</w:t>
            </w:r>
            <w:r>
              <w:br/>
            </w:r>
            <w:r>
              <w:rPr>
                <w:rFonts w:ascii="DejaVu Sans Mono" w:hAnsi="DejaVu Sans Mono" w:eastAsia="Noto Sans Mono CJK SC"/>
                <w:b w:val="0"/>
                <w:i w:val="0"/>
                <w:sz w:val="15"/>
              </w:rPr>
              <w:t xml:space="preserve">            raise ValueError(f"unknown design: {r.design}")</w:t>
            </w:r>
            <w:r>
              <w:br/>
            </w:r>
            <w:r>
              <w:rPr>
                <w:rFonts w:ascii="DejaVu Sans Mono" w:hAnsi="DejaVu Sans Mono" w:eastAsia="Noto Sans Mono CJK SC"/>
                <w:b w:val="0"/>
                <w:i w:val="0"/>
                <w:sz w:val="15"/>
              </w:rPr>
              <w:t xml:space="preserve">    return U</w:t>
            </w:r>
            <w:r>
              <w:br/>
            </w:r>
            <w:r>
              <w:rPr>
                <w:rFonts w:ascii="DejaVu Sans Mono" w:hAnsi="DejaVu Sans Mono" w:eastAsia="Noto Sans Mono CJK SC"/>
                <w:b w:val="0"/>
                <w:i w:val="0"/>
                <w:sz w:val="15"/>
              </w:rPr>
            </w:r>
            <w:r>
              <w:br/>
            </w:r>
            <w:r>
              <w:rPr>
                <w:rFonts w:ascii="DejaVu Sans Mono" w:hAnsi="DejaVu Sans Mono" w:eastAsia="Noto Sans Mono CJK SC"/>
                <w:b w:val="0"/>
                <w:i w:val="0"/>
                <w:sz w:val="15"/>
              </w:rPr>
            </w:r>
            <w:r>
              <w:br/>
            </w:r>
            <w:r>
              <w:rPr>
                <w:rFonts w:ascii="DejaVu Sans Mono" w:hAnsi="DejaVu Sans Mono" w:eastAsia="Noto Sans Mono CJK SC"/>
                <w:b w:val="0"/>
                <w:i w:val="0"/>
                <w:sz w:val="15"/>
              </w:rPr>
              <w:t>def robust_solve_q2(base_params, upper_vector):</w:t>
            </w:r>
            <w:r>
              <w:br/>
            </w:r>
            <w:r>
              <w:rPr>
                <w:rFonts w:ascii="DejaVu Sans Mono" w:hAnsi="DejaVu Sans Mono" w:eastAsia="Noto Sans Mono CJK SC"/>
                <w:b w:val="0"/>
                <w:i w:val="0"/>
                <w:sz w:val="15"/>
              </w:rPr>
              <w:t xml:space="preserve">    params = base_params.with_quality_vector(upper_vector)</w:t>
            </w:r>
            <w:r>
              <w:br/>
            </w:r>
            <w:r>
              <w:rPr>
                <w:rFonts w:ascii="DejaVu Sans Mono" w:hAnsi="DejaVu Sans Mono" w:eastAsia="Noto Sans Mono CJK SC"/>
                <w:b w:val="0"/>
                <w:i w:val="0"/>
                <w:sz w:val="15"/>
              </w:rPr>
              <w:t xml:space="preserve">    # Existing Q2 evaluator: exact Bellman-Markov + 64-policy enumeration</w:t>
            </w:r>
            <w:r>
              <w:br/>
            </w:r>
            <w:r>
              <w:rPr>
                <w:rFonts w:ascii="DejaVu Sans Mono" w:hAnsi="DejaVu Sans Mono" w:eastAsia="Noto Sans Mono CJK SC"/>
                <w:b w:val="0"/>
                <w:i w:val="0"/>
                <w:sz w:val="15"/>
              </w:rPr>
              <w:t xml:space="preserve">    return solve_q2(params)</w:t>
            </w:r>
            <w:r>
              <w:br/>
            </w:r>
            <w:r>
              <w:rPr>
                <w:rFonts w:ascii="DejaVu Sans Mono" w:hAnsi="DejaVu Sans Mono" w:eastAsia="Noto Sans Mono CJK SC"/>
                <w:b w:val="0"/>
                <w:i w:val="0"/>
                <w:sz w:val="15"/>
              </w:rPr>
            </w:r>
            <w:r>
              <w:br/>
            </w:r>
            <w:r>
              <w:rPr>
                <w:rFonts w:ascii="DejaVu Sans Mono" w:hAnsi="DejaVu Sans Mono" w:eastAsia="Noto Sans Mono CJK SC"/>
                <w:b w:val="0"/>
                <w:i w:val="0"/>
                <w:sz w:val="15"/>
              </w:rPr>
            </w:r>
            <w:r>
              <w:br/>
            </w:r>
            <w:r>
              <w:rPr>
                <w:rFonts w:ascii="DejaVu Sans Mono" w:hAnsi="DejaVu Sans Mono" w:eastAsia="Noto Sans Mono CJK SC"/>
                <w:b w:val="0"/>
                <w:i w:val="0"/>
                <w:sz w:val="15"/>
              </w:rPr>
              <w:t>def robust_solve_q3(base_params, upper_vector):</w:t>
            </w:r>
            <w:r>
              <w:br/>
            </w:r>
            <w:r>
              <w:rPr>
                <w:rFonts w:ascii="DejaVu Sans Mono" w:hAnsi="DejaVu Sans Mono" w:eastAsia="Noto Sans Mono CJK SC"/>
                <w:b w:val="0"/>
                <w:i w:val="0"/>
                <w:sz w:val="15"/>
              </w:rPr>
              <w:t xml:space="preserve">    params = base_params.with_quality_vector(upper_vector)</w:t>
            </w:r>
            <w:r>
              <w:br/>
            </w:r>
            <w:r>
              <w:rPr>
                <w:rFonts w:ascii="DejaVu Sans Mono" w:hAnsi="DejaVu Sans Mono" w:eastAsia="Noto Sans Mono CJK SC"/>
                <w:b w:val="0"/>
                <w:i w:val="0"/>
                <w:sz w:val="15"/>
              </w:rPr>
              <w:t xml:space="preserve">    # Existing Q3 main solver + exact static enumeration cross-check</w:t>
            </w:r>
            <w:r>
              <w:br/>
            </w:r>
            <w:r>
              <w:rPr>
                <w:rFonts w:ascii="DejaVu Sans Mono" w:hAnsi="DejaVu Sans Mono" w:eastAsia="Noto Sans Mono CJK SC"/>
                <w:b w:val="0"/>
                <w:i w:val="0"/>
                <w:sz w:val="15"/>
              </w:rPr>
              <w:t xml:space="preserve">    dp = solve_q3_dp(params)</w:t>
            </w:r>
            <w:r>
              <w:br/>
            </w:r>
            <w:r>
              <w:rPr>
                <w:rFonts w:ascii="DejaVu Sans Mono" w:hAnsi="DejaVu Sans Mono" w:eastAsia="Noto Sans Mono CJK SC"/>
                <w:b w:val="0"/>
                <w:i w:val="0"/>
                <w:sz w:val="15"/>
              </w:rPr>
              <w:t xml:space="preserve">    enum = solve_q3_exhaustive(params)</w:t>
            </w:r>
            <w:r>
              <w:br/>
            </w:r>
            <w:r>
              <w:rPr>
                <w:rFonts w:ascii="DejaVu Sans Mono" w:hAnsi="DejaVu Sans Mono" w:eastAsia="Noto Sans Mono CJK SC"/>
                <w:b w:val="0"/>
                <w:i w:val="0"/>
                <w:sz w:val="15"/>
              </w:rPr>
              <w:t xml:space="preserve">    assert abs(dp.profit - enum.profit) &lt; 1e-8</w:t>
            </w:r>
            <w:r>
              <w:br/>
            </w:r>
            <w:r>
              <w:rPr>
                <w:rFonts w:ascii="DejaVu Sans Mono" w:hAnsi="DejaVu Sans Mono" w:eastAsia="Noto Sans Mono CJK SC"/>
                <w:b w:val="0"/>
                <w:i w:val="0"/>
                <w:sz w:val="15"/>
              </w:rPr>
              <w:t xml:space="preserve">    return dp</w:t>
            </w:r>
          </w:p>
        </w:tc>
      </w:tr>
    </w:tbl>
    <w:p>
      <w:pPr>
        <w:pStyle w:val="Heading1"/>
        <w:keepNext/>
      </w:pPr>
      <w:r>
        <w:rPr>
          <w:rFonts w:ascii="Times New Roman" w:hAnsi="Times New Roman" w:eastAsia="Noto Sans CJK SC"/>
          <w:b/>
          <w:i w:val="0"/>
          <w:color w:val="1F4E79"/>
          <w:sz w:val="30"/>
        </w:rPr>
        <w:t>8 模型检验与灵敏度分析方案</w:t>
      </w:r>
    </w:p>
    <w:p>
      <w:pPr>
        <w:pStyle w:val="Heading2"/>
        <w:keepNext/>
      </w:pPr>
      <w:r>
        <w:rPr>
          <w:rFonts w:ascii="Times New Roman" w:hAnsi="Times New Roman" w:eastAsia="Noto Sans CJK SC"/>
          <w:b/>
          <w:i w:val="0"/>
          <w:color w:val="2D4960"/>
          <w:sz w:val="25"/>
        </w:rPr>
        <w:t>8.1 检验一：退化一致性（必须做）</w:t>
      </w:r>
    </w:p>
    <w:p>
      <w:pPr>
        <w:spacing w:line="300" w:lineRule="auto" w:after="80"/>
        <w:ind w:firstLine="420"/>
      </w:pPr>
      <w:r>
        <w:rPr>
          <w:rFonts w:ascii="Times New Roman" w:hAnsi="Times New Roman" w:eastAsia="Noto Serif CJK SC"/>
          <w:b w:val="0"/>
          <w:i w:val="0"/>
          <w:sz w:val="21"/>
        </w:rPr>
        <w:t>令所有置信上界逐渐收缩到点估计，即U_j→p_hat_j。此时第四问的稳健目标应严格退化为问题二/三的名义目标，最优策略与目标值必须复现前两问程序。这个检验比“与常识一致”更强，因为它直接验证Q4新增统计外层没有改变原模型。</w:t>
      </w:r>
    </w:p>
    <w:p>
      <w:pPr>
        <w:spacing w:before="40" w:after="80"/>
        <w:jc w:val="center"/>
      </w:pPr>
      <w:r>
        <w:rPr>
          <w:rFonts w:ascii="Cambria Math" w:hAnsi="Cambria Math" w:eastAsia="Noto Serif CJK SC"/>
          <w:b w:val="0"/>
          <w:i w:val="0"/>
          <w:sz w:val="21"/>
        </w:rPr>
        <w:t>lim_{U→p_hat} π_R*(U) ∈ arg max_π Π(π;p_hat).   (19)</w:t>
      </w:r>
    </w:p>
    <w:p>
      <w:pPr>
        <w:pStyle w:val="Heading2"/>
        <w:keepNext/>
      </w:pPr>
      <w:r>
        <w:rPr>
          <w:rFonts w:ascii="Times New Roman" w:hAnsi="Times New Roman" w:eastAsia="Noto Sans CJK SC"/>
          <w:b/>
          <w:i w:val="0"/>
          <w:color w:val="2D4960"/>
          <w:sz w:val="25"/>
        </w:rPr>
        <w:t>8.2 检验二：置信覆盖率检验</w:t>
      </w:r>
    </w:p>
    <w:p>
      <w:pPr>
        <w:spacing w:line="300" w:lineRule="auto" w:after="80"/>
        <w:ind w:firstLine="420"/>
      </w:pPr>
      <w:r>
        <w:rPr>
          <w:rFonts w:ascii="Times New Roman" w:hAnsi="Times New Roman" w:eastAsia="Noto Serif CJK SC"/>
          <w:b w:val="0"/>
          <w:i w:val="0"/>
          <w:sz w:val="21"/>
        </w:rPr>
        <w:t>固定样本时，以题目中出现的5%、10%、20%等真实质量水平作为模拟真值，重复生成Binomial样本，检查精确上界覆盖真实p的比例是否至少达到名义90%/95%；序贯时必须模拟完整Bernoulli流并按Q1停止规则结束，再检查confidence sequence在停止点的覆盖率。这样可以验证统计外层，而不是用生产利润间接“证明”置信区间正确。</w:t>
      </w:r>
    </w:p>
    <w:p>
      <w:pPr>
        <w:spacing w:line="300" w:lineRule="auto" w:after="80"/>
        <w:ind w:firstLine="420"/>
      </w:pPr>
      <w:r>
        <w:rPr>
          <w:rFonts w:ascii="Times New Roman" w:hAnsi="Times New Roman" w:eastAsia="Noto Serif CJK SC"/>
          <w:b w:val="0"/>
          <w:i w:val="0"/>
          <w:sz w:val="21"/>
        </w:rPr>
        <w:t>验收指标不预设一个虚构的精确百分比，而是：固定样本Clopper-Pearson的经验覆盖率不应低于名义水平（允许因离散性略保守）；序贯置信序列在Monte Carlo误差范围内不低于名义水平。</w:t>
      </w:r>
    </w:p>
    <w:p>
      <w:pPr>
        <w:pStyle w:val="Heading2"/>
        <w:keepNext/>
      </w:pPr>
      <w:r>
        <w:rPr>
          <w:rFonts w:ascii="Times New Roman" w:hAnsi="Times New Roman" w:eastAsia="Noto Sans CJK SC"/>
          <w:b/>
          <w:i w:val="0"/>
          <w:color w:val="2D4960"/>
          <w:sz w:val="25"/>
        </w:rPr>
        <w:t>8.3 检验三：最坏点单调性与极端情形</w:t>
      </w:r>
    </w:p>
    <w:p>
      <w:pPr>
        <w:pStyle w:val="ListBullet"/>
        <w:spacing w:after="50"/>
        <w:ind w:left="340" w:hanging="142"/>
      </w:pPr>
      <w:r>
        <w:rPr>
          <w:rFonts w:ascii="Times New Roman" w:hAnsi="Times New Roman" w:eastAsia="Noto Serif CJK SC"/>
          <w:b w:val="0"/>
          <w:i w:val="0"/>
          <w:sz w:val="20"/>
        </w:rPr>
        <w:t>对每一个质量参数j固定其他参数，沿[p_hat_j,U_j]取网格，检查给定策略的V是否非减、Π是否非增。</w:t>
      </w:r>
    </w:p>
    <w:p>
      <w:pPr>
        <w:pStyle w:val="ListBullet"/>
        <w:spacing w:after="50"/>
        <w:ind w:left="340" w:hanging="142"/>
      </w:pPr>
      <w:r>
        <w:rPr>
          <w:rFonts w:ascii="Times New Roman" w:hAnsi="Times New Roman" w:eastAsia="Noto Serif CJK SC"/>
          <w:b w:val="0"/>
          <w:i w:val="0"/>
          <w:sz w:val="20"/>
        </w:rPr>
        <w:t>若p_j=0且检测有正成本，模型不应无理由增加该节点检测倾向；若p_j升高，检测价值一般应增强。</w:t>
      </w:r>
    </w:p>
    <w:p>
      <w:pPr>
        <w:pStyle w:val="ListBullet"/>
        <w:spacing w:after="50"/>
        <w:ind w:left="340" w:hanging="142"/>
      </w:pPr>
      <w:r>
        <w:rPr>
          <w:rFonts w:ascii="Times New Roman" w:hAnsi="Times New Roman" w:eastAsia="Noto Serif CJK SC"/>
          <w:b w:val="0"/>
          <w:i w:val="0"/>
          <w:sz w:val="20"/>
        </w:rPr>
        <w:t>当调换损失L增大时，末端检测的相对价值应增强；当拆解费趋高时，拆解策略应减弱。这些使用题目表1/表2已有跨度做系统级重优化，而不是统一±5%。</w:t>
      </w:r>
    </w:p>
    <w:p>
      <w:pPr>
        <w:pStyle w:val="ListBullet"/>
        <w:spacing w:after="50"/>
        <w:ind w:left="340" w:hanging="142"/>
      </w:pPr>
      <w:r>
        <w:rPr>
          <w:rFonts w:ascii="Times New Roman" w:hAnsi="Times New Roman" w:eastAsia="Noto Serif CJK SC"/>
          <w:b w:val="0"/>
          <w:i w:val="0"/>
          <w:sz w:val="20"/>
        </w:rPr>
        <w:t>若单调性任一处失败，立即停止使用“上界向量=最坏点”的简化，转入盒内数值最小化并定位原因。</w:t>
      </w:r>
    </w:p>
    <w:p>
      <w:pPr>
        <w:pStyle w:val="Heading2"/>
        <w:keepNext/>
      </w:pPr>
      <w:r>
        <w:rPr>
          <w:rFonts w:ascii="Times New Roman" w:hAnsi="Times New Roman" w:eastAsia="Noto Sans CJK SC"/>
          <w:b/>
          <w:i w:val="0"/>
          <w:color w:val="2D4960"/>
          <w:sz w:val="25"/>
        </w:rPr>
        <w:t>8.4 检验四：Q2/Q3求解器的交叉验证</w:t>
      </w:r>
    </w:p>
    <w:p>
      <w:pPr>
        <w:spacing w:line="300" w:lineRule="auto" w:after="80"/>
        <w:ind w:firstLine="420"/>
      </w:pPr>
      <w:r>
        <w:rPr>
          <w:rFonts w:ascii="Times New Roman" w:hAnsi="Times New Roman" w:eastAsia="Noto Serif CJK SC"/>
          <w:b w:val="0"/>
          <w:i w:val="0"/>
          <w:sz w:val="21"/>
        </w:rPr>
        <w:t>Q2在z=0退化情形下继续用几何分布闭式公式与Bellman结果核对；Q3在名义、90%上界、95%上界三个关键参数向量下都执行分层递推与65536静态枚举对照。建议目标值绝对/相对误差控制在双精度可解释的数值容差（如1e-8量级），但论文中把它表述为“程序容差”，不是物理精度。</w:t>
      </w:r>
    </w:p>
    <w:p>
      <w:pPr>
        <w:pStyle w:val="Heading2"/>
        <w:keepNext/>
      </w:pPr>
      <w:r>
        <w:rPr>
          <w:rFonts w:ascii="Times New Roman" w:hAnsi="Times New Roman" w:eastAsia="Noto Sans CJK SC"/>
          <w:b/>
          <w:i w:val="0"/>
          <w:color w:val="2D4960"/>
          <w:sz w:val="25"/>
        </w:rPr>
        <w:t>8.5 灵敏度一：置信水平的风险—收益权衡</w:t>
      </w:r>
    </w:p>
    <w:p>
      <w:pPr>
        <w:spacing w:line="300" w:lineRule="auto" w:after="80"/>
        <w:ind w:firstLine="420"/>
      </w:pPr>
      <w:r>
        <w:rPr>
          <w:rFonts w:ascii="Times New Roman" w:hAnsi="Times New Roman" w:eastAsia="Noto Serif CJK SC"/>
          <w:b w:val="0"/>
          <w:i w:val="0"/>
          <w:sz w:val="21"/>
        </w:rPr>
        <w:t>直接比较名义、90%系统同时上界、95%系统同时上界三套策略。90%与95%来自题目本身，不需要再发明85%、99%作为主结论。重点不是画利润下降折线，而是观察哪些决策位在提高风险保证后发生结构切换，以及切换前后的利润安全裕度Δ。</w:t>
      </w:r>
    </w:p>
    <w:p>
      <w:pPr>
        <w:pStyle w:val="Heading2"/>
        <w:keepNext/>
      </w:pPr>
      <w:r>
        <w:rPr>
          <w:rFonts w:ascii="Times New Roman" w:hAnsi="Times New Roman" w:eastAsia="Noto Sans CJK SC"/>
          <w:b/>
          <w:i w:val="0"/>
          <w:color w:val="2D4960"/>
          <w:sz w:val="25"/>
        </w:rPr>
        <w:t>8.6 灵敏度二：样本信息充分性</w:t>
      </w:r>
    </w:p>
    <w:p>
      <w:pPr>
        <w:spacing w:line="300" w:lineRule="auto" w:after="80"/>
        <w:ind w:firstLine="420"/>
      </w:pPr>
      <w:r>
        <w:rPr>
          <w:rFonts w:ascii="Times New Roman" w:hAnsi="Times New Roman" w:eastAsia="Noto Serif CJK SC"/>
          <w:b w:val="0"/>
          <w:i w:val="0"/>
          <w:sz w:val="21"/>
        </w:rPr>
        <w:t>样本量是第四问最重要的现实敏感因素，但必须区分“实际观测n”和“设计变量n”。若已有Q1实际抽样记录，就以真实停止n为起点，考察继续补测后上界宽度和策略稳定率如何变化；若没有原始记录，只能把n作为明确标注的实验设计变量，不得写成“题目给定样本量”。最终希望回答：再检测多少信息以后，90%/95%稳健策略不再改变？</w:t>
      </w:r>
    </w:p>
    <w:p>
      <w:pPr>
        <w:spacing w:before="40" w:after="80"/>
        <w:jc w:val="center"/>
      </w:pPr>
      <w:r>
        <w:rPr>
          <w:rFonts w:ascii="Cambria Math" w:hAnsi="Cambria Math" w:eastAsia="Noto Serif CJK SC"/>
          <w:b w:val="0"/>
          <w:i w:val="0"/>
          <w:sz w:val="21"/>
        </w:rPr>
        <w:t>n increases ⇒ width(U) decreases ⇒ decision gap / R_π tends to stabilize.   (20)</w:t>
      </w:r>
    </w:p>
    <w:p>
      <w:pPr>
        <w:pStyle w:val="Heading2"/>
        <w:keepNext/>
      </w:pPr>
      <w:r>
        <w:rPr>
          <w:rFonts w:ascii="Times New Roman" w:hAnsi="Times New Roman" w:eastAsia="Noto Sans CJK SC"/>
          <w:b/>
          <w:i w:val="0"/>
          <w:color w:val="2D4960"/>
          <w:sz w:val="25"/>
        </w:rPr>
        <w:t>8.7 灵敏度三：题目已有经济参数的全局重优化阈值</w:t>
      </w:r>
    </w:p>
    <w:p>
      <w:pPr>
        <w:spacing w:line="300" w:lineRule="auto" w:after="80"/>
        <w:ind w:firstLine="420"/>
      </w:pPr>
      <w:r>
        <w:rPr>
          <w:rFonts w:ascii="Times New Roman" w:hAnsi="Times New Roman" w:eastAsia="Noto Serif CJK SC"/>
          <w:b w:val="0"/>
          <w:i w:val="0"/>
          <w:sz w:val="21"/>
        </w:rPr>
        <w:t>避免“所有参数统一±5%”。优先沿题目自身已经覆盖的成本区间做策略相图：零件次品率5%–20%、零件检测费1–8元、调换损失6–40元、拆解费5–40元等。第四问尤其适合画“质量上置信界 × 调换损失”或“质量上置信界 × 检测费”的二维策略区，展示统计风险和经济成本如何共同决定是否检测。</w:t>
      </w:r>
    </w:p>
    <w:p>
      <w:pPr>
        <w:pStyle w:val="Heading2"/>
        <w:keepNext/>
      </w:pPr>
      <w:r>
        <w:rPr>
          <w:rFonts w:ascii="Times New Roman" w:hAnsi="Times New Roman" w:eastAsia="Noto Sans CJK SC"/>
          <w:b/>
          <w:i w:val="0"/>
          <w:color w:val="2D4960"/>
          <w:sz w:val="25"/>
        </w:rPr>
        <w:t>8.8 Bootstrap稳定性与停止建议</w:t>
      </w:r>
    </w:p>
    <w:p>
      <w:pPr>
        <w:spacing w:line="300" w:lineRule="auto" w:after="80"/>
        <w:ind w:firstLine="420"/>
      </w:pPr>
      <w:r>
        <w:rPr>
          <w:rFonts w:ascii="Times New Roman" w:hAnsi="Times New Roman" w:eastAsia="Noto Serif CJK SC"/>
          <w:b w:val="0"/>
          <w:i w:val="0"/>
          <w:sz w:val="21"/>
        </w:rPr>
        <w:t>对每个风险水平，统计最常见的最优策略、第二常见策略、Rπ与SE(Rπ)。如果90%和95%下策略均一致，且Rπ高、Δ明显，可称为“统计上稳定”；如果Rπ分散或Δ接近0，应诚实报告“现有样本不足以稳定区分若干近优策略”，并把增加抽样或采用较保守策略作为企业建议。这里不人为规定Rπ必须大于0.9才算稳定，因为题目没有给决策者风险偏好；可以给出Rπ本身，由企业选择。</w:t>
      </w:r>
    </w:p>
    <w:p>
      <w:pPr>
        <w:pStyle w:val="Heading1"/>
        <w:keepNext/>
      </w:pPr>
      <w:r>
        <w:rPr>
          <w:rFonts w:ascii="Times New Roman" w:hAnsi="Times New Roman" w:eastAsia="Noto Sans CJK SC"/>
          <w:b/>
          <w:i w:val="0"/>
          <w:color w:val="1F4E79"/>
          <w:sz w:val="30"/>
        </w:rPr>
        <w:t>9 最终绘图计划（MATLAB）</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2450"/>
        <w:gridCol w:w="2450"/>
        <w:gridCol w:w="2450"/>
        <w:gridCol w:w="2450"/>
      </w:tblGrid>
      <w:tr>
        <w:trPr>
          <w:tblHeader w:val="true"/>
        </w:trPr>
        <w:tc>
          <w:tcPr>
            <w:tcW w:type="dxa" w:w="1134"/>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编号</w:t>
            </w:r>
          </w:p>
        </w:tc>
        <w:tc>
          <w:tcPr>
            <w:tcW w:type="dxa" w:w="2154"/>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图形</w:t>
            </w:r>
          </w:p>
        </w:tc>
        <w:tc>
          <w:tcPr>
            <w:tcW w:type="dxa" w:w="3742"/>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绘制内容</w:t>
            </w:r>
          </w:p>
        </w:tc>
        <w:tc>
          <w:tcPr>
            <w:tcW w:type="dxa" w:w="2778"/>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它要说明什么</w:t>
            </w:r>
          </w:p>
        </w:tc>
      </w:tr>
      <w:tr>
        <w:tc>
          <w:tcPr>
            <w:tcW w:type="dxa" w:w="1134"/>
            <w:vAlign w:val="center"/>
            <w:tcMar>
              <w:top w:w="70" w:type="dxa"/>
              <w:start w:w="85" w:type="dxa"/>
              <w:bottom w:w="70" w:type="dxa"/>
              <w:end w:w="85" w:type="dxa"/>
            </w:tcMar>
          </w:tcPr>
          <w:p>
            <w:pPr>
              <w:jc w:val="center"/>
            </w:pPr>
            <w:r>
              <w:rPr>
                <w:rFonts w:ascii="Times New Roman" w:hAnsi="Times New Roman" w:eastAsia="Noto Serif CJK SC"/>
                <w:b w:val="0"/>
                <w:i w:val="0"/>
                <w:sz w:val="16"/>
              </w:rPr>
              <w:t>图Q4-1</w:t>
            </w:r>
          </w:p>
        </w:tc>
        <w:tc>
          <w:tcPr>
            <w:tcW w:type="dxa" w:w="2154"/>
            <w:vAlign w:val="center"/>
            <w:tcMar>
              <w:top w:w="70" w:type="dxa"/>
              <w:start w:w="85" w:type="dxa"/>
              <w:bottom w:w="70" w:type="dxa"/>
              <w:end w:w="85" w:type="dxa"/>
            </w:tcMar>
          </w:tcPr>
          <w:p>
            <w:pPr>
              <w:jc w:val="left"/>
            </w:pPr>
            <w:r>
              <w:rPr>
                <w:rFonts w:ascii="Times New Roman" w:hAnsi="Times New Roman" w:eastAsia="Noto Serif CJK SC"/>
                <w:b w:val="0"/>
                <w:i w:val="0"/>
                <w:sz w:val="16"/>
              </w:rPr>
              <w:t>模型应用总流程图</w:t>
            </w:r>
          </w:p>
        </w:tc>
        <w:tc>
          <w:tcPr>
            <w:tcW w:type="dxa" w:w="3742"/>
            <w:vAlign w:val="center"/>
            <w:tcMar>
              <w:top w:w="70" w:type="dxa"/>
              <w:start w:w="85" w:type="dxa"/>
              <w:bottom w:w="70" w:type="dxa"/>
              <w:end w:w="85" w:type="dxa"/>
            </w:tcMar>
          </w:tcPr>
          <w:p>
            <w:pPr>
              <w:jc w:val="left"/>
            </w:pPr>
            <w:r>
              <w:rPr>
                <w:rFonts w:ascii="Times New Roman" w:hAnsi="Times New Roman" w:eastAsia="Noto Serif CJK SC"/>
                <w:b w:val="0"/>
                <w:i w:val="0"/>
                <w:sz w:val="16"/>
              </w:rPr>
              <w:t>抽样设计→统计边界→Q2/Q3重优化→稳定性检验；放问题分析后</w:t>
            </w:r>
          </w:p>
        </w:tc>
        <w:tc>
          <w:tcPr>
            <w:tcW w:type="dxa" w:w="2778"/>
            <w:vAlign w:val="center"/>
            <w:tcMar>
              <w:top w:w="70" w:type="dxa"/>
              <w:start w:w="85" w:type="dxa"/>
              <w:bottom w:w="70" w:type="dxa"/>
              <w:end w:w="85" w:type="dxa"/>
            </w:tcMar>
          </w:tcPr>
          <w:p>
            <w:pPr>
              <w:jc w:val="left"/>
            </w:pPr>
            <w:r>
              <w:rPr>
                <w:rFonts w:ascii="Times New Roman" w:hAnsi="Times New Roman" w:eastAsia="Noto Serif CJK SC"/>
                <w:b w:val="0"/>
                <w:i w:val="0"/>
                <w:sz w:val="16"/>
              </w:rPr>
              <w:t>让评委一眼看懂第四问不是简单换p</w:t>
            </w:r>
          </w:p>
        </w:tc>
      </w:tr>
      <w:tr>
        <w:tc>
          <w:tcPr>
            <w:tcW w:type="dxa" w:w="1134"/>
            <w:vAlign w:val="center"/>
            <w:tcMar>
              <w:top w:w="70" w:type="dxa"/>
              <w:start w:w="85" w:type="dxa"/>
              <w:bottom w:w="70" w:type="dxa"/>
              <w:end w:w="85" w:type="dxa"/>
            </w:tcMar>
          </w:tcPr>
          <w:p>
            <w:pPr>
              <w:jc w:val="center"/>
            </w:pPr>
            <w:r>
              <w:rPr>
                <w:rFonts w:ascii="Times New Roman" w:hAnsi="Times New Roman" w:eastAsia="Noto Serif CJK SC"/>
                <w:b w:val="0"/>
                <w:i w:val="0"/>
                <w:sz w:val="16"/>
              </w:rPr>
              <w:t>图Q4-2</w:t>
            </w:r>
          </w:p>
        </w:tc>
        <w:tc>
          <w:tcPr>
            <w:tcW w:type="dxa" w:w="2154"/>
            <w:vAlign w:val="center"/>
            <w:tcMar>
              <w:top w:w="70" w:type="dxa"/>
              <w:start w:w="85" w:type="dxa"/>
              <w:bottom w:w="70" w:type="dxa"/>
              <w:end w:w="85" w:type="dxa"/>
            </w:tcMar>
          </w:tcPr>
          <w:p>
            <w:pPr>
              <w:jc w:val="left"/>
            </w:pPr>
            <w:r>
              <w:rPr>
                <w:rFonts w:ascii="Times New Roman" w:hAnsi="Times New Roman" w:eastAsia="Noto Serif CJK SC"/>
                <w:b w:val="0"/>
                <w:i w:val="0"/>
                <w:sz w:val="16"/>
              </w:rPr>
              <w:t>质量参数点估计与90%/95%上界误差棒</w:t>
            </w:r>
          </w:p>
        </w:tc>
        <w:tc>
          <w:tcPr>
            <w:tcW w:type="dxa" w:w="3742"/>
            <w:vAlign w:val="center"/>
            <w:tcMar>
              <w:top w:w="70" w:type="dxa"/>
              <w:start w:w="85" w:type="dxa"/>
              <w:bottom w:w="70" w:type="dxa"/>
              <w:end w:w="85" w:type="dxa"/>
            </w:tcMar>
          </w:tcPr>
          <w:p>
            <w:pPr>
              <w:jc w:val="left"/>
            </w:pPr>
            <w:r>
              <w:rPr>
                <w:rFonts w:ascii="Times New Roman" w:hAnsi="Times New Roman" w:eastAsia="Noto Serif CJK SC"/>
                <w:b w:val="0"/>
                <w:i w:val="0"/>
                <w:sz w:val="16"/>
              </w:rPr>
              <w:t>Q2画3参数/情形，Q3画12参数；区分raw与process</w:t>
            </w:r>
          </w:p>
        </w:tc>
        <w:tc>
          <w:tcPr>
            <w:tcW w:type="dxa" w:w="2778"/>
            <w:vAlign w:val="center"/>
            <w:tcMar>
              <w:top w:w="70" w:type="dxa"/>
              <w:start w:w="85" w:type="dxa"/>
              <w:bottom w:w="70" w:type="dxa"/>
              <w:end w:w="85" w:type="dxa"/>
            </w:tcMar>
          </w:tcPr>
          <w:p>
            <w:pPr>
              <w:jc w:val="left"/>
            </w:pPr>
            <w:r>
              <w:rPr>
                <w:rFonts w:ascii="Times New Roman" w:hAnsi="Times New Roman" w:eastAsia="Noto Serif CJK SC"/>
                <w:b w:val="0"/>
                <w:i w:val="0"/>
                <w:sz w:val="16"/>
              </w:rPr>
              <w:t>直观看样本不确定性集中在哪些节点</w:t>
            </w:r>
          </w:p>
        </w:tc>
      </w:tr>
      <w:tr>
        <w:tc>
          <w:tcPr>
            <w:tcW w:type="dxa" w:w="1134"/>
            <w:vAlign w:val="center"/>
            <w:tcMar>
              <w:top w:w="70" w:type="dxa"/>
              <w:start w:w="85" w:type="dxa"/>
              <w:bottom w:w="70" w:type="dxa"/>
              <w:end w:w="85" w:type="dxa"/>
            </w:tcMar>
          </w:tcPr>
          <w:p>
            <w:pPr>
              <w:jc w:val="center"/>
            </w:pPr>
            <w:r>
              <w:rPr>
                <w:rFonts w:ascii="Times New Roman" w:hAnsi="Times New Roman" w:eastAsia="Noto Serif CJK SC"/>
                <w:b w:val="0"/>
                <w:i w:val="0"/>
                <w:sz w:val="16"/>
              </w:rPr>
              <w:t>图Q4-3</w:t>
            </w:r>
          </w:p>
        </w:tc>
        <w:tc>
          <w:tcPr>
            <w:tcW w:type="dxa" w:w="2154"/>
            <w:vAlign w:val="center"/>
            <w:tcMar>
              <w:top w:w="70" w:type="dxa"/>
              <w:start w:w="85" w:type="dxa"/>
              <w:bottom w:w="70" w:type="dxa"/>
              <w:end w:w="85" w:type="dxa"/>
            </w:tcMar>
          </w:tcPr>
          <w:p>
            <w:pPr>
              <w:jc w:val="left"/>
            </w:pPr>
            <w:r>
              <w:rPr>
                <w:rFonts w:ascii="Times New Roman" w:hAnsi="Times New Roman" w:eastAsia="Noto Serif CJK SC"/>
                <w:b w:val="0"/>
                <w:i w:val="0"/>
                <w:sz w:val="16"/>
              </w:rPr>
              <w:t>Q2六情形决策热图</w:t>
            </w:r>
          </w:p>
        </w:tc>
        <w:tc>
          <w:tcPr>
            <w:tcW w:type="dxa" w:w="3742"/>
            <w:vAlign w:val="center"/>
            <w:tcMar>
              <w:top w:w="70" w:type="dxa"/>
              <w:start w:w="85" w:type="dxa"/>
              <w:bottom w:w="70" w:type="dxa"/>
              <w:end w:w="85" w:type="dxa"/>
            </w:tcMar>
          </w:tcPr>
          <w:p>
            <w:pPr>
              <w:jc w:val="left"/>
            </w:pPr>
            <w:r>
              <w:rPr>
                <w:rFonts w:ascii="Times New Roman" w:hAnsi="Times New Roman" w:eastAsia="Noto Serif CJK SC"/>
                <w:b w:val="0"/>
                <w:i w:val="0"/>
                <w:sz w:val="16"/>
              </w:rPr>
              <w:t>列=情形×名义/90%/95%，行=6个决策位</w:t>
            </w:r>
          </w:p>
        </w:tc>
        <w:tc>
          <w:tcPr>
            <w:tcW w:type="dxa" w:w="2778"/>
            <w:vAlign w:val="center"/>
            <w:tcMar>
              <w:top w:w="70" w:type="dxa"/>
              <w:start w:w="85" w:type="dxa"/>
              <w:bottom w:w="70" w:type="dxa"/>
              <w:end w:w="85" w:type="dxa"/>
            </w:tcMar>
          </w:tcPr>
          <w:p>
            <w:pPr>
              <w:jc w:val="left"/>
            </w:pPr>
            <w:r>
              <w:rPr>
                <w:rFonts w:ascii="Times New Roman" w:hAnsi="Times New Roman" w:eastAsia="Noto Serif CJK SC"/>
                <w:b w:val="0"/>
                <w:i w:val="0"/>
                <w:sz w:val="16"/>
              </w:rPr>
              <w:t>显示哪些生产决策会因统计风险发生切换</w:t>
            </w:r>
          </w:p>
        </w:tc>
      </w:tr>
      <w:tr>
        <w:tc>
          <w:tcPr>
            <w:tcW w:type="dxa" w:w="1134"/>
            <w:vAlign w:val="center"/>
            <w:tcMar>
              <w:top w:w="70" w:type="dxa"/>
              <w:start w:w="85" w:type="dxa"/>
              <w:bottom w:w="70" w:type="dxa"/>
              <w:end w:w="85" w:type="dxa"/>
            </w:tcMar>
          </w:tcPr>
          <w:p>
            <w:pPr>
              <w:jc w:val="center"/>
            </w:pPr>
            <w:r>
              <w:rPr>
                <w:rFonts w:ascii="Times New Roman" w:hAnsi="Times New Roman" w:eastAsia="Noto Serif CJK SC"/>
                <w:b w:val="0"/>
                <w:i w:val="0"/>
                <w:sz w:val="16"/>
              </w:rPr>
              <w:t>图Q4-4</w:t>
            </w:r>
          </w:p>
        </w:tc>
        <w:tc>
          <w:tcPr>
            <w:tcW w:type="dxa" w:w="2154"/>
            <w:vAlign w:val="center"/>
            <w:tcMar>
              <w:top w:w="70" w:type="dxa"/>
              <w:start w:w="85" w:type="dxa"/>
              <w:bottom w:w="70" w:type="dxa"/>
              <w:end w:w="85" w:type="dxa"/>
            </w:tcMar>
          </w:tcPr>
          <w:p>
            <w:pPr>
              <w:jc w:val="left"/>
            </w:pPr>
            <w:r>
              <w:rPr>
                <w:rFonts w:ascii="Times New Roman" w:hAnsi="Times New Roman" w:eastAsia="Noto Serif CJK SC"/>
                <w:b w:val="0"/>
                <w:i w:val="0"/>
                <w:sz w:val="16"/>
              </w:rPr>
              <w:t>Q2稳健利润与决策间隔图</w:t>
            </w:r>
          </w:p>
        </w:tc>
        <w:tc>
          <w:tcPr>
            <w:tcW w:type="dxa" w:w="3742"/>
            <w:vAlign w:val="center"/>
            <w:tcMar>
              <w:top w:w="70" w:type="dxa"/>
              <w:start w:w="85" w:type="dxa"/>
              <w:bottom w:w="70" w:type="dxa"/>
              <w:end w:w="85" w:type="dxa"/>
            </w:tcMar>
          </w:tcPr>
          <w:p>
            <w:pPr>
              <w:jc w:val="left"/>
            </w:pPr>
            <w:r>
              <w:rPr>
                <w:rFonts w:ascii="Times New Roman" w:hAnsi="Times New Roman" w:eastAsia="Noto Serif CJK SC"/>
                <w:b w:val="0"/>
                <w:i w:val="0"/>
                <w:sz w:val="16"/>
              </w:rPr>
              <w:t>名义/90%/95%利润、Δ并列</w:t>
            </w:r>
          </w:p>
        </w:tc>
        <w:tc>
          <w:tcPr>
            <w:tcW w:type="dxa" w:w="2778"/>
            <w:vAlign w:val="center"/>
            <w:tcMar>
              <w:top w:w="70" w:type="dxa"/>
              <w:start w:w="85" w:type="dxa"/>
              <w:bottom w:w="70" w:type="dxa"/>
              <w:end w:w="85" w:type="dxa"/>
            </w:tcMar>
          </w:tcPr>
          <w:p>
            <w:pPr>
              <w:jc w:val="left"/>
            </w:pPr>
            <w:r>
              <w:rPr>
                <w:rFonts w:ascii="Times New Roman" w:hAnsi="Times New Roman" w:eastAsia="Noto Serif CJK SC"/>
                <w:b w:val="0"/>
                <w:i w:val="0"/>
                <w:sz w:val="16"/>
              </w:rPr>
              <w:t>避免只报策略，不说明优势强度</w:t>
            </w:r>
          </w:p>
        </w:tc>
      </w:tr>
      <w:tr>
        <w:tc>
          <w:tcPr>
            <w:tcW w:type="dxa" w:w="1134"/>
            <w:vAlign w:val="center"/>
            <w:tcMar>
              <w:top w:w="70" w:type="dxa"/>
              <w:start w:w="85" w:type="dxa"/>
              <w:bottom w:w="70" w:type="dxa"/>
              <w:end w:w="85" w:type="dxa"/>
            </w:tcMar>
          </w:tcPr>
          <w:p>
            <w:pPr>
              <w:jc w:val="center"/>
            </w:pPr>
            <w:r>
              <w:rPr>
                <w:rFonts w:ascii="Times New Roman" w:hAnsi="Times New Roman" w:eastAsia="Noto Serif CJK SC"/>
                <w:b w:val="0"/>
                <w:i w:val="0"/>
                <w:sz w:val="16"/>
              </w:rPr>
              <w:t>图Q4-5</w:t>
            </w:r>
          </w:p>
        </w:tc>
        <w:tc>
          <w:tcPr>
            <w:tcW w:type="dxa" w:w="2154"/>
            <w:vAlign w:val="center"/>
            <w:tcMar>
              <w:top w:w="70" w:type="dxa"/>
              <w:start w:w="85" w:type="dxa"/>
              <w:bottom w:w="70" w:type="dxa"/>
              <w:end w:w="85" w:type="dxa"/>
            </w:tcMar>
          </w:tcPr>
          <w:p>
            <w:pPr>
              <w:jc w:val="left"/>
            </w:pPr>
            <w:r>
              <w:rPr>
                <w:rFonts w:ascii="Times New Roman" w:hAnsi="Times New Roman" w:eastAsia="Noto Serif CJK SC"/>
                <w:b w:val="0"/>
                <w:i w:val="0"/>
                <w:sz w:val="16"/>
              </w:rPr>
              <w:t>Q3 BOM稳健策略网络图</w:t>
            </w:r>
          </w:p>
        </w:tc>
        <w:tc>
          <w:tcPr>
            <w:tcW w:type="dxa" w:w="3742"/>
            <w:vAlign w:val="center"/>
            <w:tcMar>
              <w:top w:w="70" w:type="dxa"/>
              <w:start w:w="85" w:type="dxa"/>
              <w:bottom w:w="70" w:type="dxa"/>
              <w:end w:w="85" w:type="dxa"/>
            </w:tcMar>
          </w:tcPr>
          <w:p>
            <w:pPr>
              <w:jc w:val="left"/>
            </w:pPr>
            <w:r>
              <w:rPr>
                <w:rFonts w:ascii="Times New Roman" w:hAnsi="Times New Roman" w:eastAsia="Noto Serif CJK SC"/>
                <w:b w:val="0"/>
                <w:i w:val="0"/>
                <w:sz w:val="16"/>
              </w:rPr>
              <w:t>节点标注检测/拆解，切换节点高亮</w:t>
            </w:r>
          </w:p>
        </w:tc>
        <w:tc>
          <w:tcPr>
            <w:tcW w:type="dxa" w:w="2778"/>
            <w:vAlign w:val="center"/>
            <w:tcMar>
              <w:top w:w="70" w:type="dxa"/>
              <w:start w:w="85" w:type="dxa"/>
              <w:bottom w:w="70" w:type="dxa"/>
              <w:end w:w="85" w:type="dxa"/>
            </w:tcMar>
          </w:tcPr>
          <w:p>
            <w:pPr>
              <w:jc w:val="left"/>
            </w:pPr>
            <w:r>
              <w:rPr>
                <w:rFonts w:ascii="Times New Roman" w:hAnsi="Times New Roman" w:eastAsia="Noto Serif CJK SC"/>
                <w:b w:val="0"/>
                <w:i w:val="0"/>
                <w:sz w:val="16"/>
              </w:rPr>
              <w:t>把16位编码翻译成可读生产流程</w:t>
            </w:r>
          </w:p>
        </w:tc>
      </w:tr>
      <w:tr>
        <w:tc>
          <w:tcPr>
            <w:tcW w:type="dxa" w:w="1134"/>
            <w:vAlign w:val="center"/>
            <w:tcMar>
              <w:top w:w="70" w:type="dxa"/>
              <w:start w:w="85" w:type="dxa"/>
              <w:bottom w:w="70" w:type="dxa"/>
              <w:end w:w="85" w:type="dxa"/>
            </w:tcMar>
          </w:tcPr>
          <w:p>
            <w:pPr>
              <w:jc w:val="center"/>
            </w:pPr>
            <w:r>
              <w:rPr>
                <w:rFonts w:ascii="Times New Roman" w:hAnsi="Times New Roman" w:eastAsia="Noto Serif CJK SC"/>
                <w:b w:val="0"/>
                <w:i w:val="0"/>
                <w:sz w:val="16"/>
              </w:rPr>
              <w:t>图Q4-6</w:t>
            </w:r>
          </w:p>
        </w:tc>
        <w:tc>
          <w:tcPr>
            <w:tcW w:type="dxa" w:w="2154"/>
            <w:vAlign w:val="center"/>
            <w:tcMar>
              <w:top w:w="70" w:type="dxa"/>
              <w:start w:w="85" w:type="dxa"/>
              <w:bottom w:w="70" w:type="dxa"/>
              <w:end w:w="85" w:type="dxa"/>
            </w:tcMar>
          </w:tcPr>
          <w:p>
            <w:pPr>
              <w:jc w:val="left"/>
            </w:pPr>
            <w:r>
              <w:rPr>
                <w:rFonts w:ascii="Times New Roman" w:hAnsi="Times New Roman" w:eastAsia="Noto Serif CJK SC"/>
                <w:b w:val="0"/>
                <w:i w:val="0"/>
                <w:sz w:val="16"/>
              </w:rPr>
              <w:t>Q3 16位策略对比热图</w:t>
            </w:r>
          </w:p>
        </w:tc>
        <w:tc>
          <w:tcPr>
            <w:tcW w:type="dxa" w:w="3742"/>
            <w:vAlign w:val="center"/>
            <w:tcMar>
              <w:top w:w="70" w:type="dxa"/>
              <w:start w:w="85" w:type="dxa"/>
              <w:bottom w:w="70" w:type="dxa"/>
              <w:end w:w="85" w:type="dxa"/>
            </w:tcMar>
          </w:tcPr>
          <w:p>
            <w:pPr>
              <w:jc w:val="left"/>
            </w:pPr>
            <w:r>
              <w:rPr>
                <w:rFonts w:ascii="Times New Roman" w:hAnsi="Times New Roman" w:eastAsia="Noto Serif CJK SC"/>
                <w:b w:val="0"/>
                <w:i w:val="0"/>
                <w:sz w:val="16"/>
              </w:rPr>
              <w:t>三列：nominal/robust90/robust95</w:t>
            </w:r>
          </w:p>
        </w:tc>
        <w:tc>
          <w:tcPr>
            <w:tcW w:type="dxa" w:w="2778"/>
            <w:vAlign w:val="center"/>
            <w:tcMar>
              <w:top w:w="70" w:type="dxa"/>
              <w:start w:w="85" w:type="dxa"/>
              <w:bottom w:w="70" w:type="dxa"/>
              <w:end w:w="85" w:type="dxa"/>
            </w:tcMar>
          </w:tcPr>
          <w:p>
            <w:pPr>
              <w:jc w:val="left"/>
            </w:pPr>
            <w:r>
              <w:rPr>
                <w:rFonts w:ascii="Times New Roman" w:hAnsi="Times New Roman" w:eastAsia="Noto Serif CJK SC"/>
                <w:b w:val="0"/>
                <w:i w:val="0"/>
                <w:sz w:val="16"/>
              </w:rPr>
              <w:t>展示多层网络中哪一层最敏感</w:t>
            </w:r>
          </w:p>
        </w:tc>
      </w:tr>
      <w:tr>
        <w:tc>
          <w:tcPr>
            <w:tcW w:type="dxa" w:w="1134"/>
            <w:vAlign w:val="center"/>
            <w:tcMar>
              <w:top w:w="70" w:type="dxa"/>
              <w:start w:w="85" w:type="dxa"/>
              <w:bottom w:w="70" w:type="dxa"/>
              <w:end w:w="85" w:type="dxa"/>
            </w:tcMar>
          </w:tcPr>
          <w:p>
            <w:pPr>
              <w:jc w:val="center"/>
            </w:pPr>
            <w:r>
              <w:rPr>
                <w:rFonts w:ascii="Times New Roman" w:hAnsi="Times New Roman" w:eastAsia="Noto Serif CJK SC"/>
                <w:b w:val="0"/>
                <w:i w:val="0"/>
                <w:sz w:val="16"/>
              </w:rPr>
              <w:t>图Q4-7</w:t>
            </w:r>
          </w:p>
        </w:tc>
        <w:tc>
          <w:tcPr>
            <w:tcW w:type="dxa" w:w="2154"/>
            <w:vAlign w:val="center"/>
            <w:tcMar>
              <w:top w:w="70" w:type="dxa"/>
              <w:start w:w="85" w:type="dxa"/>
              <w:bottom w:w="70" w:type="dxa"/>
              <w:end w:w="85" w:type="dxa"/>
            </w:tcMar>
          </w:tcPr>
          <w:p>
            <w:pPr>
              <w:jc w:val="left"/>
            </w:pPr>
            <w:r>
              <w:rPr>
                <w:rFonts w:ascii="Times New Roman" w:hAnsi="Times New Roman" w:eastAsia="Noto Serif CJK SC"/>
                <w:b w:val="0"/>
                <w:i w:val="0"/>
                <w:sz w:val="16"/>
              </w:rPr>
              <w:t>Top-k策略利润区间/安全裕度图</w:t>
            </w:r>
          </w:p>
        </w:tc>
        <w:tc>
          <w:tcPr>
            <w:tcW w:type="dxa" w:w="3742"/>
            <w:vAlign w:val="center"/>
            <w:tcMar>
              <w:top w:w="70" w:type="dxa"/>
              <w:start w:w="85" w:type="dxa"/>
              <w:bottom w:w="70" w:type="dxa"/>
              <w:end w:w="85" w:type="dxa"/>
            </w:tcMar>
          </w:tcPr>
          <w:p>
            <w:pPr>
              <w:jc w:val="left"/>
            </w:pPr>
            <w:r>
              <w:rPr>
                <w:rFonts w:ascii="Times New Roman" w:hAnsi="Times New Roman" w:eastAsia="Noto Serif CJK SC"/>
                <w:b w:val="0"/>
                <w:i w:val="0"/>
                <w:sz w:val="16"/>
              </w:rPr>
              <w:t>横轴策略排名，纵轴名义与最坏利润</w:t>
            </w:r>
          </w:p>
        </w:tc>
        <w:tc>
          <w:tcPr>
            <w:tcW w:type="dxa" w:w="2778"/>
            <w:vAlign w:val="center"/>
            <w:tcMar>
              <w:top w:w="70" w:type="dxa"/>
              <w:start w:w="85" w:type="dxa"/>
              <w:bottom w:w="70" w:type="dxa"/>
              <w:end w:w="85" w:type="dxa"/>
            </w:tcMar>
          </w:tcPr>
          <w:p>
            <w:pPr>
              <w:jc w:val="left"/>
            </w:pPr>
            <w:r>
              <w:rPr>
                <w:rFonts w:ascii="Times New Roman" w:hAnsi="Times New Roman" w:eastAsia="Noto Serif CJK SC"/>
                <w:b w:val="0"/>
                <w:i w:val="0"/>
                <w:sz w:val="16"/>
              </w:rPr>
              <w:t>判断第一名是不是“险胜”</w:t>
            </w:r>
          </w:p>
        </w:tc>
      </w:tr>
      <w:tr>
        <w:tc>
          <w:tcPr>
            <w:tcW w:type="dxa" w:w="1134"/>
            <w:vAlign w:val="center"/>
            <w:tcMar>
              <w:top w:w="70" w:type="dxa"/>
              <w:start w:w="85" w:type="dxa"/>
              <w:bottom w:w="70" w:type="dxa"/>
              <w:end w:w="85" w:type="dxa"/>
            </w:tcMar>
          </w:tcPr>
          <w:p>
            <w:pPr>
              <w:jc w:val="center"/>
            </w:pPr>
            <w:r>
              <w:rPr>
                <w:rFonts w:ascii="Times New Roman" w:hAnsi="Times New Roman" w:eastAsia="Noto Serif CJK SC"/>
                <w:b w:val="0"/>
                <w:i w:val="0"/>
                <w:sz w:val="16"/>
              </w:rPr>
              <w:t>图Q4-8</w:t>
            </w:r>
          </w:p>
        </w:tc>
        <w:tc>
          <w:tcPr>
            <w:tcW w:type="dxa" w:w="2154"/>
            <w:vAlign w:val="center"/>
            <w:tcMar>
              <w:top w:w="70" w:type="dxa"/>
              <w:start w:w="85" w:type="dxa"/>
              <w:bottom w:w="70" w:type="dxa"/>
              <w:end w:w="85" w:type="dxa"/>
            </w:tcMar>
          </w:tcPr>
          <w:p>
            <w:pPr>
              <w:jc w:val="left"/>
            </w:pPr>
            <w:r>
              <w:rPr>
                <w:rFonts w:ascii="Times New Roman" w:hAnsi="Times New Roman" w:eastAsia="Noto Serif CJK SC"/>
                <w:b w:val="0"/>
                <w:i w:val="0"/>
                <w:sz w:val="16"/>
              </w:rPr>
              <w:t>Bootstrap策略稳定率柱状图</w:t>
            </w:r>
          </w:p>
        </w:tc>
        <w:tc>
          <w:tcPr>
            <w:tcW w:type="dxa" w:w="3742"/>
            <w:vAlign w:val="center"/>
            <w:tcMar>
              <w:top w:w="70" w:type="dxa"/>
              <w:start w:w="85" w:type="dxa"/>
              <w:bottom w:w="70" w:type="dxa"/>
              <w:end w:w="85" w:type="dxa"/>
            </w:tcMar>
          </w:tcPr>
          <w:p>
            <w:pPr>
              <w:jc w:val="left"/>
            </w:pPr>
            <w:r>
              <w:rPr>
                <w:rFonts w:ascii="Times New Roman" w:hAnsi="Times New Roman" w:eastAsia="Noto Serif CJK SC"/>
                <w:b w:val="0"/>
                <w:i w:val="0"/>
                <w:sz w:val="16"/>
              </w:rPr>
              <w:t>只显示前若干高频策略，附Monte Carlo SE</w:t>
            </w:r>
          </w:p>
        </w:tc>
        <w:tc>
          <w:tcPr>
            <w:tcW w:type="dxa" w:w="2778"/>
            <w:vAlign w:val="center"/>
            <w:tcMar>
              <w:top w:w="70" w:type="dxa"/>
              <w:start w:w="85" w:type="dxa"/>
              <w:bottom w:w="70" w:type="dxa"/>
              <w:end w:w="85" w:type="dxa"/>
            </w:tcMar>
          </w:tcPr>
          <w:p>
            <w:pPr>
              <w:jc w:val="left"/>
            </w:pPr>
            <w:r>
              <w:rPr>
                <w:rFonts w:ascii="Times New Roman" w:hAnsi="Times New Roman" w:eastAsia="Noto Serif CJK SC"/>
                <w:b w:val="0"/>
                <w:i w:val="0"/>
                <w:sz w:val="16"/>
              </w:rPr>
              <w:t>回答“重新抽一次样还会选它吗”</w:t>
            </w:r>
          </w:p>
        </w:tc>
      </w:tr>
      <w:tr>
        <w:tc>
          <w:tcPr>
            <w:tcW w:type="dxa" w:w="1134"/>
            <w:vAlign w:val="center"/>
            <w:tcMar>
              <w:top w:w="70" w:type="dxa"/>
              <w:start w:w="85" w:type="dxa"/>
              <w:bottom w:w="70" w:type="dxa"/>
              <w:end w:w="85" w:type="dxa"/>
            </w:tcMar>
          </w:tcPr>
          <w:p>
            <w:pPr>
              <w:jc w:val="center"/>
            </w:pPr>
            <w:r>
              <w:rPr>
                <w:rFonts w:ascii="Times New Roman" w:hAnsi="Times New Roman" w:eastAsia="Noto Serif CJK SC"/>
                <w:b w:val="0"/>
                <w:i w:val="0"/>
                <w:sz w:val="16"/>
              </w:rPr>
              <w:t>图Q4-9</w:t>
            </w:r>
          </w:p>
        </w:tc>
        <w:tc>
          <w:tcPr>
            <w:tcW w:type="dxa" w:w="2154"/>
            <w:vAlign w:val="center"/>
            <w:tcMar>
              <w:top w:w="70" w:type="dxa"/>
              <w:start w:w="85" w:type="dxa"/>
              <w:bottom w:w="70" w:type="dxa"/>
              <w:end w:w="85" w:type="dxa"/>
            </w:tcMar>
          </w:tcPr>
          <w:p>
            <w:pPr>
              <w:jc w:val="left"/>
            </w:pPr>
            <w:r>
              <w:rPr>
                <w:rFonts w:ascii="Times New Roman" w:hAnsi="Times New Roman" w:eastAsia="Noto Serif CJK SC"/>
                <w:b w:val="0"/>
                <w:i w:val="0"/>
                <w:sz w:val="16"/>
              </w:rPr>
              <w:t>样本信息充分性曲线</w:t>
            </w:r>
          </w:p>
        </w:tc>
        <w:tc>
          <w:tcPr>
            <w:tcW w:type="dxa" w:w="3742"/>
            <w:vAlign w:val="center"/>
            <w:tcMar>
              <w:top w:w="70" w:type="dxa"/>
              <w:start w:w="85" w:type="dxa"/>
              <w:bottom w:w="70" w:type="dxa"/>
              <w:end w:w="85" w:type="dxa"/>
            </w:tcMar>
          </w:tcPr>
          <w:p>
            <w:pPr>
              <w:jc w:val="left"/>
            </w:pPr>
            <w:r>
              <w:rPr>
                <w:rFonts w:ascii="Times New Roman" w:hAnsi="Times New Roman" w:eastAsia="Noto Serif CJK SC"/>
                <w:b w:val="0"/>
                <w:i w:val="0"/>
                <w:sz w:val="16"/>
              </w:rPr>
              <w:t>x为实际/明确设计的样本信息量，y为上界宽度与Rπ</w:t>
            </w:r>
          </w:p>
        </w:tc>
        <w:tc>
          <w:tcPr>
            <w:tcW w:type="dxa" w:w="2778"/>
            <w:vAlign w:val="center"/>
            <w:tcMar>
              <w:top w:w="70" w:type="dxa"/>
              <w:start w:w="85" w:type="dxa"/>
              <w:bottom w:w="70" w:type="dxa"/>
              <w:end w:w="85" w:type="dxa"/>
            </w:tcMar>
          </w:tcPr>
          <w:p>
            <w:pPr>
              <w:jc w:val="left"/>
            </w:pPr>
            <w:r>
              <w:rPr>
                <w:rFonts w:ascii="Times New Roman" w:hAnsi="Times New Roman" w:eastAsia="Noto Serif CJK SC"/>
                <w:b w:val="0"/>
                <w:i w:val="0"/>
                <w:sz w:val="16"/>
              </w:rPr>
              <w:t>说明继续抽样的边际价值；无n记录时不画伪数据</w:t>
            </w:r>
          </w:p>
        </w:tc>
      </w:tr>
      <w:tr>
        <w:tc>
          <w:tcPr>
            <w:tcW w:type="dxa" w:w="1134"/>
            <w:vAlign w:val="center"/>
            <w:tcMar>
              <w:top w:w="70" w:type="dxa"/>
              <w:start w:w="85" w:type="dxa"/>
              <w:bottom w:w="70" w:type="dxa"/>
              <w:end w:w="85" w:type="dxa"/>
            </w:tcMar>
          </w:tcPr>
          <w:p>
            <w:pPr>
              <w:jc w:val="center"/>
            </w:pPr>
            <w:r>
              <w:rPr>
                <w:rFonts w:ascii="Times New Roman" w:hAnsi="Times New Roman" w:eastAsia="Noto Serif CJK SC"/>
                <w:b w:val="0"/>
                <w:i w:val="0"/>
                <w:sz w:val="16"/>
              </w:rPr>
              <w:t>图Q4-10</w:t>
            </w:r>
          </w:p>
        </w:tc>
        <w:tc>
          <w:tcPr>
            <w:tcW w:type="dxa" w:w="2154"/>
            <w:vAlign w:val="center"/>
            <w:tcMar>
              <w:top w:w="70" w:type="dxa"/>
              <w:start w:w="85" w:type="dxa"/>
              <w:bottom w:w="70" w:type="dxa"/>
              <w:end w:w="85" w:type="dxa"/>
            </w:tcMar>
          </w:tcPr>
          <w:p>
            <w:pPr>
              <w:jc w:val="left"/>
            </w:pPr>
            <w:r>
              <w:rPr>
                <w:rFonts w:ascii="Times New Roman" w:hAnsi="Times New Roman" w:eastAsia="Noto Serif CJK SC"/>
                <w:b w:val="0"/>
                <w:i w:val="0"/>
                <w:sz w:val="16"/>
              </w:rPr>
              <w:t>二维策略相图</w:t>
            </w:r>
          </w:p>
        </w:tc>
        <w:tc>
          <w:tcPr>
            <w:tcW w:type="dxa" w:w="3742"/>
            <w:vAlign w:val="center"/>
            <w:tcMar>
              <w:top w:w="70" w:type="dxa"/>
              <w:start w:w="85" w:type="dxa"/>
              <w:bottom w:w="70" w:type="dxa"/>
              <w:end w:w="85" w:type="dxa"/>
            </w:tcMar>
          </w:tcPr>
          <w:p>
            <w:pPr>
              <w:jc w:val="left"/>
            </w:pPr>
            <w:r>
              <w:rPr>
                <w:rFonts w:ascii="Times New Roman" w:hAnsi="Times New Roman" w:eastAsia="Noto Serif CJK SC"/>
                <w:b w:val="0"/>
                <w:i w:val="0"/>
                <w:sz w:val="16"/>
              </w:rPr>
              <w:t>如U(p_f)×L或U(p_i)×检测费；颜色=最优策略类别</w:t>
            </w:r>
          </w:p>
        </w:tc>
        <w:tc>
          <w:tcPr>
            <w:tcW w:type="dxa" w:w="2778"/>
            <w:vAlign w:val="center"/>
            <w:tcMar>
              <w:top w:w="70" w:type="dxa"/>
              <w:start w:w="85" w:type="dxa"/>
              <w:bottom w:w="70" w:type="dxa"/>
              <w:end w:w="85" w:type="dxa"/>
            </w:tcMar>
          </w:tcPr>
          <w:p>
            <w:pPr>
              <w:jc w:val="left"/>
            </w:pPr>
            <w:r>
              <w:rPr>
                <w:rFonts w:ascii="Times New Roman" w:hAnsi="Times New Roman" w:eastAsia="Noto Serif CJK SC"/>
                <w:b w:val="0"/>
                <w:i w:val="0"/>
                <w:sz w:val="16"/>
              </w:rPr>
              <w:t>把统计风险与经济阈值连起来，给管理建议</w:t>
            </w:r>
          </w:p>
        </w:tc>
      </w:tr>
    </w:tbl>
    <w:p>
      <w:pPr>
        <w:spacing w:line="300" w:lineRule="auto" w:after="80"/>
        <w:ind w:firstLine="420"/>
      </w:pPr>
      <w:r>
        <w:rPr>
          <w:rFonts w:ascii="Times New Roman" w:hAnsi="Times New Roman" w:eastAsia="Noto Serif CJK SC"/>
          <w:b w:val="0"/>
          <w:i w:val="0"/>
          <w:sz w:val="21"/>
        </w:rPr>
        <w:t>MATLAB只读取Python导出的CSV，不重新计算模型。建议CSV至少包括quality_intervals.csv、q4_q2_policy.csv、q4_q3_policy.csv、q4_topk.csv、q4_bootstrap.csv、q4_information_curve.csv、q4_phase_map.csv。这样求解与绘图完全解耦，论文改图不会改坏模型。</w:t>
      </w:r>
    </w:p>
    <w:p>
      <w:pPr>
        <w:pStyle w:val="Heading1"/>
        <w:keepNext/>
      </w:pPr>
      <w:r>
        <w:rPr>
          <w:rFonts w:ascii="Times New Roman" w:hAnsi="Times New Roman" w:eastAsia="Noto Sans CJK SC"/>
          <w:b/>
          <w:i w:val="0"/>
          <w:color w:val="1F4E79"/>
          <w:sz w:val="30"/>
        </w:rPr>
        <w:t>10 【模型建立与求解及结果分析】论文成稿建议</w:t>
      </w:r>
    </w:p>
    <w:p>
      <w:pPr>
        <w:pStyle w:val="Heading2"/>
        <w:keepNext/>
      </w:pPr>
      <w:r>
        <w:rPr>
          <w:rFonts w:ascii="Times New Roman" w:hAnsi="Times New Roman" w:eastAsia="Noto Sans CJK SC"/>
          <w:b/>
          <w:i w:val="0"/>
          <w:color w:val="2D4960"/>
          <w:sz w:val="25"/>
        </w:rPr>
        <w:t>10.1 模型构建（可直接改写进入正文）</w:t>
      </w:r>
    </w:p>
    <w:p>
      <w:pPr>
        <w:spacing w:line="300" w:lineRule="auto" w:after="80"/>
        <w:ind w:firstLine="420"/>
      </w:pPr>
      <w:r>
        <w:rPr>
          <w:rFonts w:ascii="Times New Roman" w:hAnsi="Times New Roman" w:eastAsia="Noto Serif CJK SC"/>
          <w:b w:val="0"/>
          <w:i w:val="0"/>
          <w:sz w:val="21"/>
        </w:rPr>
        <w:t>为处理抽样检测造成的次品率参数不确定性，本文保留问题二、问题三的生产状态、成本结构与决策变量不变，仅在其外层建立统计不确定性模型。对每个零配件或装配工序的真实次品率p_j，依据实际抽样得到的样本量n_j与次品数k_j建立Bernoulli–Binomial模型。若样本量在检测前固定，则由精确二项分布反演得到单侧上置信限；若样本来自问题一的序贯停止方案，则反演同一e-process得到任意停止时刻有效的上置信序列。对Q2的3个质量参数和Q3的12个质量参数，进一步通过union bound将总体风险α分配到各参数，构造系统级同时置信集合U_γ。</w:t>
      </w:r>
    </w:p>
    <w:p>
      <w:pPr>
        <w:spacing w:line="300" w:lineRule="auto" w:after="80"/>
        <w:ind w:firstLine="420"/>
      </w:pPr>
      <w:r>
        <w:rPr>
          <w:rFonts w:ascii="Times New Roman" w:hAnsi="Times New Roman" w:eastAsia="Noto Serif CJK SC"/>
          <w:b w:val="0"/>
          <w:i w:val="0"/>
          <w:sz w:val="21"/>
        </w:rPr>
        <w:t>在给定质量参数向量p下，问题二沿用信息保持型Bellman–Markov模型，问题三沿用BOM分层状态压缩递推，分别得到完成一笔合格订单的长期期望成本V_2(π;p)与V_3(π;p)，利润均写为Π_q(π;p)=S−V_q(π;p)。因此第四问不是使用样本均值替代真实p，而是在统计上允许的质量参数集合内考察每个策略的最坏利润，并重新优化全部可行策略。</w:t>
      </w:r>
    </w:p>
    <w:p>
      <w:pPr>
        <w:spacing w:before="40" w:after="80"/>
        <w:jc w:val="center"/>
      </w:pPr>
      <w:r>
        <w:rPr>
          <w:rFonts w:ascii="Cambria Math" w:hAnsi="Cambria Math" w:eastAsia="Noto Serif CJK SC"/>
          <w:b w:val="0"/>
          <w:i w:val="0"/>
          <w:sz w:val="21"/>
        </w:rPr>
        <w:t>π_{q,R}*(γ)=arg max_{π∈Π_q} min_{p∈U_γ} [S−V_q(π;p)],   q∈{2,3}.   (21)</w:t>
      </w:r>
    </w:p>
    <w:p>
      <w:pPr>
        <w:spacing w:line="300" w:lineRule="auto" w:after="80"/>
        <w:ind w:firstLine="420"/>
      </w:pPr>
      <w:r>
        <w:rPr>
          <w:rFonts w:ascii="Times New Roman" w:hAnsi="Times New Roman" w:eastAsia="Noto Serif CJK SC"/>
          <w:b w:val="0"/>
          <w:i w:val="0"/>
          <w:sz w:val="21"/>
        </w:rPr>
        <w:t>由于本题所有质量恶化均表现为缺陷事件增多，且采购、检测、装配、拆解与退换成本均非负、最终必须成功交付，固定策略下期望成本关于各缺陷概率单调非减。故对矩形上置信集合，最坏利润在各参数同时取上置信界时达到，式(21)可简化为在U_γ^upper处重新调用原Q2/Q3精确评价器。为避免模型扩展后错误套用该性质，程序对每个参数自动执行单调性检查；若检查失败，则改用盒内数值最小化。</w:t>
      </w:r>
    </w:p>
    <w:p>
      <w:pPr>
        <w:pStyle w:val="Heading2"/>
        <w:keepNext/>
      </w:pPr>
      <w:r>
        <w:rPr>
          <w:rFonts w:ascii="Times New Roman" w:hAnsi="Times New Roman" w:eastAsia="Noto Sans CJK SC"/>
          <w:b/>
          <w:i w:val="0"/>
          <w:color w:val="2D4960"/>
          <w:sz w:val="25"/>
        </w:rPr>
        <w:t>10.2 决策变量、目标函数与约束（正文必须完整出现）</w:t>
      </w:r>
    </w:p>
    <w:p>
      <w:pPr>
        <w:spacing w:line="300" w:lineRule="auto" w:after="80"/>
        <w:ind w:firstLine="420"/>
      </w:pPr>
      <w:r>
        <w:rPr>
          <w:rFonts w:ascii="Times New Roman" w:hAnsi="Times New Roman" w:eastAsia="Noto Serif CJK SC"/>
          <w:b w:val="0"/>
          <w:i w:val="0"/>
          <w:sz w:val="21"/>
        </w:rPr>
        <w:t>问题二的策略变量为π_2=(x_1,x_2,y,z,r_1,r_2)，问题三的策略变量为π_3=(x_1,…,x_8,y_1,y_2,y_3,z_1,z_2,z_3,y_F,z_F)，均为0-1变量。第四问不新增人为“风险权重”，风险偏好直接由题目给出的90%和95%置信水平体现。</w:t>
      </w:r>
    </w:p>
    <w:p>
      <w:pPr>
        <w:spacing w:before="40" w:after="80"/>
        <w:jc w:val="center"/>
      </w:pPr>
      <w:r>
        <w:rPr>
          <w:rFonts w:ascii="Cambria Math" w:hAnsi="Cambria Math" w:eastAsia="Noto Serif CJK SC"/>
          <w:b w:val="0"/>
          <w:i w:val="0"/>
          <w:sz w:val="21"/>
        </w:rPr>
        <w:t>max_{π∈Π_q}  W_q(π;γ),   W_q(π;γ)=min_{p∈U_γ} Π_q(π;p).   (22)</w:t>
      </w:r>
    </w:p>
    <w:p>
      <w:pPr>
        <w:spacing w:before="40" w:after="80"/>
        <w:jc w:val="center"/>
      </w:pPr>
      <w:r>
        <w:rPr>
          <w:rFonts w:ascii="Cambria Math" w:hAnsi="Cambria Math" w:eastAsia="Noto Serif CJK SC"/>
          <w:b w:val="0"/>
          <w:i w:val="0"/>
          <w:sz w:val="21"/>
        </w:rPr>
        <w:t>Π_q(π;p)=S−V_q(π;p).   (23)</w:t>
      </w:r>
    </w:p>
    <w:p>
      <w:pPr>
        <w:spacing w:line="300" w:lineRule="auto" w:after="80"/>
        <w:ind w:firstLine="420"/>
      </w:pPr>
      <w:r>
        <w:rPr>
          <w:rFonts w:ascii="Times New Roman" w:hAnsi="Times New Roman" w:eastAsia="Noto Serif CJK SC"/>
          <w:b w:val="0"/>
          <w:i w:val="0"/>
          <w:sz w:val="21"/>
        </w:rPr>
        <w:t>主要约束包括：</w:t>
      </w:r>
    </w:p>
    <w:p>
      <w:pPr>
        <w:pStyle w:val="ListBullet"/>
        <w:spacing w:after="50"/>
        <w:ind w:left="340" w:hanging="142"/>
      </w:pPr>
      <w:r>
        <w:rPr>
          <w:rFonts w:ascii="Times New Roman" w:hAnsi="Times New Roman" w:eastAsia="Noto Serif CJK SC"/>
          <w:b w:val="0"/>
          <w:i w:val="0"/>
          <w:sz w:val="20"/>
        </w:rPr>
        <w:t>所有检测、拆解变量均为0-1；Q2中无拆解时回收件检测变量规范化为0。</w:t>
      </w:r>
    </w:p>
    <w:p>
      <w:pPr>
        <w:pStyle w:val="ListBullet"/>
        <w:spacing w:after="50"/>
        <w:ind w:left="340" w:hanging="142"/>
      </w:pPr>
      <w:r>
        <w:rPr>
          <w:rFonts w:ascii="Times New Roman" w:hAnsi="Times New Roman" w:eastAsia="Noto Serif CJK SC"/>
          <w:b w:val="0"/>
          <w:i w:val="0"/>
          <w:sz w:val="20"/>
        </w:rPr>
        <w:t>p属于由抽样记录计算的置信集合U_γ，不能超出[0,1]。</w:t>
      </w:r>
    </w:p>
    <w:p>
      <w:pPr>
        <w:pStyle w:val="ListBullet"/>
        <w:spacing w:after="50"/>
        <w:ind w:left="340" w:hanging="142"/>
      </w:pPr>
      <w:r>
        <w:rPr>
          <w:rFonts w:ascii="Times New Roman" w:hAnsi="Times New Roman" w:eastAsia="Noto Serif CJK SC"/>
          <w:b w:val="0"/>
          <w:i w:val="0"/>
          <w:sz w:val="20"/>
        </w:rPr>
        <w:t>半成品/成品的p_process只对应合格输入条件下的装配失效率。</w:t>
      </w:r>
    </w:p>
    <w:p>
      <w:pPr>
        <w:pStyle w:val="ListBullet"/>
        <w:spacing w:after="50"/>
        <w:ind w:left="340" w:hanging="142"/>
      </w:pPr>
      <w:r>
        <w:rPr>
          <w:rFonts w:ascii="Times New Roman" w:hAnsi="Times New Roman" w:eastAsia="Noto Serif CJK SC"/>
          <w:b w:val="0"/>
          <w:i w:val="0"/>
          <w:sz w:val="20"/>
        </w:rPr>
        <w:t>拆解无损，K状态信息继承；未知回收件的质量认知只能来自检测/条件更新。</w:t>
      </w:r>
    </w:p>
    <w:p>
      <w:pPr>
        <w:pStyle w:val="ListBullet"/>
        <w:spacing w:after="50"/>
        <w:ind w:left="340" w:hanging="142"/>
      </w:pPr>
      <w:r>
        <w:rPr>
          <w:rFonts w:ascii="Times New Roman" w:hAnsi="Times New Roman" w:eastAsia="Noto Serif CJK SC"/>
          <w:b w:val="0"/>
          <w:i w:val="0"/>
          <w:sz w:val="20"/>
        </w:rPr>
        <w:t>一笔订单销售收入只记录一次，退换只产生题目给定的额外损失。</w:t>
      </w:r>
    </w:p>
    <w:p>
      <w:pPr>
        <w:pStyle w:val="ListBullet"/>
        <w:spacing w:after="50"/>
        <w:ind w:left="340" w:hanging="142"/>
      </w:pPr>
      <w:r>
        <w:rPr>
          <w:rFonts w:ascii="Times New Roman" w:hAnsi="Times New Roman" w:eastAsia="Noto Serif CJK SC"/>
          <w:b w:val="0"/>
          <w:i w:val="0"/>
          <w:sz w:val="20"/>
        </w:rPr>
        <w:t>Q2稳健策略对U_γ内参数保持吸收性；Q3递推的恢复成本必须有限。</w:t>
      </w:r>
    </w:p>
    <w:p>
      <w:pPr>
        <w:pStyle w:val="Heading2"/>
        <w:keepNext/>
      </w:pPr>
      <w:r>
        <w:rPr>
          <w:rFonts w:ascii="Times New Roman" w:hAnsi="Times New Roman" w:eastAsia="Noto Sans CJK SC"/>
          <w:b/>
          <w:i w:val="0"/>
          <w:color w:val="2D4960"/>
          <w:sz w:val="25"/>
        </w:rPr>
        <w:t>10.3 求解方法（正文写法）</w:t>
      </w:r>
    </w:p>
    <w:p>
      <w:pPr>
        <w:spacing w:line="300" w:lineRule="auto" w:after="80"/>
        <w:ind w:firstLine="420"/>
      </w:pPr>
      <w:r>
        <w:rPr>
          <w:rFonts w:ascii="Times New Roman" w:hAnsi="Times New Roman" w:eastAsia="Noto Serif CJK SC"/>
          <w:b w:val="0"/>
          <w:i w:val="0"/>
          <w:sz w:val="21"/>
        </w:rPr>
        <w:t>程序采用Python实现。首先读取sampling_records并根据sample_design分流：固定样本调用SciPy Beta分位数得到精确二项上界，序贯样本调用问题一e-process并通过Brent法反演上界；随后构造90%与95%系统同时置信向量。对于问题二，在每个参数向量下直接生成64个静态策略，调用Bellman线性方程精确评价并排序；对于问题三，先利用BOM后序遍历与记忆化递推得到最优静态节点策略，再对题目实例独立枚举65536个16位策略进行交叉验证。全流程不使用遗传算法、蚁群算法或模拟退火，因为候选空间与精确评价器已经允许全局可审计求解。</w:t>
      </w:r>
    </w:p>
    <w:p>
      <w:pPr>
        <w:spacing w:line="300" w:lineRule="auto" w:after="80"/>
        <w:ind w:firstLine="420"/>
      </w:pPr>
      <w:r>
        <w:rPr>
          <w:rFonts w:ascii="Times New Roman" w:hAnsi="Times New Roman" w:eastAsia="Noto Serif CJK SC"/>
          <w:b w:val="0"/>
          <w:i w:val="0"/>
          <w:sz w:val="21"/>
        </w:rPr>
        <w:t>最后使用parametric bootstrap检验策略稳定性。固定样本按Binomial(n_j,p_hat_j)重复抽样；序贯样本按同一Q1停止规则逐件模拟。每次重新计算置信上界并重新优化，得到策略稳定率R_π及其Monte Carlo标准误。模拟次数采用逐级翻倍的收敛判定，不进入主模型参数。</w:t>
      </w:r>
    </w:p>
    <w:p>
      <w:pPr>
        <w:pStyle w:val="Heading2"/>
        <w:keepNext/>
      </w:pPr>
      <w:r>
        <w:rPr>
          <w:rFonts w:ascii="Times New Roman" w:hAnsi="Times New Roman" w:eastAsia="Noto Sans CJK SC"/>
          <w:b/>
          <w:i w:val="0"/>
          <w:color w:val="2D4960"/>
          <w:sz w:val="25"/>
        </w:rPr>
        <w:t>10.4 结果分析应怎样写（不虚构结果的模板）</w:t>
      </w:r>
    </w:p>
    <w:p>
      <w:pPr>
        <w:spacing w:line="300" w:lineRule="auto" w:after="80"/>
        <w:ind w:firstLine="420"/>
      </w:pPr>
      <w:r>
        <w:rPr>
          <w:rFonts w:ascii="Times New Roman" w:hAnsi="Times New Roman" w:eastAsia="Noto Serif CJK SC"/>
          <w:b w:val="0"/>
          <w:i w:val="0"/>
          <w:sz w:val="21"/>
        </w:rPr>
        <w:t>结果部分先报告抽样证据，而不是先报“最优策略”。表中逐参数列出n_j、k_j、p_hat_j、90%/95%同时上界，特别标记宽度最大的节点。随后分别给出Q2六种情形和Q3实例的名义、90%稳健、95%稳健策略。若三者完全一致，应进一步用Δ和R_π证明“不是碰巧一样”；若风险水平提高后策略改变，则解释具体是哪一个质量参数上界跨过了检测/拆解决策的经济临界区。</w:t>
      </w:r>
    </w:p>
    <w:p>
      <w:pPr>
        <w:spacing w:line="300" w:lineRule="auto" w:after="80"/>
        <w:ind w:firstLine="420"/>
      </w:pPr>
      <w:r>
        <w:rPr>
          <w:rFonts w:ascii="Times New Roman" w:hAnsi="Times New Roman" w:eastAsia="Noto Serif CJK SC"/>
          <w:b w:val="0"/>
          <w:i w:val="0"/>
          <w:sz w:val="21"/>
        </w:rPr>
        <w:t>对Q2，建议用“情形—风险水平—六位策略—最坏期望利润—Δ”表作为主结果；对Q3，建议同时给16位编码和BOM节点语义，避免评委只看到一串0/1。若95%稳健策略相较名义策略牺牲少量名义利润但显著提高最坏利润和稳定率，可以将其解释为企业为统计不确定性支付的“安全成本”；反之，若名义策略在90%/95%下均不切换且Δ、Rπ都较强，则说明现有抽样信息已经足以支持原生产决策。</w:t>
      </w:r>
    </w:p>
    <w:tbl>
      <w:tblPr>
        <w:tblW w:type="auto" w:w="0"/>
        <w:jc w:val="center"/>
        <w:tblLook w:firstColumn="1" w:firstRow="1" w:lastColumn="0" w:lastRow="0" w:noHBand="0" w:noVBand="1" w:val="04A0"/>
        <w:tblBorders>
          <w:top w:val="single" w:sz="8" w:space="0" w:color="7EA6C7"/>
          <w:left w:val="single" w:sz="8" w:space="0" w:color="7EA6C7"/>
          <w:bottom w:val="single" w:sz="8" w:space="0" w:color="7EA6C7"/>
          <w:right w:val="single" w:sz="8" w:space="0" w:color="7EA6C7"/>
        </w:tblBorders>
      </w:tblPr>
      <w:tblGrid>
        <w:gridCol w:w="9802"/>
      </w:tblGrid>
      <w:tr>
        <w:trPr>
          <w:tblHeader w:val="true"/>
        </w:trPr>
        <w:tc>
          <w:tcPr>
            <w:tcW w:type="dxa" w:w="9802"/>
            <w:shd w:fill="EEF5FB"/>
            <w:tcMar>
              <w:top w:w="110" w:type="dxa"/>
              <w:start w:w="150" w:type="dxa"/>
              <w:bottom w:w="110" w:type="dxa"/>
              <w:end w:w="150" w:type="dxa"/>
            </w:tcMar>
          </w:tcPr>
          <w:p>
            <w:r>
              <w:rPr>
                <w:rFonts w:ascii="Times New Roman" w:hAnsi="Times New Roman" w:eastAsia="Noto Sans CJK SC"/>
                <w:b/>
                <w:i w:val="0"/>
                <w:color w:val="215074"/>
                <w:sz w:val="20"/>
              </w:rPr>
              <w:t>结果陈述底线：</w:t>
            </w:r>
            <w:r>
              <w:rPr>
                <w:rFonts w:ascii="Times New Roman" w:hAnsi="Times New Roman" w:eastAsia="Noto Serif CJK SC"/>
                <w:b w:val="0"/>
                <w:i w:val="0"/>
                <w:sz w:val="20"/>
              </w:rPr>
              <w:t>在真正取得各quality_id的n、k、design之前，正文的稳健策略、UCB和稳定率只能保留为程序输出占位符。名义Q2/Q3结果可作为回归测试，但不能替代Q4结果。</w:t>
            </w:r>
          </w:p>
        </w:tc>
      </w:tr>
    </w:tbl>
    <w:p>
      <w:pPr>
        <w:spacing w:after="0"/>
      </w:pPr>
    </w:p>
    <w:p>
      <w:pPr>
        <w:pStyle w:val="Heading2"/>
        <w:keepNext/>
      </w:pPr>
      <w:r>
        <w:rPr>
          <w:rFonts w:ascii="Times New Roman" w:hAnsi="Times New Roman" w:eastAsia="Noto Sans CJK SC"/>
          <w:b/>
          <w:i w:val="0"/>
          <w:color w:val="2D4960"/>
          <w:sz w:val="25"/>
        </w:rPr>
        <w:t>10.5 模型检验（正文写法）</w:t>
      </w:r>
    </w:p>
    <w:p>
      <w:pPr>
        <w:spacing w:line="300" w:lineRule="auto" w:after="80"/>
        <w:ind w:firstLine="420"/>
      </w:pPr>
      <w:r>
        <w:rPr>
          <w:rFonts w:ascii="Times New Roman" w:hAnsi="Times New Roman" w:eastAsia="Noto Serif CJK SC"/>
          <w:b w:val="0"/>
          <w:i w:val="0"/>
          <w:sz w:val="21"/>
        </w:rPr>
        <w:t>本文从统计层、生产层和不确定性传播层进行三级检验。统计层通过重复Binomial/序贯抽样验证90%与95%上置信边界的经验覆盖率；生产层要求Q2在无拆解退化情形与解析几何期望一致，Q3在名义和稳健参数向量下的分层递推与65536静态枚举一致；传播层则验证利润关于各次品率的单调性，并在置信区间宽度趋零时检查第四问是否退化回问题二、问题三。最后使用同设计bootstrap报告策略稳定率与Monte Carlo误差，避免只用“结果符合常识”作为模型正确性的证据。</w:t>
      </w:r>
    </w:p>
    <w:p>
      <w:pPr>
        <w:pStyle w:val="Heading1"/>
        <w:keepNext/>
      </w:pPr>
      <w:r>
        <w:rPr>
          <w:rFonts w:ascii="Times New Roman" w:hAnsi="Times New Roman" w:eastAsia="Noto Sans CJK SC"/>
          <w:b/>
          <w:i w:val="0"/>
          <w:color w:val="1F4E79"/>
          <w:sz w:val="30"/>
        </w:rPr>
        <w:t>11 竞赛落地检查清单与答辩防守</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4901"/>
        <w:gridCol w:w="4901"/>
      </w:tblGrid>
      <w:tr>
        <w:trPr>
          <w:tblHeader w:val="true"/>
        </w:trPr>
        <w:tc>
          <w:tcPr>
            <w:tcW w:type="dxa" w:w="2835"/>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评委可能追问</w:t>
            </w:r>
          </w:p>
        </w:tc>
        <w:tc>
          <w:tcPr>
            <w:tcW w:type="dxa" w:w="6803"/>
            <w:vAlign w:val="center"/>
            <w:tcMar>
              <w:top w:w="70" w:type="dxa"/>
              <w:start w:w="85" w:type="dxa"/>
              <w:bottom w:w="70" w:type="dxa"/>
              <w:end w:w="85" w:type="dxa"/>
            </w:tcMar>
            <w:shd w:fill="DCEAF7"/>
          </w:tcPr>
          <w:p>
            <w:pPr>
              <w:jc w:val="center"/>
            </w:pPr>
            <w:r>
              <w:rPr>
                <w:rFonts w:ascii="Times New Roman" w:hAnsi="Times New Roman" w:eastAsia="Noto Sans CJK SC"/>
                <w:b/>
                <w:i w:val="0"/>
                <w:sz w:val="17"/>
              </w:rPr>
              <w:t>建议回答</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为什么不用优秀论文的n=10000？</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题目没有给样本量。10%点估计无法识别区间宽度；n=10000只能作为其论文演示，不能成为我们的数据。</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为什么不直接用Beta(1,1)？</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题目没有先验。Beta-Binomial是合理的条件扩展，但主模型用置信边界不需要主观先验；若有历史数据再启用Bayes。</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为什么不用正态3σ？</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原始观测是Bernoulli，精确二项分布已知；没有n和σ时3σ更缺依据。</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为什么Q4还用Q2/Q3原模型？</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问题四改变的是p的来源，不是生产物理过程。复用已验证评价器能把“抽样误差的影响”单独识别出来。</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为什么最坏点取所有上界？</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固定策略下缺陷率提高会弱化成功率并增加非负失败成本；同时程序逐参数检验单调性，若不成立就退回直接最小化。</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12个参数分别95%上界就是系统95%吗？</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不是。正文用α/d分配构造同时上界；逐参数未校正区间只作敏感性对照。</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为什么不使用GA/ACO/SA？</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Q2静态空间64、Q3本例65536，且评价器精确。全枚举/DP能提供更强的可复现全局最优证据。</w:t>
            </w:r>
          </w:p>
        </w:tc>
      </w:tr>
      <w:tr>
        <w:tc>
          <w:tcPr>
            <w:tcW w:type="dxa" w:w="2835"/>
            <w:vAlign w:val="center"/>
            <w:tcMar>
              <w:top w:w="70" w:type="dxa"/>
              <w:start w:w="85" w:type="dxa"/>
              <w:bottom w:w="70" w:type="dxa"/>
              <w:end w:w="85" w:type="dxa"/>
            </w:tcMar>
          </w:tcPr>
          <w:p>
            <w:pPr>
              <w:jc w:val="center"/>
            </w:pPr>
            <w:r>
              <w:rPr>
                <w:rFonts w:ascii="Times New Roman" w:hAnsi="Times New Roman" w:eastAsia="Noto Serif CJK SC"/>
                <w:b w:val="0"/>
                <w:i w:val="0"/>
                <w:sz w:val="17"/>
              </w:rPr>
              <w:t>样本不够时是不是必须给一个策略？</w:t>
            </w:r>
          </w:p>
        </w:tc>
        <w:tc>
          <w:tcPr>
            <w:tcW w:type="dxa" w:w="6803"/>
            <w:vAlign w:val="center"/>
            <w:tcMar>
              <w:top w:w="70" w:type="dxa"/>
              <w:start w:w="85" w:type="dxa"/>
              <w:bottom w:w="70" w:type="dxa"/>
              <w:end w:w="85" w:type="dxa"/>
            </w:tcMar>
          </w:tcPr>
          <w:p>
            <w:pPr>
              <w:jc w:val="left"/>
            </w:pPr>
            <w:r>
              <w:rPr>
                <w:rFonts w:ascii="Times New Roman" w:hAnsi="Times New Roman" w:eastAsia="Noto Serif CJK SC"/>
                <w:b w:val="0"/>
                <w:i w:val="0"/>
                <w:sz w:val="17"/>
              </w:rPr>
              <w:t>不一定。若Δ很小、Rπ分散，应报告策略不稳定并建议补充抽样或采用95%稳健策略，这比伪造确定性结论更符合管理实际。</w:t>
            </w:r>
          </w:p>
        </w:tc>
      </w:tr>
    </w:tbl>
    <w:p>
      <w:pPr>
        <w:pStyle w:val="ListBullet"/>
        <w:spacing w:after="50"/>
        <w:ind w:left="340" w:hanging="142"/>
      </w:pPr>
      <w:r>
        <w:rPr>
          <w:rFonts w:ascii="Times New Roman" w:hAnsi="Times New Roman" w:eastAsia="Noto Serif CJK SC"/>
          <w:b w:val="0"/>
          <w:i w:val="0"/>
          <w:sz w:val="20"/>
        </w:rPr>
        <w:t>确认p_hat仅作名义输入，所有Q4稳健结果都由真实n,k,design计算。</w:t>
      </w:r>
    </w:p>
    <w:p>
      <w:pPr>
        <w:pStyle w:val="ListBullet"/>
        <w:spacing w:after="50"/>
        <w:ind w:left="340" w:hanging="142"/>
      </w:pPr>
      <w:r>
        <w:rPr>
          <w:rFonts w:ascii="Times New Roman" w:hAnsi="Times New Roman" w:eastAsia="Noto Serif CJK SC"/>
          <w:b w:val="0"/>
          <w:i w:val="0"/>
          <w:sz w:val="20"/>
        </w:rPr>
        <w:t>确认序贯停止数据没有套普通固定样本置信区间。</w:t>
      </w:r>
    </w:p>
    <w:p>
      <w:pPr>
        <w:pStyle w:val="ListBullet"/>
        <w:spacing w:after="50"/>
        <w:ind w:left="340" w:hanging="142"/>
      </w:pPr>
      <w:r>
        <w:rPr>
          <w:rFonts w:ascii="Times New Roman" w:hAnsi="Times New Roman" w:eastAsia="Noto Serif CJK SC"/>
          <w:b w:val="0"/>
          <w:i w:val="0"/>
          <w:sz w:val="20"/>
        </w:rPr>
        <w:t>确认H1/H2/H3/F的工序样本全部由已知合格输入装配得到。</w:t>
      </w:r>
    </w:p>
    <w:p>
      <w:pPr>
        <w:pStyle w:val="ListBullet"/>
        <w:spacing w:after="50"/>
        <w:ind w:left="340" w:hanging="142"/>
      </w:pPr>
      <w:r>
        <w:rPr>
          <w:rFonts w:ascii="Times New Roman" w:hAnsi="Times New Roman" w:eastAsia="Noto Serif CJK SC"/>
          <w:b w:val="0"/>
          <w:i w:val="0"/>
          <w:sz w:val="20"/>
        </w:rPr>
        <w:t>确认系统95%采用同时置信上界或明确标注为componentwise。</w:t>
      </w:r>
    </w:p>
    <w:p>
      <w:pPr>
        <w:pStyle w:val="ListBullet"/>
        <w:spacing w:after="50"/>
        <w:ind w:left="340" w:hanging="142"/>
      </w:pPr>
      <w:r>
        <w:rPr>
          <w:rFonts w:ascii="Times New Roman" w:hAnsi="Times New Roman" w:eastAsia="Noto Serif CJK SC"/>
          <w:b w:val="0"/>
          <w:i w:val="0"/>
          <w:sz w:val="20"/>
        </w:rPr>
        <w:t>确认每个风险水平都重新优化，而不是只评估名义最优策略。</w:t>
      </w:r>
    </w:p>
    <w:p>
      <w:pPr>
        <w:pStyle w:val="ListBullet"/>
        <w:spacing w:after="50"/>
        <w:ind w:left="340" w:hanging="142"/>
      </w:pPr>
      <w:r>
        <w:rPr>
          <w:rFonts w:ascii="Times New Roman" w:hAnsi="Times New Roman" w:eastAsia="Noto Serif CJK SC"/>
          <w:b w:val="0"/>
          <w:i w:val="0"/>
          <w:sz w:val="20"/>
        </w:rPr>
        <w:t>确认Q2稳健参数下检查ρ(Q)&lt;1；Q3稳健参数下DP与静态枚举交叉验证。</w:t>
      </w:r>
    </w:p>
    <w:p>
      <w:pPr>
        <w:pStyle w:val="ListBullet"/>
        <w:spacing w:after="50"/>
        <w:ind w:left="340" w:hanging="142"/>
      </w:pPr>
      <w:r>
        <w:rPr>
          <w:rFonts w:ascii="Times New Roman" w:hAnsi="Times New Roman" w:eastAsia="Noto Serif CJK SC"/>
          <w:b w:val="0"/>
          <w:i w:val="0"/>
          <w:sz w:val="20"/>
        </w:rPr>
        <w:t>确认Bootstrap复现原抽样设计，并报告数值标准误。</w:t>
      </w:r>
    </w:p>
    <w:p>
      <w:pPr>
        <w:pStyle w:val="ListBullet"/>
        <w:spacing w:after="50"/>
        <w:ind w:left="340" w:hanging="142"/>
      </w:pPr>
      <w:r>
        <w:rPr>
          <w:rFonts w:ascii="Times New Roman" w:hAnsi="Times New Roman" w:eastAsia="Noto Serif CJK SC"/>
          <w:b w:val="0"/>
          <w:i w:val="0"/>
          <w:sz w:val="20"/>
        </w:rPr>
        <w:t>确认所有设计情景参数（若使用）均明确标注“情景”，不写成题目数据。</w:t>
      </w:r>
    </w:p>
    <w:p>
      <w:pPr>
        <w:pStyle w:val="Heading1"/>
        <w:keepNext/>
      </w:pPr>
      <w:r>
        <w:rPr>
          <w:rFonts w:ascii="Times New Roman" w:hAnsi="Times New Roman" w:eastAsia="Noto Sans CJK SC"/>
          <w:b/>
          <w:i w:val="0"/>
          <w:color w:val="1F4E79"/>
          <w:sz w:val="30"/>
        </w:rPr>
        <w:t>12 参考资料</w:t>
      </w:r>
    </w:p>
    <w:p>
      <w:pPr>
        <w:spacing w:after="60"/>
        <w:ind w:left="369" w:hanging="369"/>
      </w:pPr>
      <w:r>
        <w:rPr>
          <w:rFonts w:ascii="Times New Roman" w:hAnsi="Times New Roman" w:eastAsia="Noto Serif CJK SC"/>
          <w:b w:val="0"/>
          <w:i w:val="0"/>
          <w:sz w:val="18"/>
        </w:rPr>
        <w:t>[1] 2024年高教社杯全国大学生数学建模竞赛B题：《生产过程中的决策问题》及附录、表1、表2。</w:t>
      </w:r>
    </w:p>
    <w:p>
      <w:pPr>
        <w:spacing w:after="60"/>
        <w:ind w:left="369" w:hanging="369"/>
      </w:pPr>
      <w:r>
        <w:rPr>
          <w:rFonts w:ascii="Times New Roman" w:hAnsi="Times New Roman" w:eastAsia="Noto Serif CJK SC"/>
          <w:b w:val="0"/>
          <w:i w:val="0"/>
          <w:sz w:val="18"/>
        </w:rPr>
        <w:t>[2] 问题一建模手册：《精确二项推断 + 任意时刻有效的序贯抽样决策》（本项目内部资料）。</w:t>
      </w:r>
    </w:p>
    <w:p>
      <w:pPr>
        <w:spacing w:after="60"/>
        <w:ind w:left="369" w:hanging="369"/>
      </w:pPr>
      <w:r>
        <w:rPr>
          <w:rFonts w:ascii="Times New Roman" w:hAnsi="Times New Roman" w:eastAsia="Noto Serif CJK SC"/>
          <w:b w:val="0"/>
          <w:i w:val="0"/>
          <w:sz w:val="18"/>
        </w:rPr>
        <w:t>[3] 问题二建模手册：《基于解析概率传播与信息保持型闭环 Bellman–Markov 决策模型》（本项目内部资料）。</w:t>
      </w:r>
    </w:p>
    <w:p>
      <w:pPr>
        <w:spacing w:after="60"/>
        <w:ind w:left="369" w:hanging="369"/>
      </w:pPr>
      <w:r>
        <w:rPr>
          <w:rFonts w:ascii="Times New Roman" w:hAnsi="Times New Roman" w:eastAsia="Noto Serif CJK SC"/>
          <w:b w:val="0"/>
          <w:i w:val="0"/>
          <w:sz w:val="18"/>
        </w:rPr>
        <w:t>[4] 问题三建模手册：《基于信息保持型 BOM 分层状态压缩递推与精确枚举交叉验证》（本项目内部资料）。</w:t>
      </w:r>
    </w:p>
    <w:p>
      <w:pPr>
        <w:spacing w:after="60"/>
        <w:ind w:left="369" w:hanging="369"/>
      </w:pPr>
      <w:r>
        <w:rPr>
          <w:rFonts w:ascii="Times New Roman" w:hAnsi="Times New Roman" w:eastAsia="Noto Serif CJK SC"/>
          <w:b w:val="0"/>
          <w:i w:val="0"/>
          <w:sz w:val="18"/>
        </w:rPr>
        <w:t>[5] 用户提供优秀论文：《基于多阶段模拟仿真的生产决策问题》，重点参考第18–21页第四问的Beta后验与区间扰动。</w:t>
      </w:r>
    </w:p>
    <w:p>
      <w:pPr>
        <w:spacing w:after="60"/>
        <w:ind w:left="369" w:hanging="369"/>
      </w:pPr>
      <w:r>
        <w:rPr>
          <w:rFonts w:ascii="Times New Roman" w:hAnsi="Times New Roman" w:eastAsia="Noto Serif CJK SC"/>
          <w:b w:val="0"/>
          <w:i w:val="0"/>
          <w:sz w:val="18"/>
        </w:rPr>
        <w:t>[6] 用户提供优秀论文：《基于蚁群算法与遗传算法优化的蒙特卡洛模拟在生产决策优化中的应用研究》，重点参考第20–22页抽样鲁棒性分析。</w:t>
      </w:r>
    </w:p>
    <w:p>
      <w:pPr>
        <w:spacing w:after="60"/>
        <w:ind w:left="369" w:hanging="369"/>
      </w:pPr>
      <w:r>
        <w:rPr>
          <w:rFonts w:ascii="Times New Roman" w:hAnsi="Times New Roman" w:eastAsia="Noto Serif CJK SC"/>
          <w:b w:val="0"/>
          <w:i w:val="0"/>
          <w:sz w:val="18"/>
        </w:rPr>
        <w:t>[7] 用户提供优秀论文：《生产过程中的决策优化设计》，重点参考第18–22页Beta-Binomial、期望利润与超参数灵敏度。</w:t>
      </w:r>
    </w:p>
    <w:p>
      <w:pPr>
        <w:spacing w:after="60"/>
        <w:ind w:left="369" w:hanging="369"/>
      </w:pPr>
      <w:r>
        <w:rPr>
          <w:rFonts w:ascii="Times New Roman" w:hAnsi="Times New Roman" w:eastAsia="Noto Serif CJK SC"/>
          <w:b w:val="0"/>
          <w:i w:val="0"/>
          <w:sz w:val="18"/>
        </w:rPr>
        <w:t>[8] Howard, S. R., Ramdas, A., McAuliffe, J., &amp; Sekhon, J. S. (2021). Time-uniform, nonparametric, nonasymptotic confidence sequences. The Annals of Statistics, 49(2), 1055–1080. DOI: 10.1214/20-AOS1991.</w:t>
      </w:r>
    </w:p>
    <w:p>
      <w:pPr>
        <w:spacing w:after="60"/>
        <w:ind w:left="369" w:hanging="369"/>
      </w:pPr>
      <w:r>
        <w:rPr>
          <w:rFonts w:ascii="Times New Roman" w:hAnsi="Times New Roman" w:eastAsia="Noto Serif CJK SC"/>
          <w:b w:val="0"/>
          <w:i w:val="0"/>
          <w:sz w:val="18"/>
        </w:rPr>
        <w:t>[9] Assid, M., Gharbi, A., &amp; Hajji, A. (2023). Integrated control policies of production, returns’ replenishment and inspection for unreliable hybrid manufacturing-remanufacturing systems with a quality constraint. Computers &amp; Industrial Engineering, 176, 109000. DOI: 10.1016/j.cie.2023.109000.</w:t>
      </w:r>
    </w:p>
    <w:p>
      <w:pPr>
        <w:spacing w:after="60"/>
        <w:ind w:left="369" w:hanging="369"/>
      </w:pPr>
      <w:r>
        <w:rPr>
          <w:rFonts w:ascii="Times New Roman" w:hAnsi="Times New Roman" w:eastAsia="Noto Serif CJK SC"/>
          <w:b w:val="0"/>
          <w:i w:val="0"/>
          <w:sz w:val="18"/>
        </w:rPr>
        <w:t>[10] Zhou, B., &amp; Zha, W. (2024; first online 2023). Performance evaluation and optimization model for closed-loop production lines considering preventive maintenance and rework process. Proceedings of the Institution of Mechanical Engineers, Part E. DOI: 10.1177/09544089231160514.</w:t>
      </w:r>
    </w:p>
    <w:p>
      <w:pPr>
        <w:pStyle w:val="Heading1"/>
        <w:keepNext/>
      </w:pPr>
      <w:r>
        <w:rPr>
          <w:rFonts w:ascii="Times New Roman" w:hAnsi="Times New Roman" w:eastAsia="Noto Sans CJK SC"/>
          <w:b/>
          <w:i w:val="0"/>
          <w:color w:val="1F4E79"/>
          <w:sz w:val="30"/>
        </w:rPr>
        <w:t>附录A：建议项目目录与数据接口</w:t>
      </w:r>
    </w:p>
    <w:tbl>
      <w:tblPr>
        <w:tblW w:type="auto" w:w="0"/>
        <w:tblLook w:firstColumn="1" w:firstRow="1" w:lastColumn="0" w:lastRow="0" w:noHBand="0" w:noVBand="1" w:val="04A0"/>
        <w:tblBorders>
          <w:top w:val="single" w:sz="5" w:space="0" w:color="CBD5E1"/>
          <w:left w:val="single" w:sz="5" w:space="0" w:color="CBD5E1"/>
          <w:bottom w:val="single" w:sz="5" w:space="0" w:color="CBD5E1"/>
          <w:right w:val="single" w:sz="5" w:space="0" w:color="CBD5E1"/>
        </w:tblBorders>
      </w:tblPr>
      <w:tblGrid>
        <w:gridCol w:w="9802"/>
      </w:tblGrid>
      <w:tr>
        <w:trPr>
          <w:tblHeader w:val="true"/>
        </w:trPr>
        <w:tc>
          <w:tcPr>
            <w:tcW w:type="dxa" w:w="9802"/>
            <w:shd w:fill="F7F9FB"/>
            <w:tcMar>
              <w:top w:w="100" w:type="dxa"/>
              <w:start w:w="120" w:type="dxa"/>
              <w:bottom w:w="100" w:type="dxa"/>
              <w:end w:w="120" w:type="dxa"/>
            </w:tcMar>
          </w:tcPr>
          <w:p>
            <w:pPr>
              <w:spacing w:line="240" w:lineRule="auto" w:after="0"/>
              <w:ind w:firstLine="0"/>
            </w:pPr>
            <w:r>
              <w:rPr>
                <w:rFonts w:ascii="DejaVu Sans Mono" w:hAnsi="DejaVu Sans Mono" w:eastAsia="Noto Sans Mono CJK SC"/>
                <w:b w:val="0"/>
                <w:i w:val="0"/>
                <w:sz w:val="15"/>
              </w:rPr>
              <w:t>project/</w:t>
            </w:r>
            <w:r>
              <w:br/>
            </w:r>
            <w:r>
              <w:rPr>
                <w:rFonts w:ascii="DejaVu Sans Mono" w:hAnsi="DejaVu Sans Mono" w:eastAsia="Noto Sans Mono CJK SC"/>
                <w:b w:val="0"/>
                <w:i w:val="0"/>
                <w:sz w:val="15"/>
              </w:rPr>
              <w:t>├── data/</w:t>
            </w:r>
            <w:r>
              <w:br/>
            </w:r>
            <w:r>
              <w:rPr>
                <w:rFonts w:ascii="DejaVu Sans Mono" w:hAnsi="DejaVu Sans Mono" w:eastAsia="Noto Sans Mono CJK SC"/>
                <w:b w:val="0"/>
                <w:i w:val="0"/>
                <w:sz w:val="15"/>
              </w:rPr>
              <w:t>│   ├── q2_scenarios.csv</w:t>
            </w:r>
            <w:r>
              <w:br/>
            </w:r>
            <w:r>
              <w:rPr>
                <w:rFonts w:ascii="DejaVu Sans Mono" w:hAnsi="DejaVu Sans Mono" w:eastAsia="Noto Sans Mono CJK SC"/>
                <w:b w:val="0"/>
                <w:i w:val="0"/>
                <w:sz w:val="15"/>
              </w:rPr>
              <w:t>│   ├── q3_nodes.csv</w:t>
            </w:r>
            <w:r>
              <w:br/>
            </w:r>
            <w:r>
              <w:rPr>
                <w:rFonts w:ascii="DejaVu Sans Mono" w:hAnsi="DejaVu Sans Mono" w:eastAsia="Noto Sans Mono CJK SC"/>
                <w:b w:val="0"/>
                <w:i w:val="0"/>
                <w:sz w:val="15"/>
              </w:rPr>
              <w:t>│   ├── q3_edges.csv</w:t>
            </w:r>
            <w:r>
              <w:br/>
            </w:r>
            <w:r>
              <w:rPr>
                <w:rFonts w:ascii="DejaVu Sans Mono" w:hAnsi="DejaVu Sans Mono" w:eastAsia="Noto Sans Mono CJK SC"/>
                <w:b w:val="0"/>
                <w:i w:val="0"/>
                <w:sz w:val="15"/>
              </w:rPr>
              <w:t>│   └── sampling_records.csv      # Q4唯一新增核心数据</w:t>
            </w:r>
            <w:r>
              <w:br/>
            </w:r>
            <w:r>
              <w:rPr>
                <w:rFonts w:ascii="DejaVu Sans Mono" w:hAnsi="DejaVu Sans Mono" w:eastAsia="Noto Sans Mono CJK SC"/>
                <w:b w:val="0"/>
                <w:i w:val="0"/>
                <w:sz w:val="15"/>
              </w:rPr>
              <w:t>├── src/</w:t>
            </w:r>
            <w:r>
              <w:br/>
            </w:r>
            <w:r>
              <w:rPr>
                <w:rFonts w:ascii="DejaVu Sans Mono" w:hAnsi="DejaVu Sans Mono" w:eastAsia="Noto Sans Mono CJK SC"/>
                <w:b w:val="0"/>
                <w:i w:val="0"/>
                <w:sz w:val="15"/>
              </w:rPr>
              <w:t>│   ├── q1_eprocess.py            # sequential upper CS</w:t>
            </w:r>
            <w:r>
              <w:br/>
            </w:r>
            <w:r>
              <w:rPr>
                <w:rFonts w:ascii="DejaVu Sans Mono" w:hAnsi="DejaVu Sans Mono" w:eastAsia="Noto Sans Mono CJK SC"/>
                <w:b w:val="0"/>
                <w:i w:val="0"/>
                <w:sz w:val="15"/>
              </w:rPr>
              <w:t>│   ├── q4_uncertainty.py         # CP / confidence sequence / simultaneous bounds</w:t>
            </w:r>
            <w:r>
              <w:br/>
            </w:r>
            <w:r>
              <w:rPr>
                <w:rFonts w:ascii="DejaVu Sans Mono" w:hAnsi="DejaVu Sans Mono" w:eastAsia="Noto Sans Mono CJK SC"/>
                <w:b w:val="0"/>
                <w:i w:val="0"/>
                <w:sz w:val="15"/>
              </w:rPr>
              <w:t>│   ├── q2_model.py               # reuse; do not copy</w:t>
            </w:r>
            <w:r>
              <w:br/>
            </w:r>
            <w:r>
              <w:rPr>
                <w:rFonts w:ascii="DejaVu Sans Mono" w:hAnsi="DejaVu Sans Mono" w:eastAsia="Noto Sans Mono CJK SC"/>
                <w:b w:val="0"/>
                <w:i w:val="0"/>
                <w:sz w:val="15"/>
              </w:rPr>
              <w:t>│   ├── q3_dp.py                  # reuse; do not copy</w:t>
            </w:r>
            <w:r>
              <w:br/>
            </w:r>
            <w:r>
              <w:rPr>
                <w:rFonts w:ascii="DejaVu Sans Mono" w:hAnsi="DejaVu Sans Mono" w:eastAsia="Noto Sans Mono CJK SC"/>
                <w:b w:val="0"/>
                <w:i w:val="0"/>
                <w:sz w:val="15"/>
              </w:rPr>
              <w:t>│   ├── q4_robust.py              # robust re-optimization</w:t>
            </w:r>
            <w:r>
              <w:br/>
            </w:r>
            <w:r>
              <w:rPr>
                <w:rFonts w:ascii="DejaVu Sans Mono" w:hAnsi="DejaVu Sans Mono" w:eastAsia="Noto Sans Mono CJK SC"/>
                <w:b w:val="0"/>
                <w:i w:val="0"/>
                <w:sz w:val="15"/>
              </w:rPr>
              <w:t>│   ├── q4_bootstrap.py           # same-design stability validation</w:t>
            </w:r>
            <w:r>
              <w:br/>
            </w:r>
            <w:r>
              <w:rPr>
                <w:rFonts w:ascii="DejaVu Sans Mono" w:hAnsi="DejaVu Sans Mono" w:eastAsia="Noto Sans Mono CJK SC"/>
                <w:b w:val="0"/>
                <w:i w:val="0"/>
                <w:sz w:val="15"/>
              </w:rPr>
              <w:t>│   └── validation.py</w:t>
            </w:r>
            <w:r>
              <w:br/>
            </w:r>
            <w:r>
              <w:rPr>
                <w:rFonts w:ascii="DejaVu Sans Mono" w:hAnsi="DejaVu Sans Mono" w:eastAsia="Noto Sans Mono CJK SC"/>
                <w:b w:val="0"/>
                <w:i w:val="0"/>
                <w:sz w:val="15"/>
              </w:rPr>
              <w:t>├── output/</w:t>
            </w:r>
            <w:r>
              <w:br/>
            </w:r>
            <w:r>
              <w:rPr>
                <w:rFonts w:ascii="DejaVu Sans Mono" w:hAnsi="DejaVu Sans Mono" w:eastAsia="Noto Sans Mono CJK SC"/>
                <w:b w:val="0"/>
                <w:i w:val="0"/>
                <w:sz w:val="15"/>
              </w:rPr>
              <w:t>│   ├── q4_intervals.csv</w:t>
            </w:r>
            <w:r>
              <w:br/>
            </w:r>
            <w:r>
              <w:rPr>
                <w:rFonts w:ascii="DejaVu Sans Mono" w:hAnsi="DejaVu Sans Mono" w:eastAsia="Noto Sans Mono CJK SC"/>
                <w:b w:val="0"/>
                <w:i w:val="0"/>
                <w:sz w:val="15"/>
              </w:rPr>
              <w:t>│   ├── q4_q2_policy.csv</w:t>
            </w:r>
            <w:r>
              <w:br/>
            </w:r>
            <w:r>
              <w:rPr>
                <w:rFonts w:ascii="DejaVu Sans Mono" w:hAnsi="DejaVu Sans Mono" w:eastAsia="Noto Sans Mono CJK SC"/>
                <w:b w:val="0"/>
                <w:i w:val="0"/>
                <w:sz w:val="15"/>
              </w:rPr>
              <w:t>│   ├── q4_q3_policy.csv</w:t>
            </w:r>
            <w:r>
              <w:br/>
            </w:r>
            <w:r>
              <w:rPr>
                <w:rFonts w:ascii="DejaVu Sans Mono" w:hAnsi="DejaVu Sans Mono" w:eastAsia="Noto Sans Mono CJK SC"/>
                <w:b w:val="0"/>
                <w:i w:val="0"/>
                <w:sz w:val="15"/>
              </w:rPr>
              <w:t>│   ├── q4_topk.csv</w:t>
            </w:r>
            <w:r>
              <w:br/>
            </w:r>
            <w:r>
              <w:rPr>
                <w:rFonts w:ascii="DejaVu Sans Mono" w:hAnsi="DejaVu Sans Mono" w:eastAsia="Noto Sans Mono CJK SC"/>
                <w:b w:val="0"/>
                <w:i w:val="0"/>
                <w:sz w:val="15"/>
              </w:rPr>
              <w:t>│   └── q4_bootstrap.csv</w:t>
            </w:r>
            <w:r>
              <w:br/>
            </w:r>
            <w:r>
              <w:rPr>
                <w:rFonts w:ascii="DejaVu Sans Mono" w:hAnsi="DejaVu Sans Mono" w:eastAsia="Noto Sans Mono CJK SC"/>
                <w:b w:val="0"/>
                <w:i w:val="0"/>
                <w:sz w:val="15"/>
              </w:rPr>
              <w:t>└── matlab/</w:t>
            </w:r>
            <w:r>
              <w:br/>
            </w:r>
            <w:r>
              <w:rPr>
                <w:rFonts w:ascii="DejaVu Sans Mono" w:hAnsi="DejaVu Sans Mono" w:eastAsia="Noto Sans Mono CJK SC"/>
                <w:b w:val="0"/>
                <w:i w:val="0"/>
                <w:sz w:val="15"/>
              </w:rPr>
              <w:t xml:space="preserve">    └── plot_q4.m</w:t>
            </w:r>
          </w:p>
        </w:tc>
      </w:tr>
    </w:tbl>
    <w:p>
      <w:pPr>
        <w:pStyle w:val="Heading1"/>
        <w:keepNext/>
      </w:pPr>
      <w:r>
        <w:rPr>
          <w:rFonts w:ascii="Times New Roman" w:hAnsi="Times New Roman" w:eastAsia="Noto Sans CJK SC"/>
          <w:b/>
          <w:i w:val="0"/>
          <w:color w:val="1F4E79"/>
          <w:sz w:val="30"/>
        </w:rPr>
        <w:t>附录B：sampling_records.csv 模板</w:t>
      </w:r>
    </w:p>
    <w:tbl>
      <w:tblPr>
        <w:tblW w:type="auto" w:w="0"/>
        <w:jc w:val="center"/>
        <w:tblLayout w:type="autofit"/>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1400"/>
        <w:gridCol w:w="1400"/>
        <w:gridCol w:w="1400"/>
        <w:gridCol w:w="1400"/>
        <w:gridCol w:w="1400"/>
        <w:gridCol w:w="1400"/>
        <w:gridCol w:w="1400"/>
      </w:tblGrid>
      <w:tr>
        <w:trPr>
          <w:tblHeader w:val="true"/>
        </w:trPr>
        <w:tc>
          <w:tcPr>
            <w:tcW w:type="dxa" w:w="170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quality_id</w:t>
            </w:r>
          </w:p>
        </w:tc>
        <w:tc>
          <w:tcPr>
            <w:tcW w:type="dxa" w:w="1474"/>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node/type</w:t>
            </w:r>
          </w:p>
        </w:tc>
        <w:tc>
          <w:tcPr>
            <w:tcW w:type="dxa" w:w="187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sample_design</w:t>
            </w:r>
          </w:p>
        </w:tc>
        <w:tc>
          <w:tcPr>
            <w:tcW w:type="dxa" w:w="850"/>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n</w:t>
            </w:r>
          </w:p>
        </w:tc>
        <w:tc>
          <w:tcPr>
            <w:tcW w:type="dxa" w:w="850"/>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k</w:t>
            </w:r>
          </w:p>
        </w:tc>
        <w:tc>
          <w:tcPr>
            <w:tcW w:type="dxa" w:w="1531"/>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input_certified</w:t>
            </w:r>
          </w:p>
        </w:tc>
        <w:tc>
          <w:tcPr>
            <w:tcW w:type="dxa" w:w="2835"/>
            <w:vAlign w:val="center"/>
            <w:tcMar>
              <w:top w:w="70" w:type="dxa"/>
              <w:start w:w="85" w:type="dxa"/>
              <w:bottom w:w="70" w:type="dxa"/>
              <w:end w:w="85" w:type="dxa"/>
            </w:tcMar>
            <w:shd w:fill="DCEAF7"/>
          </w:tcPr>
          <w:p>
            <w:pPr>
              <w:jc w:val="center"/>
            </w:pPr>
            <w:r>
              <w:rPr>
                <w:rFonts w:ascii="Times New Roman" w:hAnsi="Times New Roman" w:eastAsia="Noto Sans CJK SC"/>
                <w:b/>
                <w:i w:val="0"/>
                <w:sz w:val="16"/>
              </w:rPr>
              <w:t>备注</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Q2-S1-C1</w:t>
            </w:r>
          </w:p>
        </w:tc>
        <w:tc>
          <w:tcPr>
            <w:tcW w:type="dxa" w:w="1474"/>
            <w:vAlign w:val="center"/>
            <w:tcMar>
              <w:top w:w="70" w:type="dxa"/>
              <w:start w:w="85" w:type="dxa"/>
              <w:bottom w:w="70" w:type="dxa"/>
              <w:end w:w="85" w:type="dxa"/>
            </w:tcMar>
          </w:tcPr>
          <w:p>
            <w:pPr>
              <w:jc w:val="left"/>
            </w:pPr>
            <w:r>
              <w:rPr>
                <w:rFonts w:ascii="Times New Roman" w:hAnsi="Times New Roman" w:eastAsia="Noto Serif CJK SC"/>
                <w:b w:val="0"/>
                <w:i w:val="0"/>
                <w:sz w:val="16"/>
              </w:rPr>
              <w:t>C1/raw</w:t>
            </w:r>
          </w:p>
        </w:tc>
        <w:tc>
          <w:tcPr>
            <w:tcW w:type="dxa" w:w="1871"/>
            <w:vAlign w:val="center"/>
            <w:tcMar>
              <w:top w:w="70" w:type="dxa"/>
              <w:start w:w="85" w:type="dxa"/>
              <w:bottom w:w="70" w:type="dxa"/>
              <w:end w:w="85" w:type="dxa"/>
            </w:tcMar>
          </w:tcPr>
          <w:p>
            <w:pPr>
              <w:jc w:val="left"/>
            </w:pPr>
            <w:r>
              <w:rPr>
                <w:rFonts w:ascii="Times New Roman" w:hAnsi="Times New Roman" w:eastAsia="Noto Serif CJK SC"/>
                <w:b w:val="0"/>
                <w:i w:val="0"/>
                <w:sz w:val="16"/>
              </w:rPr>
              <w:t>fixed or sequential</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1531"/>
            <w:vAlign w:val="center"/>
            <w:tcMar>
              <w:top w:w="70" w:type="dxa"/>
              <w:start w:w="85" w:type="dxa"/>
              <w:bottom w:w="70" w:type="dxa"/>
              <w:end w:w="85" w:type="dxa"/>
            </w:tcMar>
          </w:tcPr>
          <w:p>
            <w:pPr>
              <w:jc w:val="left"/>
            </w:pPr>
            <w:r>
              <w:rPr>
                <w:rFonts w:ascii="Times New Roman" w:hAnsi="Times New Roman" w:eastAsia="Noto Serif CJK SC"/>
                <w:b w:val="0"/>
                <w:i w:val="0"/>
                <w:sz w:val="16"/>
              </w:rPr>
              <w:t>true</w:t>
            </w:r>
          </w:p>
        </w:tc>
        <w:tc>
          <w:tcPr>
            <w:tcW w:type="dxa" w:w="2835"/>
            <w:vAlign w:val="center"/>
            <w:tcMar>
              <w:top w:w="70" w:type="dxa"/>
              <w:start w:w="85" w:type="dxa"/>
              <w:bottom w:w="70" w:type="dxa"/>
              <w:end w:w="85" w:type="dxa"/>
            </w:tcMar>
          </w:tcPr>
          <w:p>
            <w:pPr>
              <w:jc w:val="left"/>
            </w:pPr>
            <w:r>
              <w:rPr>
                <w:rFonts w:ascii="Times New Roman" w:hAnsi="Times New Roman" w:eastAsia="Noto Serif CJK SC"/>
                <w:b w:val="0"/>
                <w:i w:val="0"/>
                <w:sz w:val="16"/>
              </w:rPr>
              <w:t>来自实际抽样记录</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Q2-S1-C2</w:t>
            </w:r>
          </w:p>
        </w:tc>
        <w:tc>
          <w:tcPr>
            <w:tcW w:type="dxa" w:w="1474"/>
            <w:vAlign w:val="center"/>
            <w:tcMar>
              <w:top w:w="70" w:type="dxa"/>
              <w:start w:w="85" w:type="dxa"/>
              <w:bottom w:w="70" w:type="dxa"/>
              <w:end w:w="85" w:type="dxa"/>
            </w:tcMar>
          </w:tcPr>
          <w:p>
            <w:pPr>
              <w:jc w:val="left"/>
            </w:pPr>
            <w:r>
              <w:rPr>
                <w:rFonts w:ascii="Times New Roman" w:hAnsi="Times New Roman" w:eastAsia="Noto Serif CJK SC"/>
                <w:b w:val="0"/>
                <w:i w:val="0"/>
                <w:sz w:val="16"/>
              </w:rPr>
              <w:t>C2/raw</w:t>
            </w:r>
          </w:p>
        </w:tc>
        <w:tc>
          <w:tcPr>
            <w:tcW w:type="dxa" w:w="1871"/>
            <w:vAlign w:val="center"/>
            <w:tcMar>
              <w:top w:w="70" w:type="dxa"/>
              <w:start w:w="85" w:type="dxa"/>
              <w:bottom w:w="70" w:type="dxa"/>
              <w:end w:w="85" w:type="dxa"/>
            </w:tcMar>
          </w:tcPr>
          <w:p>
            <w:pPr>
              <w:jc w:val="left"/>
            </w:pPr>
            <w:r>
              <w:rPr>
                <w:rFonts w:ascii="Times New Roman" w:hAnsi="Times New Roman" w:eastAsia="Noto Serif CJK SC"/>
                <w:b w:val="0"/>
                <w:i w:val="0"/>
                <w:sz w:val="16"/>
              </w:rPr>
              <w:t>fixed or sequential</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1531"/>
            <w:vAlign w:val="center"/>
            <w:tcMar>
              <w:top w:w="70" w:type="dxa"/>
              <w:start w:w="85" w:type="dxa"/>
              <w:bottom w:w="70" w:type="dxa"/>
              <w:end w:w="85" w:type="dxa"/>
            </w:tcMar>
          </w:tcPr>
          <w:p>
            <w:pPr>
              <w:jc w:val="left"/>
            </w:pPr>
            <w:r>
              <w:rPr>
                <w:rFonts w:ascii="Times New Roman" w:hAnsi="Times New Roman" w:eastAsia="Noto Serif CJK SC"/>
                <w:b w:val="0"/>
                <w:i w:val="0"/>
                <w:sz w:val="16"/>
              </w:rPr>
              <w:t>true</w:t>
            </w:r>
          </w:p>
        </w:tc>
        <w:tc>
          <w:tcPr>
            <w:tcW w:type="dxa" w:w="2835"/>
            <w:vAlign w:val="center"/>
            <w:tcMar>
              <w:top w:w="70" w:type="dxa"/>
              <w:start w:w="85" w:type="dxa"/>
              <w:bottom w:w="70" w:type="dxa"/>
              <w:end w:w="85" w:type="dxa"/>
            </w:tcMar>
          </w:tcPr>
          <w:p>
            <w:pPr>
              <w:jc w:val="left"/>
            </w:pPr>
            <w:r>
              <w:rPr>
                <w:rFonts w:ascii="Times New Roman" w:hAnsi="Times New Roman" w:eastAsia="Noto Serif CJK SC"/>
                <w:b w:val="0"/>
                <w:i w:val="0"/>
                <w:sz w:val="16"/>
              </w:rPr>
              <w:t>来自实际抽样记录</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Q2-S1-F</w:t>
            </w:r>
          </w:p>
        </w:tc>
        <w:tc>
          <w:tcPr>
            <w:tcW w:type="dxa" w:w="1474"/>
            <w:vAlign w:val="center"/>
            <w:tcMar>
              <w:top w:w="70" w:type="dxa"/>
              <w:start w:w="85" w:type="dxa"/>
              <w:bottom w:w="70" w:type="dxa"/>
              <w:end w:w="85" w:type="dxa"/>
            </w:tcMar>
          </w:tcPr>
          <w:p>
            <w:pPr>
              <w:jc w:val="left"/>
            </w:pPr>
            <w:r>
              <w:rPr>
                <w:rFonts w:ascii="Times New Roman" w:hAnsi="Times New Roman" w:eastAsia="Noto Serif CJK SC"/>
                <w:b w:val="0"/>
                <w:i w:val="0"/>
                <w:sz w:val="16"/>
              </w:rPr>
              <w:t>F/process</w:t>
            </w:r>
          </w:p>
        </w:tc>
        <w:tc>
          <w:tcPr>
            <w:tcW w:type="dxa" w:w="1871"/>
            <w:vAlign w:val="center"/>
            <w:tcMar>
              <w:top w:w="70" w:type="dxa"/>
              <w:start w:w="85" w:type="dxa"/>
              <w:bottom w:w="70" w:type="dxa"/>
              <w:end w:w="85" w:type="dxa"/>
            </w:tcMar>
          </w:tcPr>
          <w:p>
            <w:pPr>
              <w:jc w:val="left"/>
            </w:pPr>
            <w:r>
              <w:rPr>
                <w:rFonts w:ascii="Times New Roman" w:hAnsi="Times New Roman" w:eastAsia="Noto Serif CJK SC"/>
                <w:b w:val="0"/>
                <w:i w:val="0"/>
                <w:sz w:val="16"/>
              </w:rPr>
              <w:t>fixed or sequential</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1531"/>
            <w:vAlign w:val="center"/>
            <w:tcMar>
              <w:top w:w="70" w:type="dxa"/>
              <w:start w:w="85" w:type="dxa"/>
              <w:bottom w:w="70" w:type="dxa"/>
              <w:end w:w="85" w:type="dxa"/>
            </w:tcMar>
          </w:tcPr>
          <w:p>
            <w:pPr>
              <w:jc w:val="left"/>
            </w:pPr>
            <w:r>
              <w:rPr>
                <w:rFonts w:ascii="Times New Roman" w:hAnsi="Times New Roman" w:eastAsia="Noto Serif CJK SC"/>
                <w:b w:val="0"/>
                <w:i w:val="0"/>
                <w:sz w:val="16"/>
              </w:rPr>
              <w:t>必须true</w:t>
            </w:r>
          </w:p>
        </w:tc>
        <w:tc>
          <w:tcPr>
            <w:tcW w:type="dxa" w:w="2835"/>
            <w:vAlign w:val="center"/>
            <w:tcMar>
              <w:top w:w="70" w:type="dxa"/>
              <w:start w:w="85" w:type="dxa"/>
              <w:bottom w:w="70" w:type="dxa"/>
              <w:end w:w="85" w:type="dxa"/>
            </w:tcMar>
          </w:tcPr>
          <w:p>
            <w:pPr>
              <w:jc w:val="left"/>
            </w:pPr>
            <w:r>
              <w:rPr>
                <w:rFonts w:ascii="Times New Roman" w:hAnsi="Times New Roman" w:eastAsia="Noto Serif CJK SC"/>
                <w:b w:val="0"/>
                <w:i w:val="0"/>
                <w:sz w:val="16"/>
              </w:rPr>
              <w:t>仅统计合格输入的装配样本</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w:t>
            </w:r>
          </w:p>
        </w:tc>
        <w:tc>
          <w:tcPr>
            <w:tcW w:type="dxa" w:w="1474"/>
            <w:vAlign w:val="center"/>
            <w:tcMar>
              <w:top w:w="70" w:type="dxa"/>
              <w:start w:w="85" w:type="dxa"/>
              <w:bottom w:w="70" w:type="dxa"/>
              <w:end w:w="85" w:type="dxa"/>
            </w:tcMar>
          </w:tcPr>
          <w:p>
            <w:pPr>
              <w:jc w:val="left"/>
            </w:pPr>
            <w:r>
              <w:rPr>
                <w:rFonts w:ascii="Times New Roman" w:hAnsi="Times New Roman" w:eastAsia="Noto Serif CJK SC"/>
                <w:b w:val="0"/>
                <w:i w:val="0"/>
                <w:sz w:val="16"/>
              </w:rPr>
              <w:t>…</w:t>
            </w:r>
          </w:p>
        </w:tc>
        <w:tc>
          <w:tcPr>
            <w:tcW w:type="dxa" w:w="1871"/>
            <w:vAlign w:val="center"/>
            <w:tcMar>
              <w:top w:w="70" w:type="dxa"/>
              <w:start w:w="85" w:type="dxa"/>
              <w:bottom w:w="70" w:type="dxa"/>
              <w:end w:w="85" w:type="dxa"/>
            </w:tcMar>
          </w:tcPr>
          <w:p>
            <w:pPr>
              <w:jc w:val="left"/>
            </w:pPr>
            <w:r>
              <w:rPr>
                <w:rFonts w:ascii="Times New Roman" w:hAnsi="Times New Roman" w:eastAsia="Noto Serif CJK SC"/>
                <w:b w:val="0"/>
                <w:i w:val="0"/>
                <w:sz w:val="16"/>
              </w:rPr>
              <w:t>…</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w:t>
            </w:r>
          </w:p>
        </w:tc>
        <w:tc>
          <w:tcPr>
            <w:tcW w:type="dxa" w:w="1531"/>
            <w:vAlign w:val="center"/>
            <w:tcMar>
              <w:top w:w="70" w:type="dxa"/>
              <w:start w:w="85" w:type="dxa"/>
              <w:bottom w:w="70" w:type="dxa"/>
              <w:end w:w="85" w:type="dxa"/>
            </w:tcMar>
          </w:tcPr>
          <w:p>
            <w:pPr>
              <w:jc w:val="left"/>
            </w:pPr>
            <w:r>
              <w:rPr>
                <w:rFonts w:ascii="Times New Roman" w:hAnsi="Times New Roman" w:eastAsia="Noto Serif CJK SC"/>
                <w:b w:val="0"/>
                <w:i w:val="0"/>
                <w:sz w:val="16"/>
              </w:rPr>
              <w:t>…</w:t>
            </w:r>
          </w:p>
        </w:tc>
        <w:tc>
          <w:tcPr>
            <w:tcW w:type="dxa" w:w="2835"/>
            <w:vAlign w:val="center"/>
            <w:tcMar>
              <w:top w:w="70" w:type="dxa"/>
              <w:start w:w="85" w:type="dxa"/>
              <w:bottom w:w="70" w:type="dxa"/>
              <w:end w:w="85" w:type="dxa"/>
            </w:tcMar>
          </w:tcPr>
          <w:p>
            <w:pPr>
              <w:jc w:val="left"/>
            </w:pPr>
            <w:r>
              <w:rPr>
                <w:rFonts w:ascii="Times New Roman" w:hAnsi="Times New Roman" w:eastAsia="Noto Serif CJK SC"/>
                <w:b w:val="0"/>
                <w:i w:val="0"/>
                <w:sz w:val="16"/>
              </w:rPr>
              <w:t>六种情形逐项记录</w:t>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Q3-C1</w:t>
            </w:r>
          </w:p>
        </w:tc>
        <w:tc>
          <w:tcPr>
            <w:tcW w:type="dxa" w:w="1474"/>
            <w:vAlign w:val="center"/>
            <w:tcMar>
              <w:top w:w="70" w:type="dxa"/>
              <w:start w:w="85" w:type="dxa"/>
              <w:bottom w:w="70" w:type="dxa"/>
              <w:end w:w="85" w:type="dxa"/>
            </w:tcMar>
          </w:tcPr>
          <w:p>
            <w:pPr>
              <w:jc w:val="left"/>
            </w:pPr>
            <w:r>
              <w:rPr>
                <w:rFonts w:ascii="Times New Roman" w:hAnsi="Times New Roman" w:eastAsia="Noto Serif CJK SC"/>
                <w:b w:val="0"/>
                <w:i w:val="0"/>
                <w:sz w:val="16"/>
              </w:rPr>
              <w:t>C1/raw</w:t>
            </w:r>
          </w:p>
        </w:tc>
        <w:tc>
          <w:tcPr>
            <w:tcW w:type="dxa" w:w="1871"/>
            <w:vAlign w:val="center"/>
            <w:tcMar>
              <w:top w:w="70" w:type="dxa"/>
              <w:start w:w="85" w:type="dxa"/>
              <w:bottom w:w="70" w:type="dxa"/>
              <w:end w:w="85" w:type="dxa"/>
            </w:tcMar>
          </w:tcPr>
          <w:p>
            <w:pPr>
              <w:jc w:val="left"/>
            </w:pPr>
            <w:r>
              <w:rPr>
                <w:rFonts w:ascii="Times New Roman" w:hAnsi="Times New Roman" w:eastAsia="Noto Serif CJK SC"/>
                <w:b w:val="0"/>
                <w:i w:val="0"/>
                <w:sz w:val="16"/>
              </w:rPr>
              <w:t>fixed or sequential</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1531"/>
            <w:vAlign w:val="center"/>
            <w:tcMar>
              <w:top w:w="70" w:type="dxa"/>
              <w:start w:w="85" w:type="dxa"/>
              <w:bottom w:w="70" w:type="dxa"/>
              <w:end w:w="85" w:type="dxa"/>
            </w:tcMar>
          </w:tcPr>
          <w:p>
            <w:pPr>
              <w:jc w:val="left"/>
            </w:pPr>
            <w:r>
              <w:rPr>
                <w:rFonts w:ascii="Times New Roman" w:hAnsi="Times New Roman" w:eastAsia="Noto Serif CJK SC"/>
                <w:b w:val="0"/>
                <w:i w:val="0"/>
                <w:sz w:val="16"/>
              </w:rPr>
              <w:t>true</w:t>
            </w:r>
          </w:p>
        </w:tc>
        <w:tc>
          <w:tcPr>
            <w:tcW w:type="dxa" w:w="2835"/>
            <w:vAlign w:val="center"/>
            <w:tcMar>
              <w:top w:w="70" w:type="dxa"/>
              <w:start w:w="85" w:type="dxa"/>
              <w:bottom w:w="70" w:type="dxa"/>
              <w:end w:w="85" w:type="dxa"/>
            </w:tcMar>
          </w:tcPr>
          <w:p>
            <w:pPr>
              <w:jc w:val="left"/>
            </w:pPr>
            <w:r>
              <w:rPr>
                <w:rFonts w:ascii="Times New Roman" w:hAnsi="Times New Roman" w:eastAsia="Noto Serif CJK SC"/>
                <w:b w:val="0"/>
                <w:i w:val="0"/>
                <w:sz w:val="16"/>
              </w:rPr>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Q3-H1</w:t>
            </w:r>
          </w:p>
        </w:tc>
        <w:tc>
          <w:tcPr>
            <w:tcW w:type="dxa" w:w="1474"/>
            <w:vAlign w:val="center"/>
            <w:tcMar>
              <w:top w:w="70" w:type="dxa"/>
              <w:start w:w="85" w:type="dxa"/>
              <w:bottom w:w="70" w:type="dxa"/>
              <w:end w:w="85" w:type="dxa"/>
            </w:tcMar>
          </w:tcPr>
          <w:p>
            <w:pPr>
              <w:jc w:val="left"/>
            </w:pPr>
            <w:r>
              <w:rPr>
                <w:rFonts w:ascii="Times New Roman" w:hAnsi="Times New Roman" w:eastAsia="Noto Serif CJK SC"/>
                <w:b w:val="0"/>
                <w:i w:val="0"/>
                <w:sz w:val="16"/>
              </w:rPr>
              <w:t>H1/process</w:t>
            </w:r>
          </w:p>
        </w:tc>
        <w:tc>
          <w:tcPr>
            <w:tcW w:type="dxa" w:w="1871"/>
            <w:vAlign w:val="center"/>
            <w:tcMar>
              <w:top w:w="70" w:type="dxa"/>
              <w:start w:w="85" w:type="dxa"/>
              <w:bottom w:w="70" w:type="dxa"/>
              <w:end w:w="85" w:type="dxa"/>
            </w:tcMar>
          </w:tcPr>
          <w:p>
            <w:pPr>
              <w:jc w:val="left"/>
            </w:pPr>
            <w:r>
              <w:rPr>
                <w:rFonts w:ascii="Times New Roman" w:hAnsi="Times New Roman" w:eastAsia="Noto Serif CJK SC"/>
                <w:b w:val="0"/>
                <w:i w:val="0"/>
                <w:sz w:val="16"/>
              </w:rPr>
              <w:t>fixed or sequential</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1531"/>
            <w:vAlign w:val="center"/>
            <w:tcMar>
              <w:top w:w="70" w:type="dxa"/>
              <w:start w:w="85" w:type="dxa"/>
              <w:bottom w:w="70" w:type="dxa"/>
              <w:end w:w="85" w:type="dxa"/>
            </w:tcMar>
          </w:tcPr>
          <w:p>
            <w:pPr>
              <w:jc w:val="left"/>
            </w:pPr>
            <w:r>
              <w:rPr>
                <w:rFonts w:ascii="Times New Roman" w:hAnsi="Times New Roman" w:eastAsia="Noto Serif CJK SC"/>
                <w:b w:val="0"/>
                <w:i w:val="0"/>
                <w:sz w:val="16"/>
              </w:rPr>
              <w:t>必须true</w:t>
            </w:r>
          </w:p>
        </w:tc>
        <w:tc>
          <w:tcPr>
            <w:tcW w:type="dxa" w:w="2835"/>
            <w:vAlign w:val="center"/>
            <w:tcMar>
              <w:top w:w="70" w:type="dxa"/>
              <w:start w:w="85" w:type="dxa"/>
              <w:bottom w:w="70" w:type="dxa"/>
              <w:end w:w="85" w:type="dxa"/>
            </w:tcMar>
          </w:tcPr>
          <w:p>
            <w:pPr>
              <w:jc w:val="left"/>
            </w:pPr>
            <w:r>
              <w:rPr>
                <w:rFonts w:ascii="Times New Roman" w:hAnsi="Times New Roman" w:eastAsia="Noto Serif CJK SC"/>
                <w:b w:val="0"/>
                <w:i w:val="0"/>
                <w:sz w:val="16"/>
              </w:rPr>
            </w:r>
          </w:p>
        </w:tc>
      </w:tr>
      <w:tr>
        <w:tc>
          <w:tcPr>
            <w:tcW w:type="dxa" w:w="1701"/>
            <w:vAlign w:val="center"/>
            <w:tcMar>
              <w:top w:w="70" w:type="dxa"/>
              <w:start w:w="85" w:type="dxa"/>
              <w:bottom w:w="70" w:type="dxa"/>
              <w:end w:w="85" w:type="dxa"/>
            </w:tcMar>
          </w:tcPr>
          <w:p>
            <w:pPr>
              <w:jc w:val="center"/>
            </w:pPr>
            <w:r>
              <w:rPr>
                <w:rFonts w:ascii="Times New Roman" w:hAnsi="Times New Roman" w:eastAsia="Noto Serif CJK SC"/>
                <w:b w:val="0"/>
                <w:i w:val="0"/>
                <w:sz w:val="16"/>
              </w:rPr>
              <w:t>Q3-F</w:t>
            </w:r>
          </w:p>
        </w:tc>
        <w:tc>
          <w:tcPr>
            <w:tcW w:type="dxa" w:w="1474"/>
            <w:vAlign w:val="center"/>
            <w:tcMar>
              <w:top w:w="70" w:type="dxa"/>
              <w:start w:w="85" w:type="dxa"/>
              <w:bottom w:w="70" w:type="dxa"/>
              <w:end w:w="85" w:type="dxa"/>
            </w:tcMar>
          </w:tcPr>
          <w:p>
            <w:pPr>
              <w:jc w:val="left"/>
            </w:pPr>
            <w:r>
              <w:rPr>
                <w:rFonts w:ascii="Times New Roman" w:hAnsi="Times New Roman" w:eastAsia="Noto Serif CJK SC"/>
                <w:b w:val="0"/>
                <w:i w:val="0"/>
                <w:sz w:val="16"/>
              </w:rPr>
              <w:t>F/process</w:t>
            </w:r>
          </w:p>
        </w:tc>
        <w:tc>
          <w:tcPr>
            <w:tcW w:type="dxa" w:w="1871"/>
            <w:vAlign w:val="center"/>
            <w:tcMar>
              <w:top w:w="70" w:type="dxa"/>
              <w:start w:w="85" w:type="dxa"/>
              <w:bottom w:w="70" w:type="dxa"/>
              <w:end w:w="85" w:type="dxa"/>
            </w:tcMar>
          </w:tcPr>
          <w:p>
            <w:pPr>
              <w:jc w:val="left"/>
            </w:pPr>
            <w:r>
              <w:rPr>
                <w:rFonts w:ascii="Times New Roman" w:hAnsi="Times New Roman" w:eastAsia="Noto Serif CJK SC"/>
                <w:b w:val="0"/>
                <w:i w:val="0"/>
                <w:sz w:val="16"/>
              </w:rPr>
              <w:t>fixed or sequential</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850"/>
            <w:vAlign w:val="center"/>
            <w:tcMar>
              <w:top w:w="70" w:type="dxa"/>
              <w:start w:w="85" w:type="dxa"/>
              <w:bottom w:w="70" w:type="dxa"/>
              <w:end w:w="85" w:type="dxa"/>
            </w:tcMar>
          </w:tcPr>
          <w:p>
            <w:pPr>
              <w:jc w:val="left"/>
            </w:pPr>
            <w:r>
              <w:rPr>
                <w:rFonts w:ascii="Times New Roman" w:hAnsi="Times New Roman" w:eastAsia="Noto Serif CJK SC"/>
                <w:b w:val="0"/>
                <w:i w:val="0"/>
                <w:sz w:val="16"/>
              </w:rPr>
              <w:t>实际值</w:t>
            </w:r>
          </w:p>
        </w:tc>
        <w:tc>
          <w:tcPr>
            <w:tcW w:type="dxa" w:w="1531"/>
            <w:vAlign w:val="center"/>
            <w:tcMar>
              <w:top w:w="70" w:type="dxa"/>
              <w:start w:w="85" w:type="dxa"/>
              <w:bottom w:w="70" w:type="dxa"/>
              <w:end w:w="85" w:type="dxa"/>
            </w:tcMar>
          </w:tcPr>
          <w:p>
            <w:pPr>
              <w:jc w:val="left"/>
            </w:pPr>
            <w:r>
              <w:rPr>
                <w:rFonts w:ascii="Times New Roman" w:hAnsi="Times New Roman" w:eastAsia="Noto Serif CJK SC"/>
                <w:b w:val="0"/>
                <w:i w:val="0"/>
                <w:sz w:val="16"/>
              </w:rPr>
              <w:t>必须true</w:t>
            </w:r>
          </w:p>
        </w:tc>
        <w:tc>
          <w:tcPr>
            <w:tcW w:type="dxa" w:w="2835"/>
            <w:vAlign w:val="center"/>
            <w:tcMar>
              <w:top w:w="70" w:type="dxa"/>
              <w:start w:w="85" w:type="dxa"/>
              <w:bottom w:w="70" w:type="dxa"/>
              <w:end w:w="85" w:type="dxa"/>
            </w:tcMar>
          </w:tcPr>
          <w:p>
            <w:pPr>
              <w:jc w:val="left"/>
            </w:pPr>
            <w:r>
              <w:rPr>
                <w:rFonts w:ascii="Times New Roman" w:hAnsi="Times New Roman" w:eastAsia="Noto Serif CJK SC"/>
                <w:b w:val="0"/>
                <w:i w:val="0"/>
                <w:sz w:val="16"/>
              </w:rPr>
            </w:r>
          </w:p>
        </w:tc>
      </w:tr>
    </w:tbl>
    <w:sectPr w:rsidR="00FC693F" w:rsidRPr="0006063C" w:rsidSect="00034616">
      <w:headerReference w:type="default" r:id="rId9"/>
      <w:footerReference w:type="default" r:id="rId10"/>
      <w:pgSz w:w="12240" w:h="15840"/>
      <w:pgMar w:top="1134" w:right="1162" w:bottom="1020"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ans CJK SC"/>
        <w:b w:val="0"/>
        <w:i w:val="0"/>
        <w:color w:val="64748B"/>
        <w:sz w:val="16"/>
      </w:rPr>
      <w:t xml:space="preserve">第四问｜抽样不确定性传播与稳健重优化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Noto Sans CJK SC"/>
        <w:b w:val="0"/>
        <w:i w:val="0"/>
        <w:color w:val="64748B"/>
        <w:sz w:val="17"/>
      </w:rPr>
      <w:t>2024 高教社杯 B 题 · 问题四建模手册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Noto Sans CJK S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Noto Sans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2024B 第四问建模手册：抽样不确定性与稳健重优化</dc:title>
  <dc:subject>数学建模国赛 B题 问题四</dc:subject>
  <dc:creator/>
  <cp:keywords>CUMCM, 2024B, sampling uncertainty, confidence sequence, robust optimization, Bellman-Markov, BOM</cp:keywords>
  <dc:description>generated by python-docx</dc:description>
  <cp:lastModifiedBy/>
  <cp:revision>1</cp:revision>
  <dcterms:created xsi:type="dcterms:W3CDTF">2013-12-23T23:15:00Z</dcterms:created>
  <dcterms:modified xsi:type="dcterms:W3CDTF">2013-12-23T23:15:00Z</dcterms:modified>
  <cp:category/>
</cp:coreProperties>
</file>