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F172A"/>
          <w:sz w:val="52"/>
        </w:rPr>
        <w:t>Отчёт по чату Codex</w:t>
      </w:r>
    </w:p>
    <w:p>
      <w:pPr>
        <w:jc w:val="center"/>
      </w:pPr>
      <w:r>
        <w:rPr>
          <w:color w:val="334155"/>
          <w:sz w:val="26"/>
        </w:rPr>
        <w:t>Stage 17: Activepieces Canvas, русификация, debranding и release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83"/>
        <w:gridCol w:w="5083"/>
      </w:tblGrid>
      <w:tr>
        <w:tc>
          <w:tcPr>
            <w:tcW w:type="dxa" w:w="2592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776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Проект</w:t>
            </w:r>
          </w:p>
        </w:tc>
        <w:tc>
          <w:tcPr>
            <w:tcW w:type="dxa" w:w="77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LawFrame / Pravacontour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Фокус чата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Stage 17.10 и исправления вокруг рабочего пространства автоматизаций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Итоговая ветка</w:t>
            </w:r>
          </w:p>
        </w:tc>
        <w:tc>
          <w:tcPr>
            <w:tcW w:type="dxa" w:w="77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main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Итоговый commit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08e0b3c — «Завершён Stage 17 с канвасом автоматизаций»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Финальная приёмка</w:t>
            </w:r>
          </w:p>
        </w:tc>
        <w:tc>
          <w:tcPr>
            <w:tcW w:type="dxa" w:w="77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pnpm stage17:release-gate — PASS / ACCEPT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Дата фиксации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2026-05-01; отчёт составлен 2026-05-03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166"/>
      </w:tblGrid>
      <w:tr>
        <w:tc>
          <w:tcPr>
            <w:tcW w:type="dxa" w:w="10166"/>
            <w:shd w:fill="EFF6FF"/>
          </w:tcPr>
          <w:p>
            <w:pPr>
              <w:spacing w:after="40"/>
              <w:ind w:left="80" w:right="80"/>
            </w:pPr>
            <w:r>
              <w:rPr>
                <w:b/>
                <w:color w:val="0F172A"/>
                <w:sz w:val="21"/>
              </w:rPr>
              <w:t>Краткий вывод</w:t>
            </w:r>
          </w:p>
          <w:p>
            <w:pPr>
              <w:spacing w:after="40"/>
              <w:ind w:left="80" w:right="80"/>
            </w:pPr>
            <w:r>
              <w:t>В рамках этого чата Stage 17 был доведён от плана и диагностики проблем до рабочего integrated-режима: основной раздел «Автоматизации» открывает реальный embedded canvas, интерфейс русифицирован и debranded, добавлены backend/runtime контракты, evidence-артефакты и полный release gate G0-G9. Изменения сохранены и отправлены в main.</w:t>
            </w:r>
          </w:p>
        </w:tc>
      </w:tr>
    </w:tbl>
    <w:p>
      <w:r>
        <w:br w:type="page"/>
      </w:r>
    </w:p>
    <w:p>
      <w:pPr>
        <w:pStyle w:val="Heading1"/>
      </w:pPr>
      <w:r>
        <w:t>1. Контекст и цель чата</w:t>
      </w:r>
    </w:p>
    <w:p>
      <w:pPr>
        <w:pStyle w:val="ListBullet"/>
        <w:spacing w:after="40"/>
      </w:pPr>
      <w:r>
        <w:t>Изначально требовалось составить план Stage 17.10: Tests, Release Gates, Artifacts и Stop-List по двум DOCX-источникам Stage 17.</w:t>
      </w:r>
    </w:p>
    <w:p>
      <w:pPr>
        <w:pStyle w:val="ListBullet"/>
        <w:spacing w:after="40"/>
      </w:pPr>
      <w:r>
        <w:t>После планирования пользователь перевёл работу в режим реализации: нужно было не только описать, но и довести проект до рабочего состояния.</w:t>
      </w:r>
    </w:p>
    <w:p>
      <w:pPr>
        <w:pStyle w:val="ListBullet"/>
        <w:spacing w:after="40"/>
      </w:pPr>
      <w:r>
        <w:t>Ключевое пользовательское требование: режим Canvas должен быть именно реальным canvas из Activepieces, но в оболочке LexFrame, без отдельного AP-login, без старого LexFrame canvas и без бренда Activepieces в пользовательском UI.</w:t>
      </w:r>
    </w:p>
    <w:p>
      <w:pPr>
        <w:pStyle w:val="ListBullet"/>
        <w:spacing w:after="40"/>
      </w:pPr>
      <w:r>
        <w:t>Финальное требование: полностью русифицировать embedded automation workspace и Pieces, сохранив технические identifiers, package names, slugs, JSON schema и runtime-логику без опасных изменений.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Этап разговора</w:t>
            </w:r>
          </w:p>
        </w:tc>
        <w:tc>
          <w:tcPr>
            <w:tcW w:type="dxa" w:w="4824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Что произошло</w:t>
            </w:r>
          </w:p>
        </w:tc>
        <w:tc>
          <w:tcPr>
            <w:tcW w:type="dxa" w:w="3384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План 17.10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Сформирован перечень G0-G9, evidence-артефактов, unit/integration/e2e/security/visual checks.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Появилась основа release gate.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Первый запуск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Проект был поднят, выявлены проблемы входа и runtime readiness banner.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Начата диагностика фактического состояния.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Canvas не тот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Пользователь увидел старый LexFrame canvas и zero-state вместо Activepieces builder.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Сформирован и реализован план перевода /automations на canonical AP canvas.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Canvas не открывается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Выявлена привязка provisioning к seed project и отсутствие workspace-scoped ensure.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Добавлен idempotent ensure для активного workspace/project.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Русификация/debranding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В embedded UI оставались English labels и AP logo.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Добавлена локаль ru, runtime patch и overlay для видимого пользовательского слоя.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Финальная приёмка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Запущен targeted E2E и полный release gate.</w:t>
            </w:r>
          </w:p>
        </w:tc>
        <w:tc>
          <w:tcPr>
            <w:tcW w:type="dxa" w:w="338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G0-G9 PASS, Acceptance ACCEPT.</w:t>
            </w:r>
          </w:p>
        </w:tc>
      </w:tr>
      <w:tr>
        <w:tc>
          <w:tcPr>
            <w:tcW w:type="dxa" w:w="208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Закрытие работы</w:t>
            </w:r>
          </w:p>
        </w:tc>
        <w:tc>
          <w:tcPr>
            <w:tcW w:type="dxa" w:w="482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Остановлены контейнеры, изменения перенесены в main и отправлены в origin.</w:t>
            </w:r>
          </w:p>
        </w:tc>
        <w:tc>
          <w:tcPr>
            <w:tcW w:type="dxa" w:w="338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Commit 08e0b3c в main/origin/main.</w:t>
            </w:r>
          </w:p>
        </w:tc>
      </w:tr>
    </w:tbl>
    <w:p>
      <w:pPr>
        <w:spacing w:after="20"/>
      </w:pPr>
    </w:p>
    <w:p>
      <w:pPr>
        <w:pStyle w:val="Heading1"/>
      </w:pPr>
      <w:r>
        <w:t>2. Что именно было сделано</w:t>
      </w:r>
    </w:p>
    <w:p>
      <w:pPr>
        <w:pStyle w:val="Heading2"/>
      </w:pPr>
      <w:r>
        <w:t>2.1 Backend и runtime-контракты</w:t>
      </w:r>
    </w:p>
    <w:p>
      <w:pPr>
        <w:pStyle w:val="ListBullet"/>
        <w:spacing w:after="40"/>
      </w:pPr>
      <w:r>
        <w:t>Добавлен workspace-scoped provisioning для Stage 17 Canvas: endpoint POST /api/projects/:projectId/automations/stage17-canvas/ensure создаёт или переиспользует product automation, AP project/user/flow/version и binding rows.</w:t>
      </w:r>
    </w:p>
    <w:p>
      <w:pPr>
        <w:pStyle w:val="ListBullet"/>
        <w:spacing w:after="40"/>
      </w:pPr>
      <w:r>
        <w:t>Исправлена логика, ранее завязанная на seed-id project_claim_001: активный workspace/project теперь может получить automation при первом открытии раздела «Автоматизации».</w:t>
      </w:r>
    </w:p>
    <w:p>
      <w:pPr>
        <w:pStyle w:val="ListBullet"/>
        <w:spacing w:after="40"/>
      </w:pPr>
      <w:r>
        <w:t>Добавлен контур /api/activepieces/session: short-lived session/JWT, role mapping, builder route /flows/:flowId и безопасная выдача config без long-lived keys.</w:t>
      </w:r>
    </w:p>
    <w:p>
      <w:pPr>
        <w:pStyle w:val="ListBullet"/>
        <w:spacing w:after="40"/>
      </w:pPr>
      <w:r>
        <w:t>Добавлены/расширены сервисы Activepieces session, identity bridge, JWT signer, role mapper, pieces policy, canvas provisioning, flow provisioning и audit writer.</w:t>
      </w:r>
    </w:p>
    <w:p>
      <w:pPr>
        <w:pStyle w:val="ListBullet"/>
        <w:spacing w:after="40"/>
      </w:pPr>
      <w:r>
        <w:t>Добавлен Local Owner Key Vault: path resolver, schema validator, file reader, fingerprinting, ACL checks, status endpoint и kill-switch/редакция секретов.</w:t>
      </w:r>
    </w:p>
    <w:p>
      <w:pPr>
        <w:pStyle w:val="ListBullet"/>
        <w:spacing w:after="40"/>
      </w:pPr>
      <w:r>
        <w:t>Добавлен LexFrame AI Gateway runtime endpoint и runtime scoped token service; AI-провайдеры остаются backend-only через LexFrame gateway.</w:t>
      </w:r>
    </w:p>
    <w:p>
      <w:pPr>
        <w:pStyle w:val="ListBullet"/>
        <w:spacing w:after="40"/>
      </w:pPr>
      <w:r>
        <w:t>Согласованы readiness/system status profiles: degraded AI/search/realtime не блокирует non-AI canvas builder.</w:t>
      </w:r>
    </w:p>
    <w:p>
      <w:pPr>
        <w:pStyle w:val="Heading2"/>
      </w:pPr>
      <w:r>
        <w:t>2.2 Frontend и routing</w:t>
      </w:r>
    </w:p>
    <w:p>
      <w:pPr>
        <w:pStyle w:val="ListBullet"/>
        <w:spacing w:after="40"/>
      </w:pPr>
      <w:r>
        <w:t>Маршрут /app/projects/:projectId/automations больше не рендерит старый AutomationWorkbench как основной путь.</w:t>
      </w:r>
    </w:p>
    <w:p>
      <w:pPr>
        <w:pStyle w:val="ListBullet"/>
        <w:spacing w:after="40"/>
      </w:pPr>
      <w:r>
        <w:t>Если automation отсутствует, frontend вызывает ensure и сразу переходит на route из ответа; zero-state оставлен только для unrecoverable ошибок.</w:t>
      </w:r>
    </w:p>
    <w:p>
      <w:pPr>
        <w:pStyle w:val="ListBullet"/>
        <w:spacing w:after="40"/>
      </w:pPr>
      <w:r>
        <w:t>Legacy routes /canvas, /builder, /advanced-builder переведены к canonical /automation; reserve canvas скрыт за feature flag и не используется как fallback.</w:t>
      </w:r>
    </w:p>
    <w:p>
      <w:pPr>
        <w:pStyle w:val="ListBullet"/>
        <w:spacing w:after="40"/>
      </w:pPr>
      <w:r>
        <w:t>Добавлен чистый ActivepiecesCanvasRoute и ActivepiecesCanvasWrapper: iframe занимает основную рабочую область рядом с LexFrame sidebar.</w:t>
      </w:r>
    </w:p>
    <w:p>
      <w:pPr>
        <w:pStyle w:val="ListBullet"/>
        <w:spacing w:after="40"/>
      </w:pPr>
      <w:r>
        <w:t>Локально подключён pinned embed SDK 0.9.0, initialRoute передаётся на первом configure, navigate оставлен как fallback.</w:t>
      </w:r>
    </w:p>
    <w:p>
      <w:pPr>
        <w:pStyle w:val="ListBullet"/>
        <w:spacing w:after="40"/>
      </w:pPr>
      <w:r>
        <w:t>Исправлен lifecycle token ref, чтобы React StrictMode/remount не ломал сессию.</w:t>
      </w:r>
    </w:p>
    <w:p>
      <w:pPr>
        <w:pStyle w:val="Heading2"/>
      </w:pPr>
      <w:r>
        <w:t>2.3 Русификация, Pieces и debranding</w:t>
      </w:r>
    </w:p>
    <w:p>
      <w:pPr>
        <w:pStyle w:val="ListBullet"/>
        <w:spacing w:after="40"/>
      </w:pPr>
      <w:r>
        <w:t>Runtime принудительно фиксируется на ru: localStorage keys, embed config locale, patched ru/en translation bundles внутри AP контейнеров.</w:t>
      </w:r>
    </w:p>
    <w:p>
      <w:pPr>
        <w:pStyle w:val="ListBullet"/>
        <w:spacing w:after="40"/>
      </w:pPr>
      <w:r>
        <w:t>AP logo в embedded UI заменён на нейтральный /lexframe-automation-icon.svg; iframe title изменён на «Конструктор автоматизаций».</w:t>
      </w:r>
    </w:p>
    <w:p>
      <w:pPr>
        <w:pStyle w:val="ListBullet"/>
        <w:spacing w:after="40"/>
      </w:pPr>
      <w:r>
        <w:t>Видимый пользовательский слой canvas, inspector и palette переведён: «Сценарии», «Запуски», «Версии», «Опубликовать», «Ручной запуск», «Управление сценарием», «Цикл по элементам», «Маршрутизатор», «Код», «Сначала выберите модуль» и др.</w:t>
      </w:r>
    </w:p>
    <w:p>
      <w:pPr>
        <w:pStyle w:val="ListBullet"/>
        <w:spacing w:after="40"/>
      </w:pPr>
      <w:r>
        <w:t>Добавлен runtime localization overlay для hardcoded/stale строк AP image; он меняет только visible text, aria-label, alt, title, placeholder и не трогает technical IDs, slugs, package names, JSON schema или API fields.</w:t>
      </w:r>
    </w:p>
    <w:p>
      <w:pPr>
        <w:pStyle w:val="ListBullet"/>
        <w:spacing w:after="40"/>
      </w:pPr>
      <w:r>
        <w:t>Добавлены RU i18n для LexFrame legal pieces и проверки piece-level локализации.</w:t>
      </w:r>
    </w:p>
    <w:p>
      <w:pPr>
        <w:pStyle w:val="ListBullet"/>
        <w:spacing w:after="40"/>
      </w:pPr>
      <w:r>
        <w:t>Добавлен visible debranding scanner с allowlist для технических идентификаторов и запретом пользовательских Activepieces/English brand strings.</w:t>
      </w:r>
    </w:p>
    <w:p>
      <w:pPr>
        <w:pStyle w:val="Heading2"/>
      </w:pPr>
      <w:r>
        <w:t>2.4 Release gate, tests и evidence</w:t>
      </w:r>
    </w:p>
    <w:p>
      <w:pPr>
        <w:pStyle w:val="ListBullet"/>
        <w:spacing w:after="40"/>
      </w:pPr>
      <w:r>
        <w:t>Добавлен единый release gate pnpm stage17:release-gate с G0-G9.</w:t>
      </w:r>
    </w:p>
    <w:p>
      <w:pPr>
        <w:pStyle w:val="ListBullet"/>
        <w:spacing w:after="40"/>
      </w:pPr>
      <w:r>
        <w:t>Добавлены scripts/stage17: release-gate, verify-artifacts, collect-runtime-evidence, scan-browser-evidence, patch-activepieces-runtime, provision-canvas.</w:t>
      </w:r>
    </w:p>
    <w:p>
      <w:pPr>
        <w:pStyle w:val="ListBullet"/>
        <w:spacing w:after="40"/>
      </w:pPr>
      <w:r>
        <w:t>Добавлены live Playwright specs для Activepieces canvas, local keys security и design convergence.</w:t>
      </w:r>
    </w:p>
    <w:p>
      <w:pPr>
        <w:pStyle w:val="ListBullet"/>
        <w:spacing w:after="40"/>
      </w:pPr>
      <w:r>
        <w:t>Добавлены unit/contract проверки LocalOwnerKeyVault, role/JWT, pieces policy, design bridge и локализации.</w:t>
      </w:r>
    </w:p>
    <w:p>
      <w:pPr>
        <w:pStyle w:val="ListBullet"/>
        <w:spacing w:after="40"/>
      </w:pPr>
      <w:r>
        <w:t>Добавлены integration checks для readiness, Activepieces session, AI gateway и runtime bindings.</w:t>
      </w:r>
    </w:p>
    <w:p>
      <w:pPr>
        <w:pStyle w:val="ListBullet"/>
        <w:spacing w:after="40"/>
      </w:pPr>
      <w:r>
        <w:t>Обновлены visual snapshots после русификации/debranding.</w:t>
      </w:r>
    </w:p>
    <w:p>
      <w:pPr>
        <w:pStyle w:val="ListBullet"/>
        <w:spacing w:after="40"/>
      </w:pPr>
      <w:r>
        <w:t>Сформированы docs/stage17 и artifacts/stage17: release gate report, runtime evidence, browser secret scan, stop-list и другие артефакты.</w:t>
      </w:r>
    </w:p>
    <w:p>
      <w:pPr>
        <w:pStyle w:val="Heading1"/>
      </w:pPr>
      <w:r>
        <w:t>3. Основные проблемы и как они были закрыты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89"/>
        <w:gridCol w:w="3389"/>
        <w:gridCol w:w="3389"/>
      </w:tblGrid>
      <w:tr>
        <w:tc>
          <w:tcPr>
            <w:tcW w:type="dxa" w:w="3168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3456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Причина</w:t>
            </w:r>
          </w:p>
        </w:tc>
        <w:tc>
          <w:tcPr>
            <w:tcW w:type="dxa" w:w="3672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Исправление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Старый canvas вместо Activepieces Canvas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/automations рендерил старый AutomationWorkbench, а /canvas редиректил в reserve_canvas.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Сделан canonical route /automation с embedded AP builder; старые маршруты перенаправлены.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Canvas зависал на «Открываем Activepieces Canvas»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Активный workspace/project не имел installed automation и runtime bindings; provisioning был привязан к seed-id.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Добавлен idempotent ensure endpoint для любого active workspace/project.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FLOW_BINDING_MISSING после пересоздания stack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Открывался старый hardcoded automation URL после recreate DB.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Проверка и E2E переведены на route, возвращаемый ensure.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Верхний runtime banner блокировал UX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System status считал AI/search/realtime глобальными blockers.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Readiness profile согласован: AP Canvas не блокируется optional degraded dependencies.</w:t>
            </w:r>
          </w:p>
        </w:tc>
      </w:tr>
      <w:tr>
        <w:tc>
          <w:tcPr>
            <w:tcW w:type="dxa" w:w="316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В iframe оставались English UI и AP brand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AP image отдавал hardcoded/stale английские строки и CDN logo.</w:t>
            </w:r>
          </w:p>
        </w:tc>
        <w:tc>
          <w:tcPr>
            <w:tcW w:type="dxa" w:w="3672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Патч ru/en translation bundles, neutral assets и runtime visible-layer overlay.</w:t>
            </w:r>
          </w:p>
        </w:tc>
      </w:tr>
      <w:tr>
        <w:tc>
          <w:tcPr>
            <w:tcW w:type="dxa" w:w="316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Release gate падал на G6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Visual snapshots были устаревшими после русификации/debranding.</w:t>
            </w:r>
          </w:p>
        </w:tc>
        <w:tc>
          <w:tcPr>
            <w:tcW w:type="dxa" w:w="3672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Обновлены baselines, после чего G6 и полный G0-G9 прошли.</w:t>
            </w:r>
          </w:p>
        </w:tc>
      </w:tr>
    </w:tbl>
    <w:p>
      <w:pPr>
        <w:spacing w:after="20"/>
      </w:pPr>
    </w:p>
    <w:p>
      <w:pPr>
        <w:pStyle w:val="Heading1"/>
      </w:pPr>
      <w:r>
        <w:t>4. Проверки и итоговая приёмка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89"/>
        <w:gridCol w:w="3389"/>
        <w:gridCol w:w="3389"/>
      </w:tblGrid>
      <w:tr>
        <w:tc>
          <w:tcPr>
            <w:tcW w:type="dxa" w:w="1008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6480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800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Итог</w:t>
            </w:r>
          </w:p>
        </w:tc>
      </w:tr>
      <w:tr>
        <w:tc>
          <w:tcPr>
            <w:tcW w:type="dxa" w:w="10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G0</w:t>
            </w:r>
          </w:p>
        </w:tc>
        <w:tc>
          <w:tcPr>
            <w:tcW w:type="dxa" w:w="648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Readiness inputs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G1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Static/unit/contract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G2</w:t>
            </w:r>
          </w:p>
        </w:tc>
        <w:tc>
          <w:tcPr>
            <w:tcW w:type="dxa" w:w="648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G3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Playwright live E2E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G4</w:t>
            </w:r>
          </w:p>
        </w:tc>
        <w:tc>
          <w:tcPr>
            <w:tcW w:type="dxa" w:w="648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Security and secret scan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G5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Localization and debranding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G6</w:t>
            </w:r>
          </w:p>
        </w:tc>
        <w:tc>
          <w:tcPr>
            <w:tcW w:type="dxa" w:w="648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Visual regression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G7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Runtime evidence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G8</w:t>
            </w:r>
          </w:p>
        </w:tc>
        <w:tc>
          <w:tcPr>
            <w:tcW w:type="dxa" w:w="648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Artifacts completeness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G9</w:t>
            </w:r>
          </w:p>
        </w:tc>
        <w:tc>
          <w:tcPr>
            <w:tcW w:type="dxa" w:w="648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Stop-list compliance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166"/>
      </w:tblGrid>
      <w:tr>
        <w:tc>
          <w:tcPr>
            <w:tcW w:type="dxa" w:w="10166"/>
            <w:shd w:fill="DCFCE7"/>
          </w:tcPr>
          <w:p>
            <w:pPr>
              <w:spacing w:after="40"/>
              <w:ind w:left="80" w:right="80"/>
            </w:pPr>
            <w:r>
              <w:rPr>
                <w:b/>
                <w:color w:val="0F172A"/>
                <w:sz w:val="21"/>
              </w:rPr>
              <w:t>Финальный статус</w:t>
            </w:r>
          </w:p>
          <w:p>
            <w:pPr>
              <w:spacing w:after="40"/>
              <w:ind w:left="80" w:right="80"/>
            </w:pPr>
            <w:r>
              <w:t>pnpm stage17:release-gate завершился со статусом PASS и Acceptance: ACCEPT. Отчёт сохранён в docs/stage17/stage17-release-gate-report.md, machine-readable результат — artifacts/stage17/release-gate.json.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89"/>
        <w:gridCol w:w="3389"/>
        <w:gridCol w:w="3389"/>
      </w:tblGrid>
      <w:tr>
        <w:tc>
          <w:tcPr>
            <w:tcW w:type="dxa" w:w="2376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Артефакт / область</w:t>
            </w:r>
          </w:p>
        </w:tc>
        <w:tc>
          <w:tcPr>
            <w:tcW w:type="dxa" w:w="4176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Где искать</w:t>
            </w:r>
          </w:p>
        </w:tc>
        <w:tc>
          <w:tcPr>
            <w:tcW w:type="dxa" w:w="3744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3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Release gate report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docs/stage17/stage17-release-gate-report.md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Человеко-читаемый итог G0-G9.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Machine report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artifacts/stage17/release-gate.json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Структурированный результат gate.</w:t>
            </w:r>
          </w:p>
        </w:tc>
      </w:tr>
      <w:tr>
        <w:tc>
          <w:tcPr>
            <w:tcW w:type="dxa" w:w="23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Runtime evidence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artifacts/stage17/runtime-evidence.json; docs/stage17/activepieces-runtime-evidence.md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Read-back AP project/user/flow/version/run и binding consistency.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Browser secret scan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artifacts/stage17/browser-secret-scan.json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Проверка browser/network/storage на отсутствие секретов.</w:t>
            </w:r>
          </w:p>
        </w:tc>
      </w:tr>
      <w:tr>
        <w:tc>
          <w:tcPr>
            <w:tcW w:type="dxa" w:w="23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Localization/debranding docs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docs/stage17/localization-coverage-report.md; docs/stage17/debranding-coverage-report.md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Покрытие русификации и удаления бренда.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Visual baselines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tests/e2e/stage17-design-convergence.spec.ts-snapshots/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Регрессионные снимки после принятого UI-состояния.</w:t>
            </w:r>
          </w:p>
        </w:tc>
      </w:tr>
      <w:tr>
        <w:tc>
          <w:tcPr>
            <w:tcW w:type="dxa" w:w="23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Stage 17 scripts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scripts/stage17/</w:t>
            </w:r>
          </w:p>
        </w:tc>
        <w:tc>
          <w:tcPr>
            <w:tcW w:type="dxa" w:w="3744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Release gate, provisioning, runtime evidence и verification.</w:t>
            </w:r>
          </w:p>
        </w:tc>
      </w:tr>
    </w:tbl>
    <w:p>
      <w:pPr>
        <w:spacing w:after="20"/>
      </w:pPr>
    </w:p>
    <w:p>
      <w:pPr>
        <w:pStyle w:val="Heading1"/>
      </w:pPr>
      <w:r>
        <w:t>5. Финальное состояние репозитория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83"/>
        <w:gridCol w:w="5083"/>
      </w:tblGrid>
      <w:tr>
        <w:tc>
          <w:tcPr>
            <w:tcW w:type="dxa" w:w="2448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776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44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Ветка</w:t>
            </w:r>
          </w:p>
        </w:tc>
        <w:tc>
          <w:tcPr>
            <w:tcW w:type="dxa" w:w="77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main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Remote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origin/main</w:t>
            </w:r>
          </w:p>
        </w:tc>
      </w:tr>
      <w:tr>
        <w:tc>
          <w:tcPr>
            <w:tcW w:type="dxa" w:w="244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Commit</w:t>
            </w:r>
          </w:p>
        </w:tc>
        <w:tc>
          <w:tcPr>
            <w:tcW w:type="dxa" w:w="77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08e0b3c — «Завершён Stage 17 с канвасом автоматизаций»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Статус после push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main синхронизирован с origin/main; рабочее дерево было чистым</w:t>
            </w:r>
          </w:p>
        </w:tc>
      </w:tr>
      <w:tr>
        <w:tc>
          <w:tcPr>
            <w:tcW w:type="dxa" w:w="244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Процессы</w:t>
            </w:r>
          </w:p>
        </w:tc>
        <w:tc>
          <w:tcPr>
            <w:tcW w:type="dxa" w:w="7776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Stage 17 Docker stack остановлен командой pnpm stage17:down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Не остановлено специально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MCP-процессы Codex: playwright/mcp, chrome-devtools-mcp, sequential-thinking, notebooklm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166"/>
      </w:tblGrid>
      <w:tr>
        <w:tc>
          <w:tcPr>
            <w:tcW w:type="dxa" w:w="10166"/>
            <w:shd w:fill="FEF3C7"/>
          </w:tcPr>
          <w:p>
            <w:pPr>
              <w:spacing w:after="40"/>
              <w:ind w:left="80" w:right="80"/>
            </w:pPr>
            <w:r>
              <w:rPr>
                <w:b/>
                <w:color w:val="0F172A"/>
                <w:sz w:val="21"/>
              </w:rPr>
              <w:t>Важно для трекинга</w:t>
            </w:r>
          </w:p>
          <w:p>
            <w:pPr>
              <w:spacing w:after="40"/>
              <w:ind w:left="80" w:right="80"/>
            </w:pPr>
            <w:r>
              <w:t>Этот отчёт описывает именно ход данного чата: от плана Stage 17.10 и диагностики canvas до реализации, русификации/debranding, release gate и сохранения изменений в main. Он не является полным техническим manual по всему Stage 17, а фиксирует решения и действия, выполненные в этой рабочей сессии.</w:t>
            </w:r>
          </w:p>
        </w:tc>
      </w:tr>
    </w:tbl>
    <w:p>
      <w:pPr>
        <w:pStyle w:val="Heading1"/>
      </w:pPr>
      <w:r>
        <w:t>6. Карта изменений по крупным зонам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89"/>
        <w:gridCol w:w="3389"/>
        <w:gridCol w:w="3389"/>
      </w:tblGrid>
      <w:tr>
        <w:tc>
          <w:tcPr>
            <w:tcW w:type="dxa" w:w="2160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4608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Ключевые файлы/директории</w:t>
            </w:r>
          </w:p>
        </w:tc>
        <w:tc>
          <w:tcPr>
            <w:tcW w:type="dxa" w:w="3528"/>
            <w:shd w:fill="2563EB"/>
            <w:vAlign w:val="center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8"/>
              </w:rPr>
              <w:t>Смысл изменений</w:t>
            </w:r>
          </w:p>
        </w:tc>
      </w:tr>
      <w:tr>
        <w:tc>
          <w:tcPr>
            <w:tcW w:type="dxa" w:w="216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Backend Activepieces</w:t>
            </w:r>
          </w:p>
        </w:tc>
        <w:tc>
          <w:tcPr>
            <w:tcW w:type="dxa" w:w="46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apps/backend/src/modules/activepieces/*</w:t>
            </w:r>
          </w:p>
        </w:tc>
        <w:tc>
          <w:tcPr>
            <w:tcW w:type="dxa" w:w="352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Session, provisioning, bindings, policies, audit, JWT/role mapping.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Local keys / AI Gateway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apps/backend/src/modules/local-owner-key-vault/*; apps/backend/src/modules/ai-gateway/*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Backend-only key vault, gateway runtime, no direct provider keys in browser.</w:t>
            </w:r>
          </w:p>
        </w:tc>
      </w:tr>
      <w:tr>
        <w:tc>
          <w:tcPr>
            <w:tcW w:type="dxa" w:w="216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Frontend automation canvas</w:t>
            </w:r>
          </w:p>
        </w:tc>
        <w:tc>
          <w:tcPr>
            <w:tcW w:type="dxa" w:w="46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apps/web/src/features/automation-canvas/*; app/projects/.../automation/page.tsx</w:t>
            </w:r>
          </w:p>
        </w:tc>
        <w:tc>
          <w:tcPr>
            <w:tcW w:type="dxa" w:w="352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Canonical embedded canvas route and runtime wrapper.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Embed SDK/vendor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apps/web/public/vendor/activepieces/embed-sdk-0.9.0.js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Pinned local SDK with initialRoute and RU/debranded title.</w:t>
            </w:r>
          </w:p>
        </w:tc>
      </w:tr>
      <w:tr>
        <w:tc>
          <w:tcPr>
            <w:tcW w:type="dxa" w:w="216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Localization/debranding</w:t>
            </w:r>
          </w:p>
        </w:tc>
        <w:tc>
          <w:tcPr>
            <w:tcW w:type="dxa" w:w="46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scripts/i18n/*; scripts/branding/*; packages/activepieces-legal-pieces/src/i18n/ru.json</w:t>
            </w:r>
          </w:p>
        </w:tc>
        <w:tc>
          <w:tcPr>
            <w:tcW w:type="dxa" w:w="352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RU dictionaries, visible scanner, piece translations.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Release gates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scripts/stage17/*; tests/e2e/stage17-*.spec.ts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G0-G9 runner, evidence collection, Playwright coverage.</w:t>
            </w:r>
          </w:p>
        </w:tc>
      </w:tr>
      <w:tr>
        <w:tc>
          <w:tcPr>
            <w:tcW w:type="dxa" w:w="2160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Docs/artifacts</w:t>
            </w:r>
          </w:p>
        </w:tc>
        <w:tc>
          <w:tcPr>
            <w:tcW w:type="dxa" w:w="460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docs/stage17/*; artifacts/stage17/*</w:t>
            </w:r>
          </w:p>
        </w:tc>
        <w:tc>
          <w:tcPr>
            <w:tcW w:type="dxa" w:w="3528"/>
            <w:shd w:fill="F8FAFC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Acceptance reports and reproducible evidence.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Infrastructure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infra/docker/*; compose.yaml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 w:line="259" w:lineRule="auto"/>
            </w:pPr>
            <w:r/>
            <w:r>
              <w:rPr>
                <w:b w:val="0"/>
                <w:sz w:val="18"/>
              </w:rPr>
              <w:t>Local integrated Stage 17 stack and reverse proxy.</w:t>
            </w:r>
          </w:p>
        </w:tc>
      </w:tr>
    </w:tbl>
    <w:p>
      <w:pPr>
        <w:spacing w:after="20"/>
      </w:pPr>
    </w:p>
    <w:p>
      <w:pPr>
        <w:pStyle w:val="Heading1"/>
      </w:pPr>
      <w:r>
        <w:t>7. Рекомендации для дальнейшего трекинга</w:t>
      </w:r>
    </w:p>
    <w:p>
      <w:pPr>
        <w:pStyle w:val="ListBullet"/>
        <w:spacing w:after="40"/>
      </w:pPr>
      <w:r>
        <w:t>Для каждой следующей крупной сессии фиксировать отдельный chat-report в docs/stageXX или docs/evidence, чтобы история решений не смешивалась с release artifacts.</w:t>
      </w:r>
    </w:p>
    <w:p>
      <w:pPr>
        <w:pStyle w:val="ListBullet"/>
        <w:spacing w:after="40"/>
      </w:pPr>
      <w:r>
        <w:t>После изменений в embedded automation UI запускать как минимум stage17:localization:check, stage17:debranding:check и stage17:e2e:activepieces-canvas.</w:t>
      </w:r>
    </w:p>
    <w:p>
      <w:pPr>
        <w:pStyle w:val="ListBullet"/>
        <w:spacing w:after="40"/>
      </w:pPr>
      <w:r>
        <w:t>После изменения визуального состояния осознанно обновлять snapshots только после ручной проверки screenshots.</w:t>
      </w:r>
    </w:p>
    <w:p>
      <w:pPr>
        <w:pStyle w:val="ListBullet"/>
        <w:spacing w:after="40"/>
      </w:pPr>
      <w:r>
        <w:t>Не коммитить локальные MCP-логи, временные папки и сырые секреты; для этого уже добавлены ignore-правила для .playwright-mcp/ и stage16-audit-evidence-*/.</w:t>
      </w:r>
    </w:p>
    <w:p>
      <w:pPr>
        <w:pStyle w:val="ListBullet"/>
        <w:spacing w:after="40"/>
      </w:pPr>
      <w:r>
        <w:t>Для пользовательского UI продолжать правило: переводится display/user-facing layer; technical identifiers остаются стабильными.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LawFrame / Stage 17 chat tracking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3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