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988F5" w14:textId="77777777" w:rsidR="00CE6B68" w:rsidRDefault="00CC7B1D">
      <w:pPr>
        <w:spacing w:after="80"/>
      </w:pPr>
      <w:r>
        <w:rPr>
          <w:rFonts w:ascii="Arial" w:hAnsi="Arial"/>
          <w:b/>
          <w:color w:val="1B365D"/>
          <w:sz w:val="36"/>
        </w:rPr>
        <w:t>ESPECIFICACIÓN DE REQUERIMIENTOS Y MEJORAS TÉCNICAS</w:t>
      </w:r>
    </w:p>
    <w:p w14:paraId="1AA469EF" w14:textId="365CA308" w:rsidR="00CE6B68" w:rsidRDefault="00CC7B1D" w:rsidP="00CC7B1D">
      <w:pPr>
        <w:spacing w:after="280"/>
      </w:pPr>
      <w:r>
        <w:rPr>
          <w:rFonts w:ascii="Arial" w:hAnsi="Arial"/>
          <w:b/>
          <w:color w:val="336699"/>
          <w:sz w:val="26"/>
        </w:rPr>
        <w:t>Sistema Integral de Atención a la Movilidad Humana de Chiapas (SIAMH)</w:t>
      </w:r>
    </w:p>
    <w:p w14:paraId="3080C3E7" w14:textId="77777777" w:rsidR="00CE6B68" w:rsidRDefault="00CC7B1D"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1. Resumen Ejecutivo y Alcance</w:t>
      </w:r>
    </w:p>
    <w:p w14:paraId="56E832BC" w14:textId="77777777" w:rsidR="00CE6B68" w:rsidRDefault="00CC7B1D">
      <w:pPr>
        <w:spacing w:after="80"/>
      </w:pPr>
      <w:r>
        <w:rPr>
          <w:rFonts w:ascii="Arial" w:hAnsi="Arial"/>
          <w:color w:val="1E293B"/>
          <w:sz w:val="20"/>
        </w:rPr>
        <w:t>El presente documento establece la especificación formal y detallada de los requerimientos de mejora, cor</w:t>
      </w:r>
      <w:r>
        <w:rPr>
          <w:rFonts w:ascii="Arial" w:hAnsi="Arial"/>
          <w:color w:val="1E293B"/>
          <w:sz w:val="20"/>
        </w:rPr>
        <w:t>recciones de interfaz y optimizaciones de procesos operativos solicitadas para la plataforma SIAMH (Sistema Integral de Atención a la Movilidad Humana de Chiapas). El objetivo fundamental es garantizar una experiencia de usuario uniforme, robustecer la pre</w:t>
      </w:r>
      <w:r>
        <w:rPr>
          <w:rFonts w:ascii="Arial" w:hAnsi="Arial"/>
          <w:color w:val="1E293B"/>
          <w:sz w:val="20"/>
        </w:rPr>
        <w:t>cisión en el levantamiento de datos estadísticos y migratorios, agilizar los trámites de empleabilidad y capacitación, e incorporar mecanismos modernos de gestión documental y captura de datos multimedia.</w:t>
      </w:r>
    </w:p>
    <w:p w14:paraId="24EF2A85" w14:textId="77777777" w:rsidR="00CE6B68" w:rsidRDefault="00CC7B1D"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2. Desglose Detallado de Requerimientos por Módulo</w:t>
      </w:r>
    </w:p>
    <w:p w14:paraId="063EEA17" w14:textId="77777777" w:rsidR="00CE6B68" w:rsidRDefault="00CC7B1D">
      <w:pPr>
        <w:keepNext/>
        <w:spacing w:before="240" w:after="80"/>
      </w:pPr>
      <w:r>
        <w:rPr>
          <w:rFonts w:ascii="Arial" w:hAnsi="Arial"/>
          <w:b/>
          <w:color w:val="336699"/>
          <w:sz w:val="24"/>
        </w:rPr>
        <w:t>2.1 Módulo de Registro General y Datos Personales</w:t>
      </w:r>
    </w:p>
    <w:p w14:paraId="36A7298E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Ampliación del catálogo de países de origen: </w:t>
      </w:r>
      <w:r>
        <w:rPr>
          <w:rFonts w:ascii="Arial" w:hAnsi="Arial"/>
          <w:color w:val="1E293B"/>
          <w:sz w:val="20"/>
        </w:rPr>
        <w:t>Incrementar el listado de países disponibles en la sección de registros de mayor concurrencia o flujo migratorio alto.</w:t>
      </w:r>
    </w:p>
    <w:p w14:paraId="45F20514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Nivel educativo y escolaridad trunca: </w:t>
      </w:r>
      <w:r>
        <w:rPr>
          <w:rFonts w:ascii="Arial" w:hAnsi="Arial"/>
          <w:color w:val="1E293B"/>
          <w:sz w:val="20"/>
        </w:rPr>
        <w:t>Inco</w:t>
      </w:r>
      <w:r>
        <w:rPr>
          <w:rFonts w:ascii="Arial" w:hAnsi="Arial"/>
          <w:color w:val="1E293B"/>
          <w:sz w:val="20"/>
        </w:rPr>
        <w:t>rporar de manera explícita la opción 'Educación trunca' en el catálogo del campo de escolaridad.</w:t>
      </w:r>
    </w:p>
    <w:p w14:paraId="70B99798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Inclusión dinámica de 'Otro' en Etnia y Lengua materna: </w:t>
      </w:r>
      <w:r>
        <w:rPr>
          <w:rFonts w:ascii="Arial" w:hAnsi="Arial"/>
          <w:color w:val="1E293B"/>
          <w:sz w:val="20"/>
        </w:rPr>
        <w:t>Añadir la opción 'Otro' tanto en etnia como en lengua hablada. Al ser seleccionada, el sistema debe des</w:t>
      </w:r>
      <w:r>
        <w:rPr>
          <w:rFonts w:ascii="Arial" w:hAnsi="Arial"/>
          <w:color w:val="1E293B"/>
          <w:sz w:val="20"/>
        </w:rPr>
        <w:t>plegar un campo de texto dinámico (*input*) para permitir escribir la especificación manual.</w:t>
      </w:r>
    </w:p>
    <w:p w14:paraId="1AF99F6D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Ampliación de motivos de migración: </w:t>
      </w:r>
      <w:r>
        <w:rPr>
          <w:rFonts w:ascii="Arial" w:hAnsi="Arial"/>
          <w:color w:val="1E293B"/>
          <w:sz w:val="20"/>
        </w:rPr>
        <w:t>Agregar la opción 'Motivos económicos' dentro del catálogo de causas de desplazamiento, así como la opción 'Otro' con su respec</w:t>
      </w:r>
      <w:r>
        <w:rPr>
          <w:rFonts w:ascii="Arial" w:hAnsi="Arial"/>
          <w:color w:val="1E293B"/>
          <w:sz w:val="20"/>
        </w:rPr>
        <w:t>tivo campo de texto libre para detallar razones no contempladas.</w:t>
      </w:r>
    </w:p>
    <w:p w14:paraId="7565E027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Estatus legal y migratorio: </w:t>
      </w:r>
      <w:r>
        <w:rPr>
          <w:rFonts w:ascii="Arial" w:hAnsi="Arial"/>
          <w:color w:val="1E293B"/>
          <w:sz w:val="20"/>
        </w:rPr>
        <w:t>Incorporar al catálogo de estatus migratorio las opciones 'Por razones humanitarias' y 'Con amparo'.</w:t>
      </w:r>
    </w:p>
    <w:p w14:paraId="605523EA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Reestructuración de contactos familiares: </w:t>
      </w:r>
      <w:r>
        <w:rPr>
          <w:rFonts w:ascii="Arial" w:hAnsi="Arial"/>
          <w:color w:val="1E293B"/>
          <w:sz w:val="20"/>
        </w:rPr>
        <w:t>Estructurar el apartado de información de contacto separando claramente: a) Contacto en el país de origen, y b) Contacto en el lugar de residencia actual.</w:t>
      </w:r>
    </w:p>
    <w:p w14:paraId="3D4FA9A4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Estandarización y validación telefónica: </w:t>
      </w:r>
      <w:r>
        <w:rPr>
          <w:rFonts w:ascii="Arial" w:hAnsi="Arial"/>
          <w:color w:val="1E293B"/>
          <w:sz w:val="20"/>
        </w:rPr>
        <w:t>Implementar el sel</w:t>
      </w:r>
      <w:r>
        <w:rPr>
          <w:rFonts w:ascii="Arial" w:hAnsi="Arial"/>
          <w:color w:val="1E293B"/>
          <w:sz w:val="20"/>
        </w:rPr>
        <w:t>ector de clave LADA internacional y aplicar formato/validación al campo de número telefónico.</w:t>
      </w:r>
    </w:p>
    <w:p w14:paraId="342BC60E" w14:textId="77777777" w:rsidR="00CE6B68" w:rsidRDefault="00CC7B1D">
      <w:pPr>
        <w:keepNext/>
        <w:spacing w:before="240" w:after="80"/>
      </w:pPr>
      <w:r>
        <w:rPr>
          <w:rFonts w:ascii="Arial" w:hAnsi="Arial"/>
          <w:b/>
          <w:color w:val="336699"/>
          <w:sz w:val="24"/>
        </w:rPr>
        <w:t>2.2 Módulo de Empleabilidad</w:t>
      </w:r>
    </w:p>
    <w:p w14:paraId="0E59D9E3" w14:textId="175E9B76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Autollenado e integración de escolaridad: </w:t>
      </w:r>
      <w:r>
        <w:rPr>
          <w:rFonts w:ascii="Arial" w:hAnsi="Arial"/>
          <w:color w:val="1E293B"/>
          <w:sz w:val="20"/>
        </w:rPr>
        <w:t>Extraer e integrar automáticamente los datos de escolaridad capturados previamente en el for</w:t>
      </w:r>
      <w:r>
        <w:rPr>
          <w:rFonts w:ascii="Arial" w:hAnsi="Arial"/>
          <w:color w:val="1E293B"/>
          <w:sz w:val="20"/>
        </w:rPr>
        <w:t xml:space="preserve">mulario de </w:t>
      </w:r>
      <w:proofErr w:type="spellStart"/>
      <w:r>
        <w:rPr>
          <w:rFonts w:ascii="Arial" w:hAnsi="Arial"/>
          <w:color w:val="1E293B"/>
          <w:sz w:val="20"/>
        </w:rPr>
        <w:t>registro</w:t>
      </w:r>
      <w:proofErr w:type="spellEnd"/>
      <w:r>
        <w:rPr>
          <w:rFonts w:ascii="Arial" w:hAnsi="Arial"/>
          <w:color w:val="1E293B"/>
          <w:sz w:val="20"/>
        </w:rPr>
        <w:t xml:space="preserve"> general </w:t>
      </w:r>
      <w:proofErr w:type="spellStart"/>
      <w:r>
        <w:rPr>
          <w:rFonts w:ascii="Arial" w:hAnsi="Arial"/>
          <w:color w:val="1E293B"/>
          <w:sz w:val="20"/>
        </w:rPr>
        <w:t>ademas</w:t>
      </w:r>
      <w:proofErr w:type="spellEnd"/>
      <w:r>
        <w:rPr>
          <w:rFonts w:ascii="Arial" w:hAnsi="Arial"/>
          <w:color w:val="1E293B"/>
          <w:sz w:val="20"/>
        </w:rPr>
        <w:t xml:space="preserve"> que </w:t>
      </w:r>
      <w:proofErr w:type="spellStart"/>
      <w:r>
        <w:rPr>
          <w:rFonts w:ascii="Arial" w:hAnsi="Arial"/>
          <w:color w:val="1E293B"/>
          <w:sz w:val="20"/>
        </w:rPr>
        <w:t>en</w:t>
      </w:r>
      <w:proofErr w:type="spellEnd"/>
      <w:r>
        <w:rPr>
          <w:rFonts w:ascii="Arial" w:hAnsi="Arial"/>
          <w:color w:val="1E293B"/>
          <w:sz w:val="20"/>
        </w:rPr>
        <w:t xml:space="preserve"> </w:t>
      </w:r>
      <w:proofErr w:type="spellStart"/>
      <w:r>
        <w:rPr>
          <w:rFonts w:ascii="Arial" w:hAnsi="Arial"/>
          <w:color w:val="1E293B"/>
          <w:sz w:val="20"/>
        </w:rPr>
        <w:t>el</w:t>
      </w:r>
      <w:proofErr w:type="spellEnd"/>
      <w:r>
        <w:rPr>
          <w:rFonts w:ascii="Arial" w:hAnsi="Arial"/>
          <w:color w:val="1E293B"/>
          <w:sz w:val="20"/>
        </w:rPr>
        <w:t xml:space="preserve"> de </w:t>
      </w:r>
      <w:proofErr w:type="spellStart"/>
      <w:r>
        <w:rPr>
          <w:rFonts w:ascii="Arial" w:hAnsi="Arial"/>
          <w:color w:val="1E293B"/>
          <w:sz w:val="20"/>
        </w:rPr>
        <w:t>registro</w:t>
      </w:r>
      <w:proofErr w:type="spellEnd"/>
      <w:r>
        <w:rPr>
          <w:rFonts w:ascii="Arial" w:hAnsi="Arial"/>
          <w:color w:val="1E293B"/>
          <w:sz w:val="20"/>
        </w:rPr>
        <w:t xml:space="preserve"> general es mas general, </w:t>
      </w:r>
      <w:proofErr w:type="spellStart"/>
      <w:r>
        <w:rPr>
          <w:rFonts w:ascii="Arial" w:hAnsi="Arial"/>
          <w:color w:val="1E293B"/>
          <w:sz w:val="20"/>
        </w:rPr>
        <w:t>aqui</w:t>
      </w:r>
      <w:proofErr w:type="spellEnd"/>
      <w:r>
        <w:rPr>
          <w:rFonts w:ascii="Arial" w:hAnsi="Arial"/>
          <w:color w:val="1E293B"/>
          <w:sz w:val="20"/>
        </w:rPr>
        <w:t xml:space="preserve"> </w:t>
      </w:r>
      <w:proofErr w:type="spellStart"/>
      <w:r>
        <w:rPr>
          <w:rFonts w:ascii="Arial" w:hAnsi="Arial"/>
          <w:color w:val="1E293B"/>
          <w:sz w:val="20"/>
        </w:rPr>
        <w:t>en</w:t>
      </w:r>
      <w:proofErr w:type="spellEnd"/>
      <w:r>
        <w:rPr>
          <w:rFonts w:ascii="Arial" w:hAnsi="Arial"/>
          <w:color w:val="1E293B"/>
          <w:sz w:val="20"/>
        </w:rPr>
        <w:t xml:space="preserve"> </w:t>
      </w:r>
      <w:proofErr w:type="spellStart"/>
      <w:r>
        <w:rPr>
          <w:rFonts w:ascii="Arial" w:hAnsi="Arial"/>
          <w:color w:val="1E293B"/>
          <w:sz w:val="20"/>
        </w:rPr>
        <w:t>empleabilidad</w:t>
      </w:r>
      <w:proofErr w:type="spellEnd"/>
      <w:r>
        <w:rPr>
          <w:rFonts w:ascii="Arial" w:hAnsi="Arial"/>
          <w:color w:val="1E293B"/>
          <w:sz w:val="20"/>
        </w:rPr>
        <w:t xml:space="preserve"> es mas </w:t>
      </w:r>
      <w:proofErr w:type="spellStart"/>
      <w:r>
        <w:rPr>
          <w:rFonts w:ascii="Arial" w:hAnsi="Arial"/>
          <w:color w:val="1E293B"/>
          <w:sz w:val="20"/>
        </w:rPr>
        <w:t>detallado</w:t>
      </w:r>
      <w:proofErr w:type="spellEnd"/>
      <w:r>
        <w:rPr>
          <w:rFonts w:ascii="Arial" w:hAnsi="Arial"/>
          <w:color w:val="1E293B"/>
          <w:sz w:val="20"/>
        </w:rPr>
        <w:t xml:space="preserve"> </w:t>
      </w:r>
      <w:r>
        <w:rPr>
          <w:rFonts w:ascii="Arial" w:hAnsi="Arial"/>
          <w:color w:val="1E293B"/>
          <w:sz w:val="20"/>
        </w:rPr>
        <w:t xml:space="preserve">para </w:t>
      </w:r>
      <w:proofErr w:type="spellStart"/>
      <w:r>
        <w:rPr>
          <w:rFonts w:ascii="Arial" w:hAnsi="Arial"/>
          <w:color w:val="1E293B"/>
          <w:sz w:val="20"/>
        </w:rPr>
        <w:t>evitar</w:t>
      </w:r>
      <w:proofErr w:type="spellEnd"/>
      <w:r>
        <w:rPr>
          <w:rFonts w:ascii="Arial" w:hAnsi="Arial"/>
          <w:color w:val="1E293B"/>
          <w:sz w:val="20"/>
        </w:rPr>
        <w:t xml:space="preserve"> </w:t>
      </w:r>
      <w:proofErr w:type="spellStart"/>
      <w:r>
        <w:rPr>
          <w:rFonts w:ascii="Arial" w:hAnsi="Arial"/>
          <w:color w:val="1E293B"/>
          <w:sz w:val="20"/>
        </w:rPr>
        <w:t>duplicidad</w:t>
      </w:r>
      <w:proofErr w:type="spellEnd"/>
      <w:r>
        <w:rPr>
          <w:rFonts w:ascii="Arial" w:hAnsi="Arial"/>
          <w:color w:val="1E293B"/>
          <w:sz w:val="20"/>
        </w:rPr>
        <w:t xml:space="preserve"> de </w:t>
      </w:r>
      <w:proofErr w:type="spellStart"/>
      <w:r>
        <w:rPr>
          <w:rFonts w:ascii="Arial" w:hAnsi="Arial"/>
          <w:color w:val="1E293B"/>
          <w:sz w:val="20"/>
        </w:rPr>
        <w:t>captura</w:t>
      </w:r>
      <w:proofErr w:type="spellEnd"/>
      <w:r>
        <w:rPr>
          <w:rFonts w:ascii="Arial" w:hAnsi="Arial"/>
          <w:color w:val="1E293B"/>
          <w:sz w:val="20"/>
        </w:rPr>
        <w:t>.</w:t>
      </w:r>
    </w:p>
    <w:p w14:paraId="280881EE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Estatus laboral activo y aspiración laboral: </w:t>
      </w:r>
      <w:r>
        <w:rPr>
          <w:rFonts w:ascii="Arial" w:hAnsi="Arial"/>
          <w:color w:val="1E293B"/>
          <w:sz w:val="20"/>
        </w:rPr>
        <w:t>Incorporar campos específicos para registrar si la persona actualmente cuenta con un empleo y si manifiesta interés en cambiar o buscar una nueva op</w:t>
      </w:r>
      <w:r>
        <w:rPr>
          <w:rFonts w:ascii="Arial" w:hAnsi="Arial"/>
          <w:color w:val="1E293B"/>
          <w:sz w:val="20"/>
        </w:rPr>
        <w:t>ortunidad laboral.</w:t>
      </w:r>
    </w:p>
    <w:p w14:paraId="696D3E3B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Generación y previsualización de Solicitud de Empleo: </w:t>
      </w:r>
      <w:r>
        <w:rPr>
          <w:rFonts w:ascii="Arial" w:hAnsi="Arial"/>
          <w:color w:val="1E293B"/>
          <w:sz w:val="20"/>
        </w:rPr>
        <w:t>Extraer automáticamente la información del perfil para generar el borrador formal del documento de solicitud de empleo (función opcional).</w:t>
      </w:r>
    </w:p>
    <w:p w14:paraId="1EF9552C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lastRenderedPageBreak/>
        <w:t xml:space="preserve">Formulario complementario para Solicitud de Empleo: </w:t>
      </w:r>
      <w:r>
        <w:rPr>
          <w:rFonts w:ascii="Arial" w:hAnsi="Arial"/>
          <w:color w:val="1E293B"/>
          <w:sz w:val="20"/>
        </w:rPr>
        <w:t>Disponer de un botón dentro del módulo de empleabilidad que despliegue un formulario secundario para capturar datos adicionales que no pertenecen al registro general pero son necesarios para la solicitud.</w:t>
      </w:r>
    </w:p>
    <w:p w14:paraId="5E453680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Previsualización interactiva del documento: </w:t>
      </w:r>
      <w:r>
        <w:rPr>
          <w:rFonts w:ascii="Arial" w:hAnsi="Arial"/>
          <w:color w:val="1E293B"/>
          <w:sz w:val="20"/>
        </w:rPr>
        <w:t>Permitir visualizar en pantalla la solicitud de empleo generada antes de su descarga o impresión.</w:t>
      </w:r>
    </w:p>
    <w:p w14:paraId="2048AB36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Carga directa de documentos faltantes: </w:t>
      </w:r>
      <w:r>
        <w:rPr>
          <w:rFonts w:ascii="Arial" w:hAnsi="Arial"/>
          <w:color w:val="1E293B"/>
          <w:sz w:val="20"/>
        </w:rPr>
        <w:t xml:space="preserve">Habilitar la opción de cargar/adjuntar documentos pendientes directamente </w:t>
      </w:r>
      <w:r>
        <w:rPr>
          <w:rFonts w:ascii="Arial" w:hAnsi="Arial"/>
          <w:color w:val="1E293B"/>
          <w:sz w:val="20"/>
        </w:rPr>
        <w:t>desde el módulo de empleabilidad, eliminando la necesidad de regresar a la sección de registro general.</w:t>
      </w:r>
    </w:p>
    <w:p w14:paraId="1EDD00E0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Nuevos sectores productivos: </w:t>
      </w:r>
      <w:r>
        <w:rPr>
          <w:rFonts w:ascii="Arial" w:hAnsi="Arial"/>
          <w:color w:val="1E293B"/>
          <w:sz w:val="20"/>
        </w:rPr>
        <w:t>Incorporar al catálogo de sectores productivos las opciones 'Servicio al cliente', 'Belleza y cuidado personal' y 'Otro' (c</w:t>
      </w:r>
      <w:r>
        <w:rPr>
          <w:rFonts w:ascii="Arial" w:hAnsi="Arial"/>
          <w:color w:val="1E293B"/>
          <w:sz w:val="20"/>
        </w:rPr>
        <w:t>on campo para especificar).</w:t>
      </w:r>
    </w:p>
    <w:p w14:paraId="1F774514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Seguimiento de empleabilidad: </w:t>
      </w:r>
      <w:r>
        <w:rPr>
          <w:rFonts w:ascii="Arial" w:hAnsi="Arial"/>
          <w:color w:val="1E293B"/>
          <w:sz w:val="20"/>
        </w:rPr>
        <w:t>Agregar la opción 'Otro' con campo de texto libre en el catálogo de casos de seguimiento de empleabilidad.</w:t>
      </w:r>
    </w:p>
    <w:p w14:paraId="3DA1D07B" w14:textId="77777777" w:rsidR="00CE6B68" w:rsidRDefault="00CC7B1D">
      <w:pPr>
        <w:keepNext/>
        <w:spacing w:before="240" w:after="80"/>
      </w:pPr>
      <w:r>
        <w:rPr>
          <w:rFonts w:ascii="Arial" w:hAnsi="Arial"/>
          <w:b/>
          <w:color w:val="336699"/>
          <w:sz w:val="24"/>
        </w:rPr>
        <w:t>2.3 Módulo de Capacitación</w:t>
      </w:r>
    </w:p>
    <w:p w14:paraId="03C7CBB7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Independencia visual y funcional: </w:t>
      </w:r>
      <w:r>
        <w:rPr>
          <w:rFonts w:ascii="Arial" w:hAnsi="Arial"/>
          <w:color w:val="1E293B"/>
          <w:sz w:val="20"/>
        </w:rPr>
        <w:t>Separar estructuralmente el mó</w:t>
      </w:r>
      <w:r>
        <w:rPr>
          <w:rFonts w:ascii="Arial" w:hAnsi="Arial"/>
          <w:color w:val="1E293B"/>
          <w:sz w:val="20"/>
        </w:rPr>
        <w:t>dulo de Capacitación del módulo de Empleabilidad en el menú de navegación e interfaz del usuario.</w:t>
      </w:r>
    </w:p>
    <w:p w14:paraId="22DED478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Regla de acreditación por asistencias: </w:t>
      </w:r>
      <w:r>
        <w:rPr>
          <w:rFonts w:ascii="Arial" w:hAnsi="Arial"/>
          <w:color w:val="1E293B"/>
          <w:sz w:val="20"/>
        </w:rPr>
        <w:t xml:space="preserve">Establecer la regla de negocio que exige la acreditación de al menos 3 asistencias a la capacitación en caso de que el </w:t>
      </w:r>
      <w:r>
        <w:rPr>
          <w:rFonts w:ascii="Arial" w:hAnsi="Arial"/>
          <w:color w:val="1E293B"/>
          <w:sz w:val="20"/>
        </w:rPr>
        <w:t>beneficiario no realice o presente el examen obligatorio.</w:t>
      </w:r>
    </w:p>
    <w:p w14:paraId="5989C0C8" w14:textId="77777777" w:rsidR="00CE6B68" w:rsidRDefault="00CC7B1D">
      <w:pPr>
        <w:keepNext/>
        <w:spacing w:before="240" w:after="80"/>
      </w:pPr>
      <w:r>
        <w:rPr>
          <w:rFonts w:ascii="Arial" w:hAnsi="Arial"/>
          <w:b/>
          <w:color w:val="336699"/>
          <w:sz w:val="24"/>
        </w:rPr>
        <w:t>2.4 Módulo de Gestión Documental y Avisos</w:t>
      </w:r>
    </w:p>
    <w:p w14:paraId="14B5938C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Generación automatizada de Aviso de Privacidad: </w:t>
      </w:r>
      <w:r>
        <w:rPr>
          <w:rFonts w:ascii="Arial" w:hAnsi="Arial"/>
          <w:color w:val="1E293B"/>
          <w:sz w:val="20"/>
        </w:rPr>
        <w:t xml:space="preserve">Implementar la función para que el sistema genere y emita de forma automática el documento oficial de Aviso </w:t>
      </w:r>
      <w:r>
        <w:rPr>
          <w:rFonts w:ascii="Arial" w:hAnsi="Arial"/>
          <w:color w:val="1E293B"/>
          <w:sz w:val="20"/>
        </w:rPr>
        <w:t>de Privacidad.</w:t>
      </w:r>
    </w:p>
    <w:p w14:paraId="14EA2200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Depuración de historial telefónico en expedientes: </w:t>
      </w:r>
      <w:r>
        <w:rPr>
          <w:rFonts w:ascii="Arial" w:hAnsi="Arial"/>
          <w:color w:val="1E293B"/>
          <w:sz w:val="20"/>
        </w:rPr>
        <w:t>Optimizar la visualización en la vista de expediente para mostrar exclusivamente el número telefónico vigente y activo, retirando tachaduras o líneas intermedias de números anteriores.</w:t>
      </w:r>
    </w:p>
    <w:p w14:paraId="7527200E" w14:textId="77777777" w:rsidR="00CE6B68" w:rsidRDefault="00CC7B1D">
      <w:pPr>
        <w:keepNext/>
        <w:spacing w:before="240" w:after="80"/>
      </w:pPr>
      <w:r>
        <w:rPr>
          <w:rFonts w:ascii="Arial" w:hAnsi="Arial"/>
          <w:b/>
          <w:color w:val="336699"/>
          <w:sz w:val="24"/>
        </w:rPr>
        <w:t>2.5 I</w:t>
      </w:r>
      <w:r>
        <w:rPr>
          <w:rFonts w:ascii="Arial" w:hAnsi="Arial"/>
          <w:b/>
          <w:color w:val="336699"/>
          <w:sz w:val="24"/>
        </w:rPr>
        <w:t>nterfaz de Usuario (UI/UX) y Captura Multimedia</w:t>
      </w:r>
    </w:p>
    <w:p w14:paraId="7905B2EB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Previsualización de imágenes (Hover en expediente): </w:t>
      </w:r>
      <w:r>
        <w:rPr>
          <w:rFonts w:ascii="Arial" w:hAnsi="Arial"/>
          <w:color w:val="1E293B"/>
          <w:sz w:val="20"/>
        </w:rPr>
        <w:t>Implementar un componente flotante (tooltip/modal previa) que muestre la fotografía del usuario al pasar el cursor (*hover*) sobre la foto de su expediente.</w:t>
      </w:r>
    </w:p>
    <w:p w14:paraId="6AADC8B2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Flexibilidad en la captura de fotografías: </w:t>
      </w:r>
      <w:r>
        <w:rPr>
          <w:rFonts w:ascii="Arial" w:hAnsi="Arial"/>
          <w:color w:val="1E293B"/>
          <w:sz w:val="20"/>
        </w:rPr>
        <w:t>Habilitar la carga de imágenes mediante arrastrar y soltar (*drag and drop*), integrar soporte para cámaras web conectadas a la PC/Laptop y permitir la vinculación con la cámara del dispositivo móvil.</w:t>
      </w:r>
    </w:p>
    <w:p w14:paraId="3B44E20B" w14:textId="77777777" w:rsidR="00CE6B68" w:rsidRDefault="00CC7B1D"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 xml:space="preserve">3. Regla Técnica Estándar </w:t>
      </w:r>
      <w:proofErr w:type="gramStart"/>
      <w:r>
        <w:rPr>
          <w:rFonts w:ascii="Arial" w:hAnsi="Arial"/>
          <w:b/>
          <w:color w:val="1B365D"/>
          <w:sz w:val="28"/>
        </w:rPr>
        <w:t>para Campos</w:t>
      </w:r>
      <w:proofErr w:type="gramEnd"/>
      <w:r>
        <w:rPr>
          <w:rFonts w:ascii="Arial" w:hAnsi="Arial"/>
          <w:b/>
          <w:color w:val="1B365D"/>
          <w:sz w:val="28"/>
        </w:rPr>
        <w:t xml:space="preserve"> Dinámicos ('Otro')</w:t>
      </w:r>
    </w:p>
    <w:p w14:paraId="5CA09E68" w14:textId="77777777" w:rsidR="00CE6B68" w:rsidRDefault="00CC7B1D">
      <w:pPr>
        <w:spacing w:after="80"/>
      </w:pPr>
      <w:r>
        <w:rPr>
          <w:rFonts w:ascii="Arial" w:hAnsi="Arial"/>
          <w:color w:val="1E293B"/>
          <w:sz w:val="20"/>
        </w:rPr>
        <w:t>Para mantener la consistencia en el diseño de base de datos e interfaz gráfica, todos los campos que requieran la opción 'Otro' deben implementar el siguiente patrón de diseño:</w:t>
      </w:r>
    </w:p>
    <w:p w14:paraId="18E9D087" w14:textId="77777777" w:rsidR="00CE6B68" w:rsidRDefault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Comportamiento UI: </w:t>
      </w:r>
      <w:r>
        <w:rPr>
          <w:rFonts w:ascii="Arial" w:hAnsi="Arial"/>
          <w:color w:val="1E293B"/>
          <w:sz w:val="20"/>
        </w:rPr>
        <w:t xml:space="preserve">Al </w:t>
      </w:r>
      <w:r>
        <w:rPr>
          <w:rFonts w:ascii="Arial" w:hAnsi="Arial"/>
          <w:color w:val="1E293B"/>
          <w:sz w:val="20"/>
        </w:rPr>
        <w:t>seleccionar la opción 'Otro' en un combo box o radio group, se activará/desplegará de forma inmediata un campo de texto (&lt;input type='text'&gt;) adyacente obligatorio.</w:t>
      </w:r>
    </w:p>
    <w:p w14:paraId="3F527ED7" w14:textId="7568BC19" w:rsidR="00CE6B68" w:rsidRDefault="00CC7B1D" w:rsidP="00CC7B1D">
      <w:pPr>
        <w:pStyle w:val="Listaconvietas"/>
        <w:spacing w:after="60"/>
      </w:pPr>
      <w:r>
        <w:rPr>
          <w:rFonts w:ascii="Arial" w:hAnsi="Arial"/>
          <w:b/>
          <w:color w:val="1E293B"/>
          <w:sz w:val="20"/>
        </w:rPr>
        <w:t xml:space="preserve">Persistencia en BD: </w:t>
      </w:r>
      <w:r>
        <w:rPr>
          <w:rFonts w:ascii="Arial" w:hAnsi="Arial"/>
          <w:color w:val="1E293B"/>
          <w:sz w:val="20"/>
        </w:rPr>
        <w:t>Si el usuario selecciona 'Otro', se guardará en el campo principal la c</w:t>
      </w:r>
      <w:r>
        <w:rPr>
          <w:rFonts w:ascii="Arial" w:hAnsi="Arial"/>
          <w:color w:val="1E293B"/>
          <w:sz w:val="20"/>
        </w:rPr>
        <w:t xml:space="preserve">lave identificadora 'OTRO' y el valor descriptivo ingresado se almacenará en el campo complementario especificado (ej. </w:t>
      </w:r>
      <w:proofErr w:type="spellStart"/>
      <w:r>
        <w:rPr>
          <w:rFonts w:ascii="Arial" w:hAnsi="Arial"/>
          <w:color w:val="1E293B"/>
          <w:sz w:val="20"/>
        </w:rPr>
        <w:t>etnia_otro</w:t>
      </w:r>
      <w:proofErr w:type="spellEnd"/>
      <w:r>
        <w:rPr>
          <w:rFonts w:ascii="Arial" w:hAnsi="Arial"/>
          <w:color w:val="1E293B"/>
          <w:sz w:val="20"/>
        </w:rPr>
        <w:t xml:space="preserve">, </w:t>
      </w:r>
      <w:proofErr w:type="spellStart"/>
      <w:r>
        <w:rPr>
          <w:rFonts w:ascii="Arial" w:hAnsi="Arial"/>
          <w:color w:val="1E293B"/>
          <w:sz w:val="20"/>
        </w:rPr>
        <w:t>lengua_otro</w:t>
      </w:r>
      <w:proofErr w:type="spellEnd"/>
      <w:r>
        <w:rPr>
          <w:rFonts w:ascii="Arial" w:hAnsi="Arial"/>
          <w:color w:val="1E293B"/>
          <w:sz w:val="20"/>
        </w:rPr>
        <w:t xml:space="preserve">, </w:t>
      </w:r>
      <w:proofErr w:type="spellStart"/>
      <w:r>
        <w:rPr>
          <w:rFonts w:ascii="Arial" w:hAnsi="Arial"/>
          <w:color w:val="1E293B"/>
          <w:sz w:val="20"/>
        </w:rPr>
        <w:t>motivo_otro</w:t>
      </w:r>
      <w:proofErr w:type="spellEnd"/>
      <w:r>
        <w:rPr>
          <w:rFonts w:ascii="Arial" w:hAnsi="Arial"/>
          <w:color w:val="1E293B"/>
          <w:sz w:val="20"/>
        </w:rPr>
        <w:t xml:space="preserve">, </w:t>
      </w:r>
      <w:proofErr w:type="spellStart"/>
      <w:r>
        <w:rPr>
          <w:rFonts w:ascii="Arial" w:hAnsi="Arial"/>
          <w:color w:val="1E293B"/>
          <w:sz w:val="20"/>
        </w:rPr>
        <w:t>sector_otro</w:t>
      </w:r>
      <w:proofErr w:type="spellEnd"/>
      <w:r>
        <w:rPr>
          <w:rFonts w:ascii="Arial" w:hAnsi="Arial"/>
          <w:color w:val="1E293B"/>
          <w:sz w:val="20"/>
        </w:rPr>
        <w:t>).</w:t>
      </w:r>
    </w:p>
    <w:sectPr w:rsidR="00CE6B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7B1D"/>
    <w:rsid w:val="00CE6B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92E76"/>
  <w14:defaultImageDpi w14:val="300"/>
  <w15:docId w15:val="{8F7205FA-0D0A-41EB-9394-6DAD61A2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889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García</cp:lastModifiedBy>
  <cp:revision>2</cp:revision>
  <dcterms:created xsi:type="dcterms:W3CDTF">2013-12-23T23:15:00Z</dcterms:created>
  <dcterms:modified xsi:type="dcterms:W3CDTF">2026-09-15T01:11:00Z</dcterms:modified>
  <cp:category/>
</cp:coreProperties>
</file>