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77037A" w14:textId="77777777" w:rsidR="0069170D" w:rsidRDefault="0069170D">
      <w:pPr>
        <w:rPr>
          <w:rFonts w:ascii="Arial" w:hAnsi="Arial" w:cs="Arial"/>
          <w:b/>
          <w:bCs/>
          <w:sz w:val="21"/>
          <w:szCs w:val="21"/>
        </w:rPr>
      </w:pPr>
      <w:r w:rsidRPr="0069170D">
        <w:rPr>
          <w:rFonts w:ascii="Arial" w:hAnsi="Arial" w:cs="Arial"/>
          <w:b/>
          <w:bCs/>
          <w:sz w:val="21"/>
          <w:szCs w:val="21"/>
        </w:rPr>
        <w:t>- Please clarify whether both control participants and participants providing confidence ratings will be invited to wager. If only one group will be invited to wager, please clarify how participants will be allocated to conditions (wager versus non-wager), and comment on whether it is fair to have one group possibly receive more money. If that is the case, please also reconsider how benefits in participant information statement #6 are formulated.</w:t>
      </w:r>
    </w:p>
    <w:p w14:paraId="298AAB74" w14:textId="77777777" w:rsidR="0069170D" w:rsidRDefault="0069170D">
      <w:pPr>
        <w:rPr>
          <w:rFonts w:ascii="Arial" w:hAnsi="Arial" w:cs="Arial"/>
          <w:b/>
          <w:bCs/>
          <w:sz w:val="21"/>
          <w:szCs w:val="21"/>
        </w:rPr>
      </w:pPr>
    </w:p>
    <w:p w14:paraId="6B2CE640" w14:textId="33BEBE45" w:rsidR="0069170D" w:rsidRPr="0069170D" w:rsidRDefault="0069170D">
      <w:pPr>
        <w:rPr>
          <w:rFonts w:ascii="Arial" w:hAnsi="Arial" w:cs="Arial"/>
          <w:sz w:val="21"/>
          <w:szCs w:val="21"/>
        </w:rPr>
      </w:pPr>
      <w:r>
        <w:rPr>
          <w:rFonts w:ascii="Arial" w:hAnsi="Arial" w:cs="Arial"/>
          <w:sz w:val="21"/>
          <w:szCs w:val="21"/>
        </w:rPr>
        <w:t xml:space="preserve">Both control participants and participants will perform wagers </w:t>
      </w:r>
    </w:p>
    <w:p w14:paraId="055F9D3D" w14:textId="77777777" w:rsidR="0069170D" w:rsidRDefault="0069170D">
      <w:pPr>
        <w:rPr>
          <w:rFonts w:ascii="Arial" w:hAnsi="Arial" w:cs="Arial"/>
          <w:b/>
          <w:bCs/>
          <w:sz w:val="21"/>
          <w:szCs w:val="21"/>
        </w:rPr>
      </w:pPr>
      <w:r w:rsidRPr="0069170D">
        <w:rPr>
          <w:rFonts w:ascii="Arial" w:hAnsi="Arial" w:cs="Arial"/>
          <w:b/>
          <w:bCs/>
          <w:sz w:val="21"/>
          <w:szCs w:val="21"/>
        </w:rPr>
        <w:br/>
        <w:t>- The application is rather minimalist in how much information it provides, including about how the wagering will work. The application mentions a bonus payment (up to a maximum of 50% of standard payment) but is this what they wager with? Presumably they either win more or lose on their wagers, but how does that work? The investigators need to provide a lot more detail about how this operates.</w:t>
      </w:r>
    </w:p>
    <w:p w14:paraId="21DCE02F" w14:textId="77777777" w:rsidR="0069170D" w:rsidRDefault="0069170D">
      <w:pPr>
        <w:rPr>
          <w:rFonts w:ascii="Arial" w:hAnsi="Arial" w:cs="Arial"/>
          <w:b/>
          <w:bCs/>
          <w:sz w:val="21"/>
          <w:szCs w:val="21"/>
        </w:rPr>
      </w:pPr>
    </w:p>
    <w:p w14:paraId="7E400A51" w14:textId="0878B6EB" w:rsidR="0069170D" w:rsidRDefault="0069170D">
      <w:pPr>
        <w:rPr>
          <w:rFonts w:ascii="Arial" w:hAnsi="Arial" w:cs="Arial"/>
          <w:sz w:val="21"/>
          <w:szCs w:val="21"/>
        </w:rPr>
      </w:pPr>
      <w:r>
        <w:rPr>
          <w:rFonts w:ascii="Arial" w:hAnsi="Arial" w:cs="Arial"/>
          <w:sz w:val="21"/>
          <w:szCs w:val="21"/>
        </w:rPr>
        <w:t>Participants</w:t>
      </w:r>
      <w:r w:rsidRPr="0069170D">
        <w:rPr>
          <w:rFonts w:ascii="Arial" w:hAnsi="Arial" w:cs="Arial"/>
          <w:sz w:val="21"/>
          <w:szCs w:val="21"/>
        </w:rPr>
        <w:t xml:space="preserve"> will have the</w:t>
      </w:r>
      <w:r>
        <w:rPr>
          <w:rFonts w:ascii="Arial" w:hAnsi="Arial" w:cs="Arial"/>
          <w:sz w:val="21"/>
          <w:szCs w:val="21"/>
        </w:rPr>
        <w:t xml:space="preserve"> opportunity to either wager points or small amounts of their bonus (e.g. 1 cent) payment on the accuracy of each trial. The then receive a bonus payment based on their accumulated points/cash. </w:t>
      </w:r>
    </w:p>
    <w:p w14:paraId="00E487B6" w14:textId="77777777" w:rsidR="0069170D" w:rsidRDefault="0069170D">
      <w:pPr>
        <w:rPr>
          <w:rFonts w:ascii="Arial" w:hAnsi="Arial" w:cs="Arial"/>
          <w:sz w:val="21"/>
          <w:szCs w:val="21"/>
        </w:rPr>
      </w:pPr>
    </w:p>
    <w:p w14:paraId="0C5345E9" w14:textId="1FBC5309" w:rsidR="0069170D" w:rsidRPr="0069170D" w:rsidRDefault="0069170D">
      <w:pPr>
        <w:rPr>
          <w:rFonts w:ascii="Arial" w:hAnsi="Arial" w:cs="Arial"/>
          <w:sz w:val="21"/>
          <w:szCs w:val="21"/>
        </w:rPr>
      </w:pPr>
      <w:r>
        <w:rPr>
          <w:rFonts w:ascii="Arial" w:hAnsi="Arial" w:cs="Arial"/>
          <w:sz w:val="21"/>
          <w:szCs w:val="21"/>
        </w:rPr>
        <w:t xml:space="preserve">The exact amounts available to wager on each trial will vary across experiments but, for example, in </w:t>
      </w:r>
      <w:r w:rsidR="00AC0A12">
        <w:rPr>
          <w:rFonts w:ascii="Arial" w:hAnsi="Arial" w:cs="Arial"/>
          <w:sz w:val="21"/>
          <w:szCs w:val="21"/>
        </w:rPr>
        <w:t>a version participants</w:t>
      </w:r>
      <w:r>
        <w:rPr>
          <w:rFonts w:ascii="Arial" w:hAnsi="Arial" w:cs="Arial"/>
          <w:sz w:val="21"/>
          <w:szCs w:val="21"/>
        </w:rPr>
        <w:t xml:space="preserve"> are able to wager either 1c or 2c that their previous response is correct. In </w:t>
      </w:r>
      <w:r w:rsidR="00AC0A12">
        <w:rPr>
          <w:rFonts w:ascii="Arial" w:hAnsi="Arial" w:cs="Arial"/>
          <w:sz w:val="21"/>
          <w:szCs w:val="21"/>
        </w:rPr>
        <w:t>a</w:t>
      </w:r>
      <w:r>
        <w:rPr>
          <w:rFonts w:ascii="Arial" w:hAnsi="Arial" w:cs="Arial"/>
          <w:sz w:val="21"/>
          <w:szCs w:val="21"/>
        </w:rPr>
        <w:t xml:space="preserve"> points</w:t>
      </w:r>
      <w:r w:rsidR="00AC0A12">
        <w:rPr>
          <w:rFonts w:ascii="Arial" w:hAnsi="Arial" w:cs="Arial"/>
          <w:sz w:val="21"/>
          <w:szCs w:val="21"/>
        </w:rPr>
        <w:t>-based</w:t>
      </w:r>
      <w:r>
        <w:rPr>
          <w:rFonts w:ascii="Arial" w:hAnsi="Arial" w:cs="Arial"/>
          <w:sz w:val="21"/>
          <w:szCs w:val="21"/>
        </w:rPr>
        <w:t xml:space="preserve"> version, participants can gamble 1 or 2 points. The mapping of points to the exact bonus (e.g. each point is worth 5 cents) will be made clear in advance to participants during the task instructions.</w:t>
      </w:r>
      <w:r w:rsidR="00FE558F">
        <w:rPr>
          <w:rFonts w:ascii="Arial" w:hAnsi="Arial" w:cs="Arial"/>
          <w:sz w:val="21"/>
          <w:szCs w:val="21"/>
        </w:rPr>
        <w:t xml:space="preserve"> </w:t>
      </w:r>
    </w:p>
    <w:p w14:paraId="154A1C0C" w14:textId="0970171B" w:rsidR="0069170D" w:rsidRDefault="0069170D">
      <w:pPr>
        <w:rPr>
          <w:rFonts w:ascii="Arial" w:hAnsi="Arial" w:cs="Arial"/>
          <w:b/>
          <w:bCs/>
          <w:sz w:val="21"/>
          <w:szCs w:val="21"/>
        </w:rPr>
      </w:pPr>
      <w:r>
        <w:rPr>
          <w:rFonts w:ascii="Arial" w:hAnsi="Arial" w:cs="Arial"/>
          <w:b/>
          <w:bCs/>
          <w:sz w:val="21"/>
          <w:szCs w:val="21"/>
        </w:rPr>
        <w:t xml:space="preserve"> </w:t>
      </w:r>
    </w:p>
    <w:p w14:paraId="61A202D7" w14:textId="77777777" w:rsidR="0069170D" w:rsidRDefault="0069170D">
      <w:pPr>
        <w:rPr>
          <w:rFonts w:ascii="Arial" w:hAnsi="Arial" w:cs="Arial"/>
          <w:b/>
          <w:bCs/>
          <w:sz w:val="21"/>
          <w:szCs w:val="21"/>
        </w:rPr>
      </w:pPr>
      <w:r w:rsidRPr="0069170D">
        <w:rPr>
          <w:rFonts w:ascii="Arial" w:hAnsi="Arial" w:cs="Arial"/>
          <w:b/>
          <w:bCs/>
          <w:sz w:val="21"/>
          <w:szCs w:val="21"/>
        </w:rPr>
        <w:br/>
        <w:t xml:space="preserve">- There is some concern that participants will interpret the activity as a gambling operation, wagering money for wins or losses. This would not be something that should be incorporated into a study of this sort. Perhaps the investigators could think of alternative wagering tasks. E.g. that they are given a number of points at the </w:t>
      </w:r>
      <w:proofErr w:type="gramStart"/>
      <w:r w:rsidRPr="0069170D">
        <w:rPr>
          <w:rFonts w:ascii="Arial" w:hAnsi="Arial" w:cs="Arial"/>
          <w:b/>
          <w:bCs/>
          <w:sz w:val="21"/>
          <w:szCs w:val="21"/>
        </w:rPr>
        <w:t>start, and</w:t>
      </w:r>
      <w:proofErr w:type="gramEnd"/>
      <w:r w:rsidRPr="0069170D">
        <w:rPr>
          <w:rFonts w:ascii="Arial" w:hAnsi="Arial" w:cs="Arial"/>
          <w:b/>
          <w:bCs/>
          <w:sz w:val="21"/>
          <w:szCs w:val="21"/>
        </w:rPr>
        <w:t xml:space="preserve"> told that they can wager their points on each answer, to either increase their points or lose points. Then, participants who get in the top X% of scores, get a flat bonus payment.</w:t>
      </w:r>
    </w:p>
    <w:p w14:paraId="70C3268B" w14:textId="77777777" w:rsidR="0069170D" w:rsidRDefault="0069170D">
      <w:pPr>
        <w:rPr>
          <w:rFonts w:ascii="Arial" w:hAnsi="Arial" w:cs="Arial"/>
          <w:b/>
          <w:bCs/>
          <w:sz w:val="21"/>
          <w:szCs w:val="21"/>
        </w:rPr>
      </w:pPr>
    </w:p>
    <w:p w14:paraId="2ECE9556" w14:textId="077733C0" w:rsidR="00CC17B1" w:rsidRDefault="000B34F5">
      <w:pPr>
        <w:rPr>
          <w:rFonts w:ascii="Arial" w:hAnsi="Arial" w:cs="Arial"/>
          <w:sz w:val="21"/>
          <w:szCs w:val="21"/>
        </w:rPr>
      </w:pPr>
      <w:r>
        <w:rPr>
          <w:rFonts w:ascii="Arial" w:hAnsi="Arial" w:cs="Arial"/>
          <w:sz w:val="21"/>
          <w:szCs w:val="21"/>
        </w:rPr>
        <w:t>P</w:t>
      </w:r>
      <w:r w:rsidR="0069170D" w:rsidRPr="0069170D">
        <w:rPr>
          <w:rFonts w:ascii="Arial" w:hAnsi="Arial" w:cs="Arial"/>
          <w:sz w:val="21"/>
          <w:szCs w:val="21"/>
        </w:rPr>
        <w:t xml:space="preserve">ost-decision wagering </w:t>
      </w:r>
      <w:r>
        <w:rPr>
          <w:rFonts w:ascii="Arial" w:hAnsi="Arial" w:cs="Arial"/>
          <w:sz w:val="21"/>
          <w:szCs w:val="21"/>
        </w:rPr>
        <w:t xml:space="preserve">of the proposed </w:t>
      </w:r>
      <w:r w:rsidR="00FE558F">
        <w:rPr>
          <w:rFonts w:ascii="Arial" w:hAnsi="Arial" w:cs="Arial"/>
          <w:sz w:val="21"/>
          <w:szCs w:val="21"/>
        </w:rPr>
        <w:t>format</w:t>
      </w:r>
      <w:r>
        <w:rPr>
          <w:rFonts w:ascii="Arial" w:hAnsi="Arial" w:cs="Arial"/>
          <w:sz w:val="21"/>
          <w:szCs w:val="21"/>
        </w:rPr>
        <w:t xml:space="preserve"> and </w:t>
      </w:r>
      <w:r w:rsidR="0069170D">
        <w:rPr>
          <w:rFonts w:ascii="Arial" w:hAnsi="Arial" w:cs="Arial"/>
          <w:sz w:val="21"/>
          <w:szCs w:val="21"/>
        </w:rPr>
        <w:t xml:space="preserve">on similar tasks </w:t>
      </w:r>
      <w:r>
        <w:rPr>
          <w:rFonts w:ascii="Arial" w:hAnsi="Arial" w:cs="Arial"/>
          <w:sz w:val="21"/>
          <w:szCs w:val="21"/>
        </w:rPr>
        <w:t>is</w:t>
      </w:r>
      <w:r w:rsidR="0069170D">
        <w:rPr>
          <w:rFonts w:ascii="Arial" w:hAnsi="Arial" w:cs="Arial"/>
          <w:sz w:val="21"/>
          <w:szCs w:val="21"/>
        </w:rPr>
        <w:t xml:space="preserve"> relatively common in the literature (e.g. </w:t>
      </w:r>
      <w:r w:rsidRPr="000B34F5">
        <w:rPr>
          <w:rFonts w:ascii="Arial" w:hAnsi="Arial" w:cs="Arial"/>
          <w:sz w:val="21"/>
          <w:szCs w:val="21"/>
        </w:rPr>
        <w:t xml:space="preserve">Dienes </w:t>
      </w:r>
      <w:r>
        <w:rPr>
          <w:rFonts w:ascii="Arial" w:hAnsi="Arial" w:cs="Arial"/>
          <w:sz w:val="21"/>
          <w:szCs w:val="21"/>
        </w:rPr>
        <w:t xml:space="preserve">&amp; Seth, 2010; </w:t>
      </w:r>
      <w:r w:rsidRPr="000B34F5">
        <w:rPr>
          <w:rFonts w:ascii="Arial" w:hAnsi="Arial" w:cs="Arial"/>
          <w:sz w:val="21"/>
          <w:szCs w:val="21"/>
        </w:rPr>
        <w:t xml:space="preserve">Persaud </w:t>
      </w:r>
      <w:r>
        <w:rPr>
          <w:rFonts w:ascii="Arial" w:hAnsi="Arial" w:cs="Arial"/>
          <w:sz w:val="21"/>
          <w:szCs w:val="21"/>
        </w:rPr>
        <w:t xml:space="preserve">et al., 2007; </w:t>
      </w:r>
      <w:proofErr w:type="spellStart"/>
      <w:r w:rsidR="0069170D" w:rsidRPr="0069170D">
        <w:rPr>
          <w:rFonts w:ascii="Arial" w:hAnsi="Arial" w:cs="Arial"/>
          <w:sz w:val="21"/>
          <w:szCs w:val="21"/>
        </w:rPr>
        <w:t>Schurger</w:t>
      </w:r>
      <w:proofErr w:type="spellEnd"/>
      <w:r w:rsidR="0069170D">
        <w:rPr>
          <w:rFonts w:ascii="Arial" w:hAnsi="Arial" w:cs="Arial"/>
          <w:sz w:val="21"/>
          <w:szCs w:val="21"/>
        </w:rPr>
        <w:t xml:space="preserve"> &amp; Sher</w:t>
      </w:r>
      <w:r>
        <w:rPr>
          <w:rFonts w:ascii="Arial" w:hAnsi="Arial" w:cs="Arial"/>
          <w:sz w:val="21"/>
          <w:szCs w:val="21"/>
        </w:rPr>
        <w:t xml:space="preserve">, 2008). </w:t>
      </w:r>
      <w:r w:rsidR="00854C9D">
        <w:rPr>
          <w:rFonts w:ascii="Arial" w:hAnsi="Arial" w:cs="Arial"/>
          <w:sz w:val="21"/>
          <w:szCs w:val="21"/>
        </w:rPr>
        <w:t xml:space="preserve">Like any bonus payment tied to performance, this approach ultimately incentivises performance on the task. </w:t>
      </w:r>
      <w:r w:rsidR="00CC17B1">
        <w:rPr>
          <w:rFonts w:ascii="Arial" w:hAnsi="Arial" w:cs="Arial"/>
          <w:sz w:val="21"/>
          <w:szCs w:val="21"/>
        </w:rPr>
        <w:t>However, t</w:t>
      </w:r>
      <w:r w:rsidR="005F08B4">
        <w:rPr>
          <w:rFonts w:ascii="Arial" w:hAnsi="Arial" w:cs="Arial"/>
          <w:sz w:val="21"/>
          <w:szCs w:val="21"/>
        </w:rPr>
        <w:t xml:space="preserve">o mitigate the risk that participants view this as a gambling operation and to maximise equity we propose the following change: </w:t>
      </w:r>
      <w:r w:rsidR="00CC17B1">
        <w:rPr>
          <w:rFonts w:ascii="Arial" w:hAnsi="Arial" w:cs="Arial"/>
          <w:sz w:val="21"/>
          <w:szCs w:val="21"/>
        </w:rPr>
        <w:t xml:space="preserve">all participants ultimately receive a flat bonus of 25% of the base-rate of payment. This ensures that all participants are equally compensated for their time and minimises the risk that they view this as a gambling operation. To ensure that the integrity of the post decisions is maintained, we will not inform participants of this fact </w:t>
      </w:r>
      <w:r w:rsidR="00A45BE6">
        <w:rPr>
          <w:rFonts w:ascii="Arial" w:hAnsi="Arial" w:cs="Arial"/>
          <w:sz w:val="21"/>
          <w:szCs w:val="21"/>
        </w:rPr>
        <w:t>prior to commencing the study (they will be told they can receive a bonus ‘up to’ 25% more)</w:t>
      </w:r>
      <w:r w:rsidR="00CC17B1">
        <w:rPr>
          <w:rFonts w:ascii="Arial" w:hAnsi="Arial" w:cs="Arial"/>
          <w:sz w:val="21"/>
          <w:szCs w:val="21"/>
        </w:rPr>
        <w:t xml:space="preserve">. Note, in order to fund this change (we will have to pay everyone the maximum bonus) we have </w:t>
      </w:r>
      <w:r w:rsidR="0094037C">
        <w:rPr>
          <w:rFonts w:ascii="Arial" w:hAnsi="Arial" w:cs="Arial"/>
          <w:sz w:val="21"/>
          <w:szCs w:val="21"/>
        </w:rPr>
        <w:t>lowered</w:t>
      </w:r>
      <w:r w:rsidR="00CC17B1">
        <w:rPr>
          <w:rFonts w:ascii="Arial" w:hAnsi="Arial" w:cs="Arial"/>
          <w:sz w:val="21"/>
          <w:szCs w:val="21"/>
        </w:rPr>
        <w:t xml:space="preserve"> the “maximum” bonus that participants are told they might receive to 25% </w:t>
      </w:r>
      <w:r w:rsidR="004358CD">
        <w:rPr>
          <w:rFonts w:ascii="Arial" w:hAnsi="Arial" w:cs="Arial"/>
          <w:sz w:val="21"/>
          <w:szCs w:val="21"/>
        </w:rPr>
        <w:t xml:space="preserve">of their base payment </w:t>
      </w:r>
      <w:r w:rsidR="00A45BE6">
        <w:rPr>
          <w:rFonts w:ascii="Arial" w:hAnsi="Arial" w:cs="Arial"/>
          <w:sz w:val="21"/>
          <w:szCs w:val="21"/>
        </w:rPr>
        <w:t xml:space="preserve">rather than 50% </w:t>
      </w:r>
      <w:r w:rsidR="0094037C">
        <w:rPr>
          <w:rFonts w:ascii="Arial" w:hAnsi="Arial" w:cs="Arial"/>
          <w:sz w:val="21"/>
          <w:szCs w:val="21"/>
        </w:rPr>
        <w:t xml:space="preserve">we </w:t>
      </w:r>
      <w:r w:rsidR="00A45BE6">
        <w:rPr>
          <w:rFonts w:ascii="Arial" w:hAnsi="Arial" w:cs="Arial"/>
          <w:sz w:val="21"/>
          <w:szCs w:val="21"/>
        </w:rPr>
        <w:t>previously state</w:t>
      </w:r>
      <w:r w:rsidR="00DC5571">
        <w:rPr>
          <w:rFonts w:ascii="Arial" w:hAnsi="Arial" w:cs="Arial"/>
          <w:sz w:val="21"/>
          <w:szCs w:val="21"/>
        </w:rPr>
        <w:t>d</w:t>
      </w:r>
      <w:r w:rsidR="0094037C">
        <w:rPr>
          <w:rFonts w:ascii="Arial" w:hAnsi="Arial" w:cs="Arial"/>
          <w:sz w:val="21"/>
          <w:szCs w:val="21"/>
        </w:rPr>
        <w:t>.</w:t>
      </w:r>
      <w:r w:rsidR="00CC17B1">
        <w:rPr>
          <w:rFonts w:ascii="Arial" w:hAnsi="Arial" w:cs="Arial"/>
          <w:sz w:val="21"/>
          <w:szCs w:val="21"/>
        </w:rPr>
        <w:t xml:space="preserve"> </w:t>
      </w:r>
    </w:p>
    <w:p w14:paraId="18BBC58B" w14:textId="77777777" w:rsidR="000B34F5" w:rsidRDefault="000B34F5">
      <w:pPr>
        <w:rPr>
          <w:rFonts w:ascii="Arial" w:hAnsi="Arial" w:cs="Arial"/>
          <w:sz w:val="21"/>
          <w:szCs w:val="21"/>
        </w:rPr>
      </w:pPr>
    </w:p>
    <w:p w14:paraId="2FAA24D4" w14:textId="09AA98F6" w:rsidR="0097011C" w:rsidRPr="0069170D" w:rsidRDefault="0069170D">
      <w:pPr>
        <w:rPr>
          <w:b/>
          <w:bCs/>
        </w:rPr>
      </w:pPr>
      <w:r w:rsidRPr="0069170D">
        <w:rPr>
          <w:rFonts w:ascii="Arial" w:hAnsi="Arial" w:cs="Arial"/>
          <w:b/>
          <w:bCs/>
          <w:sz w:val="21"/>
          <w:szCs w:val="21"/>
        </w:rPr>
        <w:br/>
        <w:t>- It is unclear if this participant information statement is for one study, where one condition is the wagering one, or if this is now for all studies in this umbrella application. If there are multiple conditions, please update the study time in participant information statement #3 (and update the footer in the participant information statement with the version # and date).</w:t>
      </w:r>
    </w:p>
    <w:p w14:paraId="1B0540BF" w14:textId="77777777" w:rsidR="0069170D" w:rsidRDefault="0069170D">
      <w:pPr>
        <w:rPr>
          <w:b/>
          <w:bCs/>
        </w:rPr>
      </w:pPr>
    </w:p>
    <w:p w14:paraId="78824866" w14:textId="0A098166" w:rsidR="000B34F5" w:rsidRDefault="000B34F5">
      <w:r w:rsidRPr="000B34F5">
        <w:t>The PIS</w:t>
      </w:r>
      <w:r>
        <w:t xml:space="preserve"> is intended to be for all studies within the umbrella application (it covers studies of differing lengths). The minor modifications (lengths, corresponding payment, and possibility of the </w:t>
      </w:r>
      <w:r w:rsidR="00BA0B53">
        <w:t xml:space="preserve">post-decision </w:t>
      </w:r>
      <w:r>
        <w:t xml:space="preserve">wagering) are modified on a study-by-study basis (as is </w:t>
      </w:r>
      <w:r>
        <w:lastRenderedPageBreak/>
        <w:t>the case for the approved umbrella application). The version number and date have been updated</w:t>
      </w:r>
    </w:p>
    <w:p w14:paraId="6C62FBC6" w14:textId="2C61BCA3" w:rsidR="000B34F5" w:rsidRPr="000B34F5" w:rsidRDefault="000B34F5" w:rsidP="000B34F5">
      <w:pPr>
        <w:tabs>
          <w:tab w:val="left" w:pos="2224"/>
        </w:tabs>
      </w:pPr>
      <w:r>
        <w:tab/>
      </w:r>
    </w:p>
    <w:sectPr w:rsidR="000B34F5" w:rsidRPr="000B34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70D"/>
    <w:rsid w:val="00014E47"/>
    <w:rsid w:val="00025713"/>
    <w:rsid w:val="000B34F5"/>
    <w:rsid w:val="000E5403"/>
    <w:rsid w:val="000F2AD8"/>
    <w:rsid w:val="00101E40"/>
    <w:rsid w:val="00120D4F"/>
    <w:rsid w:val="00125DA2"/>
    <w:rsid w:val="00197B05"/>
    <w:rsid w:val="001D071E"/>
    <w:rsid w:val="002348D1"/>
    <w:rsid w:val="00270367"/>
    <w:rsid w:val="00291CA9"/>
    <w:rsid w:val="00317418"/>
    <w:rsid w:val="00335C77"/>
    <w:rsid w:val="00342FDF"/>
    <w:rsid w:val="00354D25"/>
    <w:rsid w:val="003B0A5E"/>
    <w:rsid w:val="003E40C5"/>
    <w:rsid w:val="0040144A"/>
    <w:rsid w:val="00405C23"/>
    <w:rsid w:val="004069E0"/>
    <w:rsid w:val="004358CD"/>
    <w:rsid w:val="00437407"/>
    <w:rsid w:val="00453939"/>
    <w:rsid w:val="004762D4"/>
    <w:rsid w:val="00512386"/>
    <w:rsid w:val="00531AC5"/>
    <w:rsid w:val="0054300B"/>
    <w:rsid w:val="005506B1"/>
    <w:rsid w:val="005817BE"/>
    <w:rsid w:val="005841F7"/>
    <w:rsid w:val="00594EB8"/>
    <w:rsid w:val="00597C19"/>
    <w:rsid w:val="005D7DAE"/>
    <w:rsid w:val="005F08B4"/>
    <w:rsid w:val="00601B95"/>
    <w:rsid w:val="00624250"/>
    <w:rsid w:val="0063346F"/>
    <w:rsid w:val="00637FD6"/>
    <w:rsid w:val="006465EC"/>
    <w:rsid w:val="00677A19"/>
    <w:rsid w:val="0069170D"/>
    <w:rsid w:val="00697FA9"/>
    <w:rsid w:val="006E147E"/>
    <w:rsid w:val="00701798"/>
    <w:rsid w:val="007710F2"/>
    <w:rsid w:val="00782D02"/>
    <w:rsid w:val="00785D23"/>
    <w:rsid w:val="007D2DE8"/>
    <w:rsid w:val="007E0DDC"/>
    <w:rsid w:val="00854C9D"/>
    <w:rsid w:val="00893A64"/>
    <w:rsid w:val="008B528B"/>
    <w:rsid w:val="008D01A7"/>
    <w:rsid w:val="008F2F27"/>
    <w:rsid w:val="0094037C"/>
    <w:rsid w:val="0097011C"/>
    <w:rsid w:val="00996FD7"/>
    <w:rsid w:val="009C2C4C"/>
    <w:rsid w:val="009D484E"/>
    <w:rsid w:val="00A45BE6"/>
    <w:rsid w:val="00A524B0"/>
    <w:rsid w:val="00AC0A12"/>
    <w:rsid w:val="00B0594C"/>
    <w:rsid w:val="00B15FF5"/>
    <w:rsid w:val="00B92C7E"/>
    <w:rsid w:val="00BA0B53"/>
    <w:rsid w:val="00BB6BF1"/>
    <w:rsid w:val="00C543D5"/>
    <w:rsid w:val="00C61453"/>
    <w:rsid w:val="00CC00A1"/>
    <w:rsid w:val="00CC17B1"/>
    <w:rsid w:val="00D078C0"/>
    <w:rsid w:val="00D815AB"/>
    <w:rsid w:val="00DC5571"/>
    <w:rsid w:val="00E273D6"/>
    <w:rsid w:val="00E33336"/>
    <w:rsid w:val="00E411A6"/>
    <w:rsid w:val="00EB51F8"/>
    <w:rsid w:val="00ED73BF"/>
    <w:rsid w:val="00F40134"/>
    <w:rsid w:val="00F97743"/>
    <w:rsid w:val="00FD5391"/>
    <w:rsid w:val="00FE558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789122EE"/>
  <w15:chartTrackingRefBased/>
  <w15:docId w15:val="{3BABCA37-390C-F943-A0BC-1E19408E6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17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17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17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17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17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170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170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170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170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17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17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17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17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17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17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17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17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170D"/>
    <w:rPr>
      <w:rFonts w:eastAsiaTheme="majorEastAsia" w:cstheme="majorBidi"/>
      <w:color w:val="272727" w:themeColor="text1" w:themeTint="D8"/>
    </w:rPr>
  </w:style>
  <w:style w:type="paragraph" w:styleId="Title">
    <w:name w:val="Title"/>
    <w:basedOn w:val="Normal"/>
    <w:next w:val="Normal"/>
    <w:link w:val="TitleChar"/>
    <w:uiPriority w:val="10"/>
    <w:qFormat/>
    <w:rsid w:val="0069170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17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170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17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170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9170D"/>
    <w:rPr>
      <w:i/>
      <w:iCs/>
      <w:color w:val="404040" w:themeColor="text1" w:themeTint="BF"/>
    </w:rPr>
  </w:style>
  <w:style w:type="paragraph" w:styleId="ListParagraph">
    <w:name w:val="List Paragraph"/>
    <w:basedOn w:val="Normal"/>
    <w:uiPriority w:val="34"/>
    <w:qFormat/>
    <w:rsid w:val="0069170D"/>
    <w:pPr>
      <w:ind w:left="720"/>
      <w:contextualSpacing/>
    </w:pPr>
  </w:style>
  <w:style w:type="character" w:styleId="IntenseEmphasis">
    <w:name w:val="Intense Emphasis"/>
    <w:basedOn w:val="DefaultParagraphFont"/>
    <w:uiPriority w:val="21"/>
    <w:qFormat/>
    <w:rsid w:val="0069170D"/>
    <w:rPr>
      <w:i/>
      <w:iCs/>
      <w:color w:val="0F4761" w:themeColor="accent1" w:themeShade="BF"/>
    </w:rPr>
  </w:style>
  <w:style w:type="paragraph" w:styleId="IntenseQuote">
    <w:name w:val="Intense Quote"/>
    <w:basedOn w:val="Normal"/>
    <w:next w:val="Normal"/>
    <w:link w:val="IntenseQuoteChar"/>
    <w:uiPriority w:val="30"/>
    <w:qFormat/>
    <w:rsid w:val="006917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170D"/>
    <w:rPr>
      <w:i/>
      <w:iCs/>
      <w:color w:val="0F4761" w:themeColor="accent1" w:themeShade="BF"/>
    </w:rPr>
  </w:style>
  <w:style w:type="character" w:styleId="IntenseReference">
    <w:name w:val="Intense Reference"/>
    <w:basedOn w:val="DefaultParagraphFont"/>
    <w:uiPriority w:val="32"/>
    <w:qFormat/>
    <w:rsid w:val="006917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1359504">
      <w:bodyDiv w:val="1"/>
      <w:marLeft w:val="0"/>
      <w:marRight w:val="0"/>
      <w:marTop w:val="0"/>
      <w:marBottom w:val="0"/>
      <w:divBdr>
        <w:top w:val="none" w:sz="0" w:space="0" w:color="auto"/>
        <w:left w:val="none" w:sz="0" w:space="0" w:color="auto"/>
        <w:bottom w:val="none" w:sz="0" w:space="0" w:color="auto"/>
        <w:right w:val="none" w:sz="0" w:space="0" w:color="auto"/>
      </w:divBdr>
      <w:divsChild>
        <w:div w:id="156846760">
          <w:marLeft w:val="0"/>
          <w:marRight w:val="0"/>
          <w:marTop w:val="0"/>
          <w:marBottom w:val="0"/>
          <w:divBdr>
            <w:top w:val="none" w:sz="0" w:space="0" w:color="auto"/>
            <w:left w:val="none" w:sz="0" w:space="0" w:color="auto"/>
            <w:bottom w:val="none" w:sz="0" w:space="0" w:color="auto"/>
            <w:right w:val="none" w:sz="0" w:space="0" w:color="auto"/>
          </w:divBdr>
          <w:divsChild>
            <w:div w:id="2037652856">
              <w:marLeft w:val="0"/>
              <w:marRight w:val="0"/>
              <w:marTop w:val="0"/>
              <w:marBottom w:val="0"/>
              <w:divBdr>
                <w:top w:val="none" w:sz="0" w:space="0" w:color="auto"/>
                <w:left w:val="none" w:sz="0" w:space="0" w:color="auto"/>
                <w:bottom w:val="none" w:sz="0" w:space="0" w:color="auto"/>
                <w:right w:val="none" w:sz="0" w:space="0" w:color="auto"/>
              </w:divBdr>
              <w:divsChild>
                <w:div w:id="113016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906607">
      <w:bodyDiv w:val="1"/>
      <w:marLeft w:val="0"/>
      <w:marRight w:val="0"/>
      <w:marTop w:val="0"/>
      <w:marBottom w:val="0"/>
      <w:divBdr>
        <w:top w:val="none" w:sz="0" w:space="0" w:color="auto"/>
        <w:left w:val="none" w:sz="0" w:space="0" w:color="auto"/>
        <w:bottom w:val="none" w:sz="0" w:space="0" w:color="auto"/>
        <w:right w:val="none" w:sz="0" w:space="0" w:color="auto"/>
      </w:divBdr>
      <w:divsChild>
        <w:div w:id="606038861">
          <w:marLeft w:val="0"/>
          <w:marRight w:val="0"/>
          <w:marTop w:val="0"/>
          <w:marBottom w:val="0"/>
          <w:divBdr>
            <w:top w:val="none" w:sz="0" w:space="0" w:color="auto"/>
            <w:left w:val="none" w:sz="0" w:space="0" w:color="auto"/>
            <w:bottom w:val="none" w:sz="0" w:space="0" w:color="auto"/>
            <w:right w:val="none" w:sz="0" w:space="0" w:color="auto"/>
          </w:divBdr>
          <w:divsChild>
            <w:div w:id="953905778">
              <w:marLeft w:val="0"/>
              <w:marRight w:val="0"/>
              <w:marTop w:val="0"/>
              <w:marBottom w:val="0"/>
              <w:divBdr>
                <w:top w:val="none" w:sz="0" w:space="0" w:color="auto"/>
                <w:left w:val="none" w:sz="0" w:space="0" w:color="auto"/>
                <w:bottom w:val="none" w:sz="0" w:space="0" w:color="auto"/>
                <w:right w:val="none" w:sz="0" w:space="0" w:color="auto"/>
              </w:divBdr>
              <w:divsChild>
                <w:div w:id="81332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228999">
      <w:bodyDiv w:val="1"/>
      <w:marLeft w:val="0"/>
      <w:marRight w:val="0"/>
      <w:marTop w:val="0"/>
      <w:marBottom w:val="0"/>
      <w:divBdr>
        <w:top w:val="none" w:sz="0" w:space="0" w:color="auto"/>
        <w:left w:val="none" w:sz="0" w:space="0" w:color="auto"/>
        <w:bottom w:val="none" w:sz="0" w:space="0" w:color="auto"/>
        <w:right w:val="none" w:sz="0" w:space="0" w:color="auto"/>
      </w:divBdr>
      <w:divsChild>
        <w:div w:id="1385103539">
          <w:marLeft w:val="0"/>
          <w:marRight w:val="0"/>
          <w:marTop w:val="0"/>
          <w:marBottom w:val="0"/>
          <w:divBdr>
            <w:top w:val="none" w:sz="0" w:space="0" w:color="auto"/>
            <w:left w:val="none" w:sz="0" w:space="0" w:color="auto"/>
            <w:bottom w:val="none" w:sz="0" w:space="0" w:color="auto"/>
            <w:right w:val="none" w:sz="0" w:space="0" w:color="auto"/>
          </w:divBdr>
          <w:divsChild>
            <w:div w:id="1183590945">
              <w:marLeft w:val="0"/>
              <w:marRight w:val="0"/>
              <w:marTop w:val="0"/>
              <w:marBottom w:val="0"/>
              <w:divBdr>
                <w:top w:val="none" w:sz="0" w:space="0" w:color="auto"/>
                <w:left w:val="none" w:sz="0" w:space="0" w:color="auto"/>
                <w:bottom w:val="none" w:sz="0" w:space="0" w:color="auto"/>
                <w:right w:val="none" w:sz="0" w:space="0" w:color="auto"/>
              </w:divBdr>
              <w:divsChild>
                <w:div w:id="928582548">
                  <w:marLeft w:val="0"/>
                  <w:marRight w:val="0"/>
                  <w:marTop w:val="0"/>
                  <w:marBottom w:val="0"/>
                  <w:divBdr>
                    <w:top w:val="none" w:sz="0" w:space="0" w:color="auto"/>
                    <w:left w:val="none" w:sz="0" w:space="0" w:color="auto"/>
                    <w:bottom w:val="none" w:sz="0" w:space="0" w:color="auto"/>
                    <w:right w:val="none" w:sz="0" w:space="0" w:color="auto"/>
                  </w:divBdr>
                  <w:divsChild>
                    <w:div w:id="187198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0916454">
      <w:bodyDiv w:val="1"/>
      <w:marLeft w:val="0"/>
      <w:marRight w:val="0"/>
      <w:marTop w:val="0"/>
      <w:marBottom w:val="0"/>
      <w:divBdr>
        <w:top w:val="none" w:sz="0" w:space="0" w:color="auto"/>
        <w:left w:val="none" w:sz="0" w:space="0" w:color="auto"/>
        <w:bottom w:val="none" w:sz="0" w:space="0" w:color="auto"/>
        <w:right w:val="none" w:sz="0" w:space="0" w:color="auto"/>
      </w:divBdr>
      <w:divsChild>
        <w:div w:id="1982690619">
          <w:marLeft w:val="0"/>
          <w:marRight w:val="0"/>
          <w:marTop w:val="0"/>
          <w:marBottom w:val="0"/>
          <w:divBdr>
            <w:top w:val="none" w:sz="0" w:space="0" w:color="auto"/>
            <w:left w:val="none" w:sz="0" w:space="0" w:color="auto"/>
            <w:bottom w:val="none" w:sz="0" w:space="0" w:color="auto"/>
            <w:right w:val="none" w:sz="0" w:space="0" w:color="auto"/>
          </w:divBdr>
          <w:divsChild>
            <w:div w:id="2082095779">
              <w:marLeft w:val="0"/>
              <w:marRight w:val="0"/>
              <w:marTop w:val="0"/>
              <w:marBottom w:val="0"/>
              <w:divBdr>
                <w:top w:val="none" w:sz="0" w:space="0" w:color="auto"/>
                <w:left w:val="none" w:sz="0" w:space="0" w:color="auto"/>
                <w:bottom w:val="none" w:sz="0" w:space="0" w:color="auto"/>
                <w:right w:val="none" w:sz="0" w:space="0" w:color="auto"/>
              </w:divBdr>
              <w:divsChild>
                <w:div w:id="141801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5DB8C2460BEF4448B7D0B4CB568F445" ma:contentTypeVersion="0" ma:contentTypeDescription="Create a new document." ma:contentTypeScope="" ma:versionID="2027fdd379d11a6519b43b397ffd54b4">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302D843-B312-420A-8A65-9D72C9F4E441}"/>
</file>

<file path=customXml/itemProps2.xml><?xml version="1.0" encoding="utf-8"?>
<ds:datastoreItem xmlns:ds="http://schemas.openxmlformats.org/officeDocument/2006/customXml" ds:itemID="{8E42436F-6A90-4746-91FB-82E2C1B42E80}"/>
</file>

<file path=customXml/itemProps3.xml><?xml version="1.0" encoding="utf-8"?>
<ds:datastoreItem xmlns:ds="http://schemas.openxmlformats.org/officeDocument/2006/customXml" ds:itemID="{9519DE25-FDA6-4E4D-A38D-CFE74A66E54C}"/>
</file>

<file path=docProps/app.xml><?xml version="1.0" encoding="utf-8"?>
<Properties xmlns="http://schemas.openxmlformats.org/officeDocument/2006/extended-properties" xmlns:vt="http://schemas.openxmlformats.org/officeDocument/2006/docPropsVTypes">
  <Template>Normal.dotm</Template>
  <TotalTime>62</TotalTime>
  <Pages>2</Pages>
  <Words>584</Words>
  <Characters>3333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Kit Double</dc:creator>
  <cp:keywords/>
  <dc:description/>
  <cp:lastModifiedBy>Kit Spenser Double</cp:lastModifiedBy>
  <cp:revision>12</cp:revision>
  <dcterms:created xsi:type="dcterms:W3CDTF">2024-05-16T01:07:00Z</dcterms:created>
  <dcterms:modified xsi:type="dcterms:W3CDTF">2024-05-16T05:04:00Z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0x01010035DB8C2460BEF4448B7D0B4CB568F445</vt:lpwstr>
  </property>
</Properties>
</file>