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5C055" w14:textId="77777777" w:rsidR="00000000" w:rsidRDefault="00000000">
      <w:pPr>
        <w:jc w:val="center"/>
        <w:divId w:val="525020591"/>
        <w:rPr>
          <w:rFonts w:ascii="Georgia" w:eastAsia="Times New Roman" w:hAnsi="Georgia"/>
          <w:b/>
          <w:bCs/>
          <w:sz w:val="29"/>
          <w:szCs w:val="29"/>
        </w:rPr>
      </w:pPr>
      <w:r>
        <w:rPr>
          <w:rFonts w:ascii="Georgia" w:eastAsia="Times New Roman" w:hAnsi="Georgia"/>
          <w:b/>
          <w:bCs/>
          <w:sz w:val="29"/>
          <w:szCs w:val="29"/>
        </w:rPr>
        <w:t>Draft</w:t>
      </w:r>
    </w:p>
    <w:p w14:paraId="76B0269C" w14:textId="77777777" w:rsidR="00000000" w:rsidRDefault="00000000">
      <w:pPr>
        <w:divId w:val="609557679"/>
        <w:rPr>
          <w:rFonts w:ascii="Georgia" w:eastAsia="Times New Roman" w:hAnsi="Georgia"/>
          <w:sz w:val="18"/>
          <w:szCs w:val="18"/>
        </w:rPr>
      </w:pPr>
      <w:r>
        <w:rPr>
          <w:rFonts w:ascii="Georgia" w:eastAsia="Times New Roman" w:hAnsi="Georgia"/>
          <w:noProof/>
          <w:sz w:val="18"/>
          <w:szCs w:val="18"/>
        </w:rPr>
        <w:drawing>
          <wp:inline distT="0" distB="0" distL="0" distR="0" wp14:anchorId="14DE42C6" wp14:editId="2DB465EB">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C6358B" w14:textId="77777777" w:rsidR="00000000" w:rsidRDefault="00000000">
      <w:pPr>
        <w:shd w:val="clear" w:color="auto" w:fill="FFFFFF"/>
        <w:spacing w:before="100" w:beforeAutospacing="1" w:after="100" w:afterAutospacing="1"/>
        <w:jc w:val="right"/>
        <w:outlineLvl w:val="1"/>
        <w:divId w:val="609557679"/>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Myrcia neosmithii</w:t>
      </w:r>
      <w:r>
        <w:rPr>
          <w:rFonts w:ascii="Georgia" w:eastAsia="Times New Roman" w:hAnsi="Georgia"/>
          <w:b/>
          <w:bCs/>
          <w:color w:val="000000"/>
          <w:kern w:val="36"/>
          <w:sz w:val="29"/>
          <w:szCs w:val="29"/>
        </w:rPr>
        <w:t xml:space="preserve"> - K.Campbell &amp; K.Samra</w:t>
      </w:r>
    </w:p>
    <w:p w14:paraId="7500ED89" w14:textId="77777777" w:rsidR="00000000" w:rsidRDefault="00000000">
      <w:pPr>
        <w:jc w:val="right"/>
        <w:divId w:val="609557679"/>
        <w:rPr>
          <w:rFonts w:ascii="Georgia" w:eastAsia="Times New Roman" w:hAnsi="Georgia"/>
          <w:sz w:val="18"/>
          <w:szCs w:val="18"/>
        </w:rPr>
      </w:pPr>
      <w:r>
        <w:rPr>
          <w:rFonts w:ascii="Georgia" w:eastAsia="Times New Roman" w:hAnsi="Georgia"/>
          <w:sz w:val="18"/>
          <w:szCs w:val="18"/>
        </w:rPr>
        <w:t>PLANTAE - TRACHEOPHYTA - MAGNOLIOPSIDA - MYRTALES - MYRTACEAE - Myrcia - neosmithii</w:t>
      </w:r>
    </w:p>
    <w:p w14:paraId="3FA58B05" w14:textId="77777777" w:rsidR="00000000" w:rsidRDefault="00000000">
      <w:pPr>
        <w:pStyle w:val="NormalWeb"/>
        <w:divId w:val="195666977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Calyptranthes smithii McVaugh</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4"/>
      </w:tblGrid>
      <w:tr w:rsidR="00000000" w14:paraId="56ED5327" w14:textId="77777777">
        <w:trPr>
          <w:tblCellSpacing w:w="15" w:type="dxa"/>
          <w:jc w:val="center"/>
        </w:trPr>
        <w:tc>
          <w:tcPr>
            <w:tcW w:w="0" w:type="auto"/>
            <w:tcBorders>
              <w:bottom w:val="single" w:sz="6" w:space="0" w:color="000000"/>
            </w:tcBorders>
            <w:shd w:val="clear" w:color="auto" w:fill="BBBBBB"/>
            <w:vAlign w:val="center"/>
            <w:hideMark/>
          </w:tcPr>
          <w:p w14:paraId="4CD3082C"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1E730A46" w14:textId="77777777">
        <w:trPr>
          <w:tblCellSpacing w:w="15" w:type="dxa"/>
          <w:jc w:val="center"/>
        </w:trPr>
        <w:tc>
          <w:tcPr>
            <w:tcW w:w="0" w:type="auto"/>
            <w:vAlign w:val="center"/>
            <w:hideMark/>
          </w:tcPr>
          <w:p w14:paraId="699BF0D5" w14:textId="77777777" w:rsidR="00000000" w:rsidRDefault="00000000">
            <w:pPr>
              <w:spacing w:after="75"/>
              <w:rPr>
                <w:rFonts w:ascii="Georgia" w:eastAsia="Times New Roman" w:hAnsi="Georgia"/>
                <w:sz w:val="20"/>
                <w:szCs w:val="20"/>
              </w:rPr>
            </w:pPr>
            <w:r>
              <w:rPr>
                <w:rFonts w:ascii="Georgia" w:eastAsia="Times New Roman" w:hAnsi="Georgia"/>
                <w:sz w:val="20"/>
                <w:szCs w:val="20"/>
              </w:rPr>
              <w:t>VU - Vulnerable, D2 (IUCN version 3.1)</w:t>
            </w:r>
          </w:p>
        </w:tc>
      </w:tr>
    </w:tbl>
    <w:p w14:paraId="3E5DF2AD" w14:textId="77777777" w:rsidR="00000000" w:rsidRDefault="00000000">
      <w:pPr>
        <w:pStyle w:val="Heading1"/>
        <w:divId w:val="702094898"/>
        <w:rPr>
          <w:rFonts w:ascii="Georgia" w:eastAsia="Times New Roman" w:hAnsi="Georgia"/>
          <w:sz w:val="29"/>
          <w:szCs w:val="29"/>
        </w:rPr>
      </w:pPr>
      <w:r>
        <w:rPr>
          <w:rFonts w:ascii="Georgia" w:eastAsia="Times New Roman" w:hAnsi="Georgia"/>
          <w:sz w:val="29"/>
          <w:szCs w:val="29"/>
        </w:rPr>
        <w:t>Red List Assessment</w:t>
      </w:r>
    </w:p>
    <w:p w14:paraId="3533A91F" w14:textId="77777777" w:rsidR="00000000" w:rsidRDefault="00000000">
      <w:pPr>
        <w:pStyle w:val="Heading2"/>
        <w:divId w:val="702094898"/>
        <w:rPr>
          <w:rFonts w:ascii="Georgia" w:eastAsia="Times New Roman" w:hAnsi="Georgia"/>
          <w:sz w:val="27"/>
          <w:szCs w:val="27"/>
        </w:rPr>
      </w:pPr>
      <w:r>
        <w:rPr>
          <w:rFonts w:ascii="Georgia" w:eastAsia="Times New Roman" w:hAnsi="Georgia"/>
          <w:sz w:val="27"/>
          <w:szCs w:val="27"/>
        </w:rPr>
        <w:t>Assessment Information</w:t>
      </w:r>
    </w:p>
    <w:p w14:paraId="19EBCEAD" w14:textId="77777777" w:rsidR="00000000" w:rsidRDefault="00000000">
      <w:pPr>
        <w:pStyle w:val="NormalWeb"/>
        <w:divId w:val="702094898"/>
        <w:rPr>
          <w:rFonts w:ascii="Georgia" w:hAnsi="Georgia"/>
        </w:rPr>
      </w:pPr>
      <w:r>
        <w:rPr>
          <w:rStyle w:val="datalabel1"/>
          <w:rFonts w:ascii="Georgia" w:hAnsi="Georgia"/>
        </w:rPr>
        <w:t xml:space="preserve">Date of Assessment: </w:t>
      </w:r>
      <w:r>
        <w:rPr>
          <w:rFonts w:ascii="Georgia" w:hAnsi="Georgia"/>
        </w:rPr>
        <w:t>2021-06-29</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82"/>
        <w:gridCol w:w="1505"/>
        <w:gridCol w:w="708"/>
        <w:gridCol w:w="2155"/>
        <w:gridCol w:w="2269"/>
      </w:tblGrid>
      <w:tr w:rsidR="00000000" w14:paraId="1584C29D" w14:textId="77777777">
        <w:trPr>
          <w:divId w:val="702094898"/>
          <w:tblCellSpacing w:w="15" w:type="dxa"/>
        </w:trPr>
        <w:tc>
          <w:tcPr>
            <w:tcW w:w="0" w:type="auto"/>
            <w:tcBorders>
              <w:bottom w:val="single" w:sz="6" w:space="0" w:color="000000"/>
            </w:tcBorders>
            <w:shd w:val="clear" w:color="auto" w:fill="BBBBBB"/>
            <w:vAlign w:val="center"/>
            <w:hideMark/>
          </w:tcPr>
          <w:p w14:paraId="0664701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Reviewed?</w:t>
            </w:r>
          </w:p>
        </w:tc>
        <w:tc>
          <w:tcPr>
            <w:tcW w:w="0" w:type="auto"/>
            <w:tcBorders>
              <w:bottom w:val="single" w:sz="6" w:space="0" w:color="000000"/>
            </w:tcBorders>
            <w:shd w:val="clear" w:color="auto" w:fill="BBBBBB"/>
            <w:vAlign w:val="center"/>
            <w:hideMark/>
          </w:tcPr>
          <w:p w14:paraId="562D8A8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of Review:</w:t>
            </w:r>
          </w:p>
        </w:tc>
        <w:tc>
          <w:tcPr>
            <w:tcW w:w="0" w:type="auto"/>
            <w:tcBorders>
              <w:bottom w:val="single" w:sz="6" w:space="0" w:color="000000"/>
            </w:tcBorders>
            <w:shd w:val="clear" w:color="auto" w:fill="BBBBBB"/>
            <w:vAlign w:val="center"/>
            <w:hideMark/>
          </w:tcPr>
          <w:p w14:paraId="2C29661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Status:</w:t>
            </w:r>
          </w:p>
        </w:tc>
        <w:tc>
          <w:tcPr>
            <w:tcW w:w="0" w:type="auto"/>
            <w:tcBorders>
              <w:bottom w:val="single" w:sz="6" w:space="0" w:color="000000"/>
            </w:tcBorders>
            <w:shd w:val="clear" w:color="auto" w:fill="BBBBBB"/>
            <w:vAlign w:val="center"/>
            <w:hideMark/>
          </w:tcPr>
          <w:p w14:paraId="4B3F626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Reasons for Rejection:</w:t>
            </w:r>
          </w:p>
        </w:tc>
        <w:tc>
          <w:tcPr>
            <w:tcW w:w="0" w:type="auto"/>
            <w:tcBorders>
              <w:bottom w:val="single" w:sz="6" w:space="0" w:color="000000"/>
            </w:tcBorders>
            <w:shd w:val="clear" w:color="auto" w:fill="BBBBBB"/>
            <w:vAlign w:val="center"/>
            <w:hideMark/>
          </w:tcPr>
          <w:p w14:paraId="59AE79D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Improvements Needed:</w:t>
            </w:r>
          </w:p>
        </w:tc>
      </w:tr>
      <w:tr w:rsidR="00000000" w14:paraId="5542D484" w14:textId="77777777">
        <w:trPr>
          <w:divId w:val="702094898"/>
          <w:tblCellSpacing w:w="15" w:type="dxa"/>
        </w:trPr>
        <w:tc>
          <w:tcPr>
            <w:tcW w:w="0" w:type="auto"/>
            <w:vAlign w:val="center"/>
            <w:hideMark/>
          </w:tcPr>
          <w:p w14:paraId="212AB98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F1C6E9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2021-08-17</w:t>
            </w:r>
          </w:p>
        </w:tc>
        <w:tc>
          <w:tcPr>
            <w:tcW w:w="0" w:type="auto"/>
            <w:vAlign w:val="center"/>
            <w:hideMark/>
          </w:tcPr>
          <w:p w14:paraId="00CBB56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Passed</w:t>
            </w:r>
          </w:p>
        </w:tc>
        <w:tc>
          <w:tcPr>
            <w:tcW w:w="0" w:type="auto"/>
            <w:vAlign w:val="center"/>
            <w:hideMark/>
          </w:tcPr>
          <w:p w14:paraId="21FB17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8CAC0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FDF9F92" w14:textId="77777777" w:rsidR="00000000" w:rsidRDefault="00000000">
      <w:pPr>
        <w:pStyle w:val="NormalWeb"/>
        <w:divId w:val="702094898"/>
        <w:rPr>
          <w:rFonts w:ascii="Georgia" w:hAnsi="Georgia"/>
        </w:rPr>
      </w:pPr>
      <w:r>
        <w:rPr>
          <w:rStyle w:val="datalabel1"/>
          <w:rFonts w:ascii="Georgia" w:hAnsi="Georgia"/>
        </w:rPr>
        <w:t xml:space="preserve">Assessor(s): </w:t>
      </w:r>
      <w:r>
        <w:rPr>
          <w:rFonts w:ascii="Georgia" w:hAnsi="Georgia"/>
        </w:rPr>
        <w:t>Grice, H., Lucas, E. &amp; Burton, G.</w:t>
      </w:r>
    </w:p>
    <w:p w14:paraId="40F99927" w14:textId="77777777" w:rsidR="00000000" w:rsidRDefault="00000000">
      <w:pPr>
        <w:pStyle w:val="NormalWeb"/>
        <w:divId w:val="702094898"/>
        <w:rPr>
          <w:rFonts w:ascii="Georgia" w:hAnsi="Georgia"/>
        </w:rPr>
      </w:pPr>
      <w:r>
        <w:rPr>
          <w:rStyle w:val="datalabel1"/>
          <w:rFonts w:ascii="Georgia" w:hAnsi="Georgia"/>
        </w:rPr>
        <w:t xml:space="preserve">Reviewer(s): </w:t>
      </w:r>
      <w:r>
        <w:rPr>
          <w:rFonts w:ascii="Georgia" w:hAnsi="Georgia"/>
        </w:rPr>
        <w:t>Clarke, H.D.</w:t>
      </w:r>
    </w:p>
    <w:p w14:paraId="42754369" w14:textId="77777777" w:rsidR="00000000" w:rsidRDefault="00000000">
      <w:pPr>
        <w:pStyle w:val="NormalWeb"/>
        <w:divId w:val="702094898"/>
        <w:rPr>
          <w:rFonts w:ascii="Georgia" w:hAnsi="Georgia"/>
        </w:rPr>
      </w:pPr>
      <w:r>
        <w:rPr>
          <w:rStyle w:val="datalabel1"/>
          <w:rFonts w:ascii="Georgia" w:hAnsi="Georgia"/>
        </w:rPr>
        <w:t xml:space="preserve">Facilitators/Compilers: </w:t>
      </w:r>
      <w:r>
        <w:rPr>
          <w:rFonts w:ascii="Georgia" w:hAnsi="Georgia"/>
        </w:rPr>
        <w:t>Plummer, J.</w:t>
      </w:r>
    </w:p>
    <w:p w14:paraId="27A7EF9C" w14:textId="77777777" w:rsidR="00000000" w:rsidRDefault="00000000">
      <w:pPr>
        <w:pStyle w:val="NormalWeb"/>
        <w:divId w:val="702094898"/>
        <w:rPr>
          <w:rFonts w:ascii="Georgia" w:hAnsi="Georgia"/>
        </w:rPr>
      </w:pPr>
      <w:r>
        <w:rPr>
          <w:rStyle w:val="datalabel1"/>
          <w:rFonts w:ascii="Georgia" w:hAnsi="Georgia"/>
        </w:rPr>
        <w:t xml:space="preserve">Institution(s): </w:t>
      </w:r>
      <w:r>
        <w:rPr>
          <w:rFonts w:ascii="Georgia" w:hAnsi="Georgia"/>
        </w:rPr>
        <w:t>Royal Botanic Gardens, Kew</w:t>
      </w:r>
    </w:p>
    <w:p w14:paraId="709FECB1" w14:textId="77777777" w:rsidR="00000000" w:rsidRDefault="00000000">
      <w:pPr>
        <w:pStyle w:val="NormalWeb"/>
        <w:divId w:val="702094898"/>
        <w:rPr>
          <w:rFonts w:ascii="Georgia" w:hAnsi="Georgia"/>
        </w:rPr>
      </w:pPr>
      <w:r>
        <w:rPr>
          <w:rStyle w:val="datalabel1"/>
          <w:rFonts w:ascii="Georgia" w:hAnsi="Georgia"/>
        </w:rPr>
        <w:t xml:space="preserve">Regions: </w:t>
      </w:r>
      <w:r>
        <w:rPr>
          <w:rFonts w:ascii="Georgia" w:hAnsi="Georgia"/>
        </w:rPr>
        <w:t>Global</w:t>
      </w:r>
    </w:p>
    <w:p w14:paraId="424824E8" w14:textId="77777777" w:rsidR="00000000" w:rsidRDefault="00000000">
      <w:pPr>
        <w:pStyle w:val="Heading2"/>
        <w:divId w:val="702094898"/>
        <w:rPr>
          <w:rFonts w:ascii="Georgia" w:eastAsia="Times New Roman" w:hAnsi="Georgia"/>
          <w:sz w:val="27"/>
          <w:szCs w:val="27"/>
        </w:rPr>
      </w:pPr>
      <w:r>
        <w:rPr>
          <w:rFonts w:ascii="Georgia" w:eastAsia="Times New Roman" w:hAnsi="Georgia"/>
          <w:sz w:val="27"/>
          <w:szCs w:val="27"/>
        </w:rPr>
        <w:t>Assessment Rationale</w:t>
      </w:r>
    </w:p>
    <w:p w14:paraId="64BCB39E" w14:textId="77777777" w:rsidR="00000000" w:rsidRDefault="00000000">
      <w:pPr>
        <w:pStyle w:val="NormalWeb"/>
        <w:divId w:val="702094898"/>
        <w:rPr>
          <w:rFonts w:ascii="Georgia" w:hAnsi="Georgia"/>
        </w:rPr>
      </w:pPr>
      <w:r>
        <w:rPr>
          <w:rFonts w:ascii="Georgia" w:hAnsi="Georgia"/>
        </w:rPr>
        <w:t>This species is known from just two collections in the Essequibo river basin, Guyana. There is insufficient data to confidently estimate area of occupancy (AOO) and its extent of occurrence (EOO) is highly uncertain but has been estimated to lie between 8–6,000 km</w:t>
      </w:r>
      <w:r>
        <w:rPr>
          <w:rFonts w:ascii="Georgia" w:hAnsi="Georgia"/>
          <w:vertAlign w:val="superscript"/>
        </w:rPr>
        <w:t>2</w:t>
      </w:r>
      <w:r>
        <w:rPr>
          <w:rFonts w:ascii="Georgia" w:hAnsi="Georgia"/>
        </w:rPr>
        <w:t>, with the lower bound based on specimen information only, and the upper bound based on the extent of the Kanashen Amerindian Protected Area in which both collections were made. No information on population was found and, due to the inaccessibility of the area, it is unknown whether this species is as rare as the herbarium record suggests. The collection area has recently been declared an IUCN Management Category VI protected area (Kanashen Amerindian Protected Area), however, the most recent collection of the species dates to 1989, thus pre-dating this. The Kanashen Amerindian Protected Area consists of largely inaccessible, near-pristine forest, and has an extremely low population density, therefore the impacts of human activity are mostly negligible. However, increasing accessibility to Guyana via the Takutu bridge and a new road infrastructure system will facilitate access to currently remote areas, which could lead to increased deforestation within the protected area if illegal mining and logging become prevalent, a trend observed throughout Guyana. Considering this threat, the species is estimated to occur in just two locations and is consequently assessed as Vulnerable D2; despite the currently negligible threats within the Kanashen Amerindian Protected Area, the potential for illegal extractive activity could rapidly drive this species to extinction. Research is needed to establish the current population size and trend, as well as monitoring habitat trends. </w:t>
      </w:r>
    </w:p>
    <w:p w14:paraId="36439E59" w14:textId="77777777" w:rsidR="00000000" w:rsidRDefault="00000000">
      <w:pPr>
        <w:pStyle w:val="NormalWeb"/>
        <w:divId w:val="702094898"/>
        <w:rPr>
          <w:rFonts w:ascii="Georgia" w:hAnsi="Georgia"/>
        </w:rPr>
      </w:pPr>
    </w:p>
    <w:p w14:paraId="5B1E9007" w14:textId="77777777" w:rsidR="00000000" w:rsidRDefault="00000000">
      <w:pPr>
        <w:pStyle w:val="Heading1"/>
        <w:divId w:val="1072123691"/>
        <w:rPr>
          <w:rFonts w:ascii="Georgia" w:eastAsia="Times New Roman" w:hAnsi="Georgia"/>
          <w:sz w:val="29"/>
          <w:szCs w:val="29"/>
        </w:rPr>
      </w:pPr>
      <w:r>
        <w:rPr>
          <w:rFonts w:ascii="Georgia" w:eastAsia="Times New Roman" w:hAnsi="Georgia"/>
          <w:sz w:val="29"/>
          <w:szCs w:val="29"/>
        </w:rPr>
        <w:lastRenderedPageBreak/>
        <w:t>Distribution</w:t>
      </w:r>
    </w:p>
    <w:p w14:paraId="3E883243"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Geographic Range</w:t>
      </w:r>
    </w:p>
    <w:p w14:paraId="09FD0664" w14:textId="77777777" w:rsidR="00000000" w:rsidRDefault="00000000">
      <w:pPr>
        <w:pStyle w:val="NormalWeb"/>
        <w:divId w:val="1072123691"/>
        <w:rPr>
          <w:rFonts w:ascii="Georgia" w:hAnsi="Georgia"/>
        </w:rPr>
      </w:pPr>
      <w:r>
        <w:rPr>
          <w:rFonts w:ascii="Georgia" w:hAnsi="Georgia"/>
        </w:rPr>
        <w:t>This species is known from just two collections in the Essequibo river basin, Guyana, at elevations of 240–260 m asl. There is insufficient data to estimate area of occupancy (AOO), and the extent of occurrence (EOO) is also highly uncertain, estimated to lie between 8–6,000 km</w:t>
      </w:r>
      <w:r>
        <w:rPr>
          <w:rFonts w:ascii="Georgia" w:hAnsi="Georgia"/>
          <w:vertAlign w:val="superscript"/>
        </w:rPr>
        <w:t>2</w:t>
      </w:r>
      <w:r>
        <w:rPr>
          <w:rFonts w:ascii="Georgia" w:hAnsi="Georgia"/>
        </w:rPr>
        <w:t>.</w:t>
      </w:r>
    </w:p>
    <w:p w14:paraId="4AEAD9D5"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29"/>
        <w:gridCol w:w="2201"/>
        <w:gridCol w:w="4780"/>
      </w:tblGrid>
      <w:tr w:rsidR="00000000" w14:paraId="5AC4AF52" w14:textId="77777777">
        <w:trPr>
          <w:divId w:val="1072123691"/>
          <w:tblCellSpacing w:w="15" w:type="dxa"/>
        </w:trPr>
        <w:tc>
          <w:tcPr>
            <w:tcW w:w="0" w:type="auto"/>
            <w:tcBorders>
              <w:bottom w:val="single" w:sz="6" w:space="0" w:color="000000"/>
            </w:tcBorders>
            <w:shd w:val="clear" w:color="auto" w:fill="BBBBBB"/>
            <w:vAlign w:val="center"/>
            <w:hideMark/>
          </w:tcPr>
          <w:p w14:paraId="2EB3A05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C1BDD6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1409E5E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A487FB2" w14:textId="77777777">
        <w:trPr>
          <w:divId w:val="1072123691"/>
          <w:tblCellSpacing w:w="15" w:type="dxa"/>
        </w:trPr>
        <w:tc>
          <w:tcPr>
            <w:tcW w:w="0" w:type="auto"/>
            <w:vAlign w:val="center"/>
            <w:hideMark/>
          </w:tcPr>
          <w:p w14:paraId="4686BA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8-6000</w:t>
            </w:r>
          </w:p>
        </w:tc>
        <w:tc>
          <w:tcPr>
            <w:tcW w:w="0" w:type="auto"/>
            <w:vAlign w:val="center"/>
            <w:hideMark/>
          </w:tcPr>
          <w:p w14:paraId="39B4492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6824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The EOO is highly uncertain. Lower bound based on minimal AOO for two collections. Upper bound based on approximate MCP for the Kanashen Amerindian Protected Area.</w:t>
            </w:r>
          </w:p>
        </w:tc>
      </w:tr>
    </w:tbl>
    <w:p w14:paraId="0A579D12"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73"/>
        <w:gridCol w:w="7337"/>
      </w:tblGrid>
      <w:tr w:rsidR="00000000" w14:paraId="24275176" w14:textId="77777777">
        <w:trPr>
          <w:divId w:val="1072123691"/>
          <w:tblCellSpacing w:w="15" w:type="dxa"/>
        </w:trPr>
        <w:tc>
          <w:tcPr>
            <w:tcW w:w="0" w:type="auto"/>
            <w:tcBorders>
              <w:bottom w:val="single" w:sz="6" w:space="0" w:color="000000"/>
            </w:tcBorders>
            <w:shd w:val="clear" w:color="auto" w:fill="BBBBBB"/>
            <w:vAlign w:val="center"/>
            <w:hideMark/>
          </w:tcPr>
          <w:p w14:paraId="5E31610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276336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4ABCC33" w14:textId="77777777">
        <w:trPr>
          <w:divId w:val="1072123691"/>
          <w:tblCellSpacing w:w="15" w:type="dxa"/>
        </w:trPr>
        <w:tc>
          <w:tcPr>
            <w:tcW w:w="0" w:type="auto"/>
            <w:vAlign w:val="center"/>
            <w:hideMark/>
          </w:tcPr>
          <w:p w14:paraId="136CF0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w:t>
            </w:r>
          </w:p>
        </w:tc>
        <w:tc>
          <w:tcPr>
            <w:tcW w:w="0" w:type="auto"/>
            <w:vAlign w:val="center"/>
            <w:hideMark/>
          </w:tcPr>
          <w:p w14:paraId="555D3A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The species is known from just two locations, and the plausible threat of illegal mining could drive it to extinction over a short period. </w:t>
            </w:r>
          </w:p>
        </w:tc>
      </w:tr>
    </w:tbl>
    <w:p w14:paraId="7DC5C2C0" w14:textId="77777777" w:rsidR="00000000" w:rsidRDefault="00000000">
      <w:pPr>
        <w:divId w:val="107212369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000000" w14:paraId="0407A5A1" w14:textId="77777777">
        <w:trPr>
          <w:divId w:val="1072123691"/>
          <w:tblCellSpacing w:w="15" w:type="dxa"/>
        </w:trPr>
        <w:tc>
          <w:tcPr>
            <w:tcW w:w="0" w:type="auto"/>
            <w:tcBorders>
              <w:bottom w:val="single" w:sz="6" w:space="0" w:color="000000"/>
            </w:tcBorders>
            <w:shd w:val="clear" w:color="auto" w:fill="BBBBBB"/>
            <w:vAlign w:val="center"/>
            <w:hideMark/>
          </w:tcPr>
          <w:p w14:paraId="26CD344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295AD99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D59406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B0A1893" w14:textId="77777777">
        <w:trPr>
          <w:divId w:val="1072123691"/>
          <w:tblCellSpacing w:w="15" w:type="dxa"/>
        </w:trPr>
        <w:tc>
          <w:tcPr>
            <w:tcW w:w="0" w:type="auto"/>
            <w:vAlign w:val="center"/>
            <w:hideMark/>
          </w:tcPr>
          <w:p w14:paraId="3469C3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87F6B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B59B1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D5D8157" w14:textId="77777777" w:rsidR="00000000" w:rsidRDefault="00000000">
      <w:pPr>
        <w:divId w:val="107212369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8"/>
        <w:gridCol w:w="1258"/>
      </w:tblGrid>
      <w:tr w:rsidR="00000000" w14:paraId="42BBB921" w14:textId="77777777">
        <w:trPr>
          <w:divId w:val="1072123691"/>
          <w:tblCellSpacing w:w="15" w:type="dxa"/>
        </w:trPr>
        <w:tc>
          <w:tcPr>
            <w:tcW w:w="0" w:type="auto"/>
            <w:tcBorders>
              <w:bottom w:val="single" w:sz="6" w:space="0" w:color="000000"/>
            </w:tcBorders>
            <w:shd w:val="clear" w:color="auto" w:fill="BBBBBB"/>
            <w:vAlign w:val="center"/>
            <w:hideMark/>
          </w:tcPr>
          <w:p w14:paraId="4737BA7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3FF8B16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CD3EE07" w14:textId="77777777">
        <w:trPr>
          <w:divId w:val="1072123691"/>
          <w:tblCellSpacing w:w="15" w:type="dxa"/>
        </w:trPr>
        <w:tc>
          <w:tcPr>
            <w:tcW w:w="0" w:type="auto"/>
            <w:vAlign w:val="center"/>
            <w:hideMark/>
          </w:tcPr>
          <w:p w14:paraId="36B9FD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842FC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95F6706"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79"/>
        <w:gridCol w:w="5631"/>
      </w:tblGrid>
      <w:tr w:rsidR="00000000" w14:paraId="56511662" w14:textId="77777777">
        <w:trPr>
          <w:divId w:val="1072123691"/>
          <w:tblCellSpacing w:w="15" w:type="dxa"/>
        </w:trPr>
        <w:tc>
          <w:tcPr>
            <w:tcW w:w="0" w:type="auto"/>
            <w:tcBorders>
              <w:bottom w:val="single" w:sz="6" w:space="0" w:color="000000"/>
            </w:tcBorders>
            <w:shd w:val="clear" w:color="auto" w:fill="BBBBBB"/>
            <w:vAlign w:val="center"/>
            <w:hideMark/>
          </w:tcPr>
          <w:p w14:paraId="6C001AE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B152C4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0EB9407" w14:textId="77777777">
        <w:trPr>
          <w:divId w:val="1072123691"/>
          <w:tblCellSpacing w:w="15" w:type="dxa"/>
        </w:trPr>
        <w:tc>
          <w:tcPr>
            <w:tcW w:w="0" w:type="auto"/>
            <w:vAlign w:val="center"/>
            <w:hideMark/>
          </w:tcPr>
          <w:p w14:paraId="7FD47EF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617FA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The species is known from just two locations, and the plausible threat of illegal mining could drive it to extinction over a short period. </w:t>
            </w:r>
          </w:p>
        </w:tc>
      </w:tr>
    </w:tbl>
    <w:p w14:paraId="589AA1C4"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Elevation / Depth / Depth Zones</w:t>
      </w:r>
    </w:p>
    <w:p w14:paraId="3F3CB225" w14:textId="77777777" w:rsidR="00000000" w:rsidRDefault="00000000">
      <w:pPr>
        <w:pStyle w:val="NormalWeb"/>
        <w:divId w:val="1072123691"/>
        <w:rPr>
          <w:rFonts w:ascii="Georgia" w:hAnsi="Georgia"/>
        </w:rPr>
      </w:pPr>
      <w:r>
        <w:rPr>
          <w:rStyle w:val="datalabel1"/>
          <w:rFonts w:ascii="Georgia" w:hAnsi="Georgia"/>
        </w:rPr>
        <w:t xml:space="preserve">Elevation Lower Limit (in metres above sea level): </w:t>
      </w:r>
      <w:r>
        <w:rPr>
          <w:rFonts w:ascii="Georgia" w:hAnsi="Georgia"/>
        </w:rPr>
        <w:t>240</w:t>
      </w:r>
    </w:p>
    <w:p w14:paraId="168B1C65" w14:textId="77777777" w:rsidR="00000000" w:rsidRDefault="00000000">
      <w:pPr>
        <w:pStyle w:val="NormalWeb"/>
        <w:divId w:val="1072123691"/>
        <w:rPr>
          <w:rFonts w:ascii="Georgia" w:hAnsi="Georgia"/>
        </w:rPr>
      </w:pPr>
      <w:r>
        <w:rPr>
          <w:rStyle w:val="datalabel1"/>
          <w:rFonts w:ascii="Georgia" w:hAnsi="Georgia"/>
        </w:rPr>
        <w:t xml:space="preserve">Elevation Upper Limit (in metres above sea level): </w:t>
      </w:r>
      <w:r>
        <w:rPr>
          <w:rFonts w:ascii="Georgia" w:hAnsi="Georgia"/>
        </w:rPr>
        <w:t>260</w:t>
      </w:r>
    </w:p>
    <w:p w14:paraId="71CD1831"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4"/>
        <w:gridCol w:w="1134"/>
        <w:gridCol w:w="1722"/>
        <w:gridCol w:w="974"/>
        <w:gridCol w:w="1002"/>
        <w:gridCol w:w="1279"/>
        <w:gridCol w:w="1139"/>
        <w:gridCol w:w="1086"/>
      </w:tblGrid>
      <w:tr w:rsidR="00000000" w14:paraId="7207BF71" w14:textId="77777777">
        <w:trPr>
          <w:divId w:val="1072123691"/>
          <w:tblCellSpacing w:w="15" w:type="dxa"/>
        </w:trPr>
        <w:tc>
          <w:tcPr>
            <w:tcW w:w="0" w:type="auto"/>
            <w:tcBorders>
              <w:bottom w:val="single" w:sz="6" w:space="0" w:color="000000"/>
            </w:tcBorders>
            <w:shd w:val="clear" w:color="auto" w:fill="BBBBBB"/>
            <w:vAlign w:val="center"/>
            <w:hideMark/>
          </w:tcPr>
          <w:p w14:paraId="6426174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Map Status</w:t>
            </w:r>
          </w:p>
        </w:tc>
        <w:tc>
          <w:tcPr>
            <w:tcW w:w="0" w:type="auto"/>
            <w:tcBorders>
              <w:bottom w:val="single" w:sz="6" w:space="0" w:color="000000"/>
            </w:tcBorders>
            <w:shd w:val="clear" w:color="auto" w:fill="BBBBBB"/>
            <w:vAlign w:val="center"/>
            <w:hideMark/>
          </w:tcPr>
          <w:p w14:paraId="24579B7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FF4FA0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429B74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F6961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8C6DBD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FED375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A70520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0EF89CC1" w14:textId="77777777">
        <w:trPr>
          <w:divId w:val="1072123691"/>
          <w:tblCellSpacing w:w="15" w:type="dxa"/>
        </w:trPr>
        <w:tc>
          <w:tcPr>
            <w:tcW w:w="0" w:type="auto"/>
            <w:vAlign w:val="center"/>
            <w:hideMark/>
          </w:tcPr>
          <w:p w14:paraId="2E48374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37D87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D4162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Map created using all available georeferenced herbarium specimens. Distributions confirmed with species experts from Royal Botanic Gardens, Kew.</w:t>
            </w:r>
          </w:p>
        </w:tc>
        <w:tc>
          <w:tcPr>
            <w:tcW w:w="0" w:type="auto"/>
            <w:vAlign w:val="center"/>
            <w:hideMark/>
          </w:tcPr>
          <w:p w14:paraId="60623F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43510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2B8983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Data is only permitted for use in creating assessments. It is not permitted to be shared or made available for any other purpose.</w:t>
            </w:r>
          </w:p>
        </w:tc>
        <w:tc>
          <w:tcPr>
            <w:tcW w:w="0" w:type="auto"/>
            <w:vAlign w:val="center"/>
            <w:hideMark/>
          </w:tcPr>
          <w:p w14:paraId="2EB4EB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Global</w:t>
            </w:r>
          </w:p>
        </w:tc>
        <w:tc>
          <w:tcPr>
            <w:tcW w:w="0" w:type="auto"/>
            <w:vAlign w:val="center"/>
            <w:hideMark/>
          </w:tcPr>
          <w:p w14:paraId="6DCA8FB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2021-03-23</w:t>
            </w:r>
          </w:p>
        </w:tc>
      </w:tr>
    </w:tbl>
    <w:p w14:paraId="72A244FE" w14:textId="77777777" w:rsidR="00000000" w:rsidRDefault="00000000">
      <w:pPr>
        <w:pStyle w:val="Heading2"/>
        <w:divId w:val="1072123691"/>
        <w:rPr>
          <w:rFonts w:ascii="Georgia" w:eastAsia="Times New Roman" w:hAnsi="Georgia"/>
          <w:sz w:val="27"/>
          <w:szCs w:val="27"/>
        </w:rPr>
      </w:pPr>
      <w:r>
        <w:rPr>
          <w:rFonts w:ascii="Georgia" w:eastAsia="Times New Roman" w:hAnsi="Georgia"/>
          <w:sz w:val="27"/>
          <w:szCs w:val="27"/>
        </w:rPr>
        <w:t>Biogeographic Realms</w:t>
      </w:r>
    </w:p>
    <w:p w14:paraId="563DBCE8" w14:textId="77777777" w:rsidR="00000000" w:rsidRDefault="00000000">
      <w:pPr>
        <w:pStyle w:val="NormalWeb"/>
        <w:divId w:val="1072123691"/>
        <w:rPr>
          <w:rFonts w:ascii="Georgia" w:hAnsi="Georgia"/>
        </w:rPr>
      </w:pPr>
      <w:r>
        <w:rPr>
          <w:rStyle w:val="datalabel1"/>
          <w:rFonts w:ascii="Georgia" w:hAnsi="Georgia"/>
        </w:rPr>
        <w:t xml:space="preserve">Biogeographic Realm: </w:t>
      </w:r>
      <w:r>
        <w:rPr>
          <w:rFonts w:ascii="Georgia" w:hAnsi="Georgia"/>
        </w:rPr>
        <w:t>Neotropical</w:t>
      </w:r>
    </w:p>
    <w:p w14:paraId="1984FB35" w14:textId="77777777" w:rsidR="00000000" w:rsidRDefault="00000000">
      <w:pPr>
        <w:pStyle w:val="Heading1"/>
        <w:divId w:val="476650509"/>
        <w:rPr>
          <w:rFonts w:ascii="Georgia" w:eastAsia="Times New Roman" w:hAnsi="Georgia"/>
          <w:sz w:val="29"/>
          <w:szCs w:val="29"/>
        </w:rPr>
      </w:pPr>
      <w:r>
        <w:rPr>
          <w:rFonts w:ascii="Georgia" w:eastAsia="Times New Roman" w:hAnsi="Georgia"/>
          <w:sz w:val="29"/>
          <w:szCs w:val="29"/>
        </w:rPr>
        <w:t>Occurrence</w:t>
      </w:r>
    </w:p>
    <w:p w14:paraId="1DA5DB73" w14:textId="77777777" w:rsidR="00000000" w:rsidRDefault="00000000">
      <w:pPr>
        <w:pStyle w:val="Heading2"/>
        <w:divId w:val="476650509"/>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568CF56A" w14:textId="77777777">
        <w:trPr>
          <w:divId w:val="476650509"/>
          <w:tblCellSpacing w:w="15" w:type="dxa"/>
        </w:trPr>
        <w:tc>
          <w:tcPr>
            <w:tcW w:w="0" w:type="auto"/>
            <w:tcBorders>
              <w:bottom w:val="single" w:sz="6" w:space="0" w:color="000000"/>
            </w:tcBorders>
            <w:shd w:val="clear" w:color="auto" w:fill="BBBBBB"/>
            <w:vAlign w:val="center"/>
            <w:hideMark/>
          </w:tcPr>
          <w:p w14:paraId="7EE0914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832747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12A9BB2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47D0E6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C9D387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108A4BC" w14:textId="77777777">
        <w:trPr>
          <w:divId w:val="476650509"/>
          <w:tblCellSpacing w:w="15" w:type="dxa"/>
        </w:trPr>
        <w:tc>
          <w:tcPr>
            <w:tcW w:w="0" w:type="auto"/>
            <w:tcBorders>
              <w:bottom w:val="single" w:sz="6" w:space="0" w:color="CCCCCC"/>
            </w:tcBorders>
            <w:vAlign w:val="center"/>
            <w:hideMark/>
          </w:tcPr>
          <w:p w14:paraId="78AFD3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Guyana</w:t>
            </w:r>
          </w:p>
        </w:tc>
        <w:tc>
          <w:tcPr>
            <w:tcW w:w="0" w:type="auto"/>
            <w:tcBorders>
              <w:bottom w:val="single" w:sz="6" w:space="0" w:color="CCCCCC"/>
            </w:tcBorders>
            <w:vAlign w:val="center"/>
            <w:hideMark/>
          </w:tcPr>
          <w:p w14:paraId="0C5E2A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38604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75832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DA5E9D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53A4B303" w14:textId="77777777" w:rsidR="00000000" w:rsidRDefault="00000000">
      <w:pPr>
        <w:pStyle w:val="Heading1"/>
        <w:divId w:val="567571054"/>
        <w:rPr>
          <w:rFonts w:ascii="Georgia" w:eastAsia="Times New Roman" w:hAnsi="Georgia"/>
          <w:sz w:val="29"/>
          <w:szCs w:val="29"/>
        </w:rPr>
      </w:pPr>
      <w:r>
        <w:rPr>
          <w:rFonts w:ascii="Georgia" w:eastAsia="Times New Roman" w:hAnsi="Georgia"/>
          <w:sz w:val="29"/>
          <w:szCs w:val="29"/>
        </w:rPr>
        <w:t>Population</w:t>
      </w:r>
    </w:p>
    <w:p w14:paraId="70745773" w14:textId="77777777" w:rsidR="00000000" w:rsidRDefault="00000000">
      <w:pPr>
        <w:pStyle w:val="NormalWeb"/>
        <w:divId w:val="567571054"/>
        <w:rPr>
          <w:rFonts w:ascii="Georgia" w:hAnsi="Georgia"/>
        </w:rPr>
      </w:pPr>
      <w:r>
        <w:rPr>
          <w:rFonts w:ascii="Georgia" w:hAnsi="Georgia"/>
        </w:rPr>
        <w:t xml:space="preserve">The population size of this species is unknown, however, due to the paucity of herbarium records, it is thought to be rare. The Kanashen Amerindian Protected Area consists of 625,000 ha of near-pristine forest that is relatively inaccessible (Alonso </w:t>
      </w:r>
      <w:r>
        <w:rPr>
          <w:rStyle w:val="Emphasis"/>
          <w:rFonts w:ascii="Georgia" w:hAnsi="Georgia"/>
        </w:rPr>
        <w:t xml:space="preserve">et al. </w:t>
      </w:r>
      <w:r>
        <w:rPr>
          <w:rFonts w:ascii="Georgia" w:hAnsi="Georgia"/>
        </w:rPr>
        <w:t>2008), therefore it is possible that this species is more abundant than the herbarium record suggests. </w:t>
      </w:r>
    </w:p>
    <w:p w14:paraId="3A4BBD0E" w14:textId="77777777" w:rsidR="00000000" w:rsidRDefault="00000000">
      <w:pPr>
        <w:pStyle w:val="Heading2"/>
        <w:divId w:val="567571054"/>
        <w:rPr>
          <w:rFonts w:ascii="Georgia" w:eastAsia="Times New Roman" w:hAnsi="Georgia"/>
          <w:sz w:val="27"/>
          <w:szCs w:val="27"/>
        </w:rPr>
      </w:pPr>
      <w:r>
        <w:rPr>
          <w:rFonts w:ascii="Georgia" w:eastAsia="Times New Roman" w:hAnsi="Georgia"/>
          <w:sz w:val="27"/>
          <w:szCs w:val="27"/>
        </w:rPr>
        <w:t>Population Information</w:t>
      </w:r>
    </w:p>
    <w:p w14:paraId="06A099AE" w14:textId="77777777" w:rsidR="00000000" w:rsidRDefault="00000000">
      <w:pPr>
        <w:pStyle w:val="NormalWeb"/>
        <w:divId w:val="567571054"/>
        <w:rPr>
          <w:rFonts w:ascii="Georgia" w:hAnsi="Georgia"/>
        </w:rPr>
      </w:pPr>
      <w:r>
        <w:rPr>
          <w:rStyle w:val="datalabel1"/>
          <w:rFonts w:ascii="Georgia" w:hAnsi="Georgia"/>
        </w:rPr>
        <w:t xml:space="preserve">Current Population Trend: </w:t>
      </w:r>
      <w:r>
        <w:rPr>
          <w:rFonts w:ascii="Georgia" w:hAnsi="Georgia"/>
        </w:rPr>
        <w:t>Unknown</w:t>
      </w:r>
    </w:p>
    <w:p w14:paraId="5A3468A6" w14:textId="77777777" w:rsidR="00000000" w:rsidRDefault="00000000">
      <w:pPr>
        <w:pStyle w:val="Heading1"/>
        <w:divId w:val="178349561"/>
        <w:rPr>
          <w:rFonts w:ascii="Georgia" w:eastAsia="Times New Roman" w:hAnsi="Georgia"/>
          <w:sz w:val="29"/>
          <w:szCs w:val="29"/>
        </w:rPr>
      </w:pPr>
      <w:r>
        <w:rPr>
          <w:rFonts w:ascii="Georgia" w:eastAsia="Times New Roman" w:hAnsi="Georgia"/>
          <w:sz w:val="29"/>
          <w:szCs w:val="29"/>
        </w:rPr>
        <w:t>Habitats and Ecology</w:t>
      </w:r>
    </w:p>
    <w:p w14:paraId="279F8A3D" w14:textId="77777777" w:rsidR="00000000" w:rsidRDefault="00000000">
      <w:pPr>
        <w:pStyle w:val="NormalWeb"/>
        <w:divId w:val="178349561"/>
        <w:rPr>
          <w:rFonts w:ascii="Georgia" w:hAnsi="Georgia"/>
        </w:rPr>
      </w:pPr>
      <w:r>
        <w:rPr>
          <w:rFonts w:ascii="Georgia" w:hAnsi="Georgia"/>
        </w:rPr>
        <w:t>This tree is recorded from lowland forest in the Guiana shield, reaching 5–20 m in height. There is no specific information on how this species is dispersed, and knowledge of dispersal within Myrtaceae is largely limited to deductions made from fruit morphology (Nic Lughadha and Proença 1996), but a study on Myrtaceae in the Atlantic Forest showed that species from this genus are dispersed by birds and mammals (Pizo 2000, E. Lucas pers. comm. 2020).</w:t>
      </w:r>
    </w:p>
    <w:p w14:paraId="2E870926" w14:textId="77777777" w:rsidR="00000000" w:rsidRDefault="00000000">
      <w:pPr>
        <w:pStyle w:val="Heading2"/>
        <w:divId w:val="17834956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2A1EDE8B" w14:textId="77777777">
        <w:trPr>
          <w:divId w:val="178349561"/>
          <w:tblCellSpacing w:w="15" w:type="dxa"/>
        </w:trPr>
        <w:tc>
          <w:tcPr>
            <w:tcW w:w="0" w:type="auto"/>
            <w:tcBorders>
              <w:bottom w:val="single" w:sz="6" w:space="0" w:color="000000"/>
            </w:tcBorders>
            <w:shd w:val="clear" w:color="auto" w:fill="BBBBBB"/>
            <w:vAlign w:val="center"/>
            <w:hideMark/>
          </w:tcPr>
          <w:p w14:paraId="0D76B91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1EA884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1E54DC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4E4D72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6F8BA9B9" w14:textId="77777777">
        <w:trPr>
          <w:divId w:val="178349561"/>
          <w:tblCellSpacing w:w="15" w:type="dxa"/>
        </w:trPr>
        <w:tc>
          <w:tcPr>
            <w:tcW w:w="0" w:type="auto"/>
            <w:tcBorders>
              <w:bottom w:val="single" w:sz="6" w:space="0" w:color="CCCCCC"/>
            </w:tcBorders>
            <w:vAlign w:val="center"/>
            <w:hideMark/>
          </w:tcPr>
          <w:p w14:paraId="7D4C39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1.6. Forest -&gt; Forest - Subtropical/Tropical Moist Lowland</w:t>
            </w:r>
          </w:p>
        </w:tc>
        <w:tc>
          <w:tcPr>
            <w:tcW w:w="0" w:type="auto"/>
            <w:tcBorders>
              <w:bottom w:val="single" w:sz="6" w:space="0" w:color="CCCCCC"/>
            </w:tcBorders>
            <w:vAlign w:val="center"/>
            <w:hideMark/>
          </w:tcPr>
          <w:p w14:paraId="7038C7D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D581C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83D379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BFB0BAD" w14:textId="77777777" w:rsidR="00000000" w:rsidRDefault="00000000">
      <w:pPr>
        <w:pStyle w:val="Heading2"/>
        <w:divId w:val="178349561"/>
        <w:rPr>
          <w:rFonts w:ascii="Georgia" w:eastAsia="Times New Roman" w:hAnsi="Georgia"/>
          <w:sz w:val="27"/>
          <w:szCs w:val="27"/>
        </w:rPr>
      </w:pPr>
      <w:r>
        <w:rPr>
          <w:rFonts w:ascii="Georgia" w:eastAsia="Times New Roman" w:hAnsi="Georgia"/>
          <w:sz w:val="27"/>
          <w:szCs w:val="27"/>
        </w:rPr>
        <w:t>Systems</w:t>
      </w:r>
    </w:p>
    <w:p w14:paraId="48FBD439" w14:textId="77777777" w:rsidR="00000000" w:rsidRDefault="00000000">
      <w:pPr>
        <w:pStyle w:val="NormalWeb"/>
        <w:divId w:val="178349561"/>
        <w:rPr>
          <w:rFonts w:ascii="Georgia" w:hAnsi="Georgia"/>
        </w:rPr>
      </w:pPr>
      <w:r>
        <w:rPr>
          <w:rStyle w:val="datalabel1"/>
          <w:rFonts w:ascii="Georgia" w:hAnsi="Georgia"/>
        </w:rPr>
        <w:t xml:space="preserve">System: </w:t>
      </w:r>
      <w:r>
        <w:rPr>
          <w:rFonts w:ascii="Georgia" w:hAnsi="Georgia"/>
        </w:rPr>
        <w:t>Terrestrial</w:t>
      </w:r>
    </w:p>
    <w:p w14:paraId="00096986" w14:textId="77777777" w:rsidR="00000000" w:rsidRDefault="00000000">
      <w:pPr>
        <w:pStyle w:val="Heading2"/>
        <w:divId w:val="178349561"/>
        <w:rPr>
          <w:rFonts w:ascii="Georgia" w:eastAsia="Times New Roman" w:hAnsi="Georgia"/>
          <w:sz w:val="27"/>
          <w:szCs w:val="27"/>
        </w:rPr>
      </w:pPr>
      <w:r>
        <w:rPr>
          <w:rFonts w:ascii="Georgia" w:eastAsia="Times New Roman" w:hAnsi="Georgia"/>
          <w:sz w:val="27"/>
          <w:szCs w:val="27"/>
        </w:rPr>
        <w:t>Plant Specific</w:t>
      </w:r>
    </w:p>
    <w:p w14:paraId="0421F2DB" w14:textId="77777777" w:rsidR="00000000" w:rsidRDefault="00000000">
      <w:pPr>
        <w:pStyle w:val="NormalWeb"/>
        <w:divId w:val="178349561"/>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164DC6A1" w14:textId="77777777">
        <w:trPr>
          <w:divId w:val="178349561"/>
          <w:tblCellSpacing w:w="15" w:type="dxa"/>
        </w:trPr>
        <w:tc>
          <w:tcPr>
            <w:tcW w:w="0" w:type="auto"/>
            <w:tcBorders>
              <w:bottom w:val="single" w:sz="6" w:space="0" w:color="000000"/>
            </w:tcBorders>
            <w:shd w:val="clear" w:color="auto" w:fill="BBBBBB"/>
            <w:vAlign w:val="center"/>
            <w:hideMark/>
          </w:tcPr>
          <w:p w14:paraId="256E5F6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18D21F02" w14:textId="77777777">
        <w:trPr>
          <w:divId w:val="178349561"/>
          <w:tblCellSpacing w:w="15" w:type="dxa"/>
        </w:trPr>
        <w:tc>
          <w:tcPr>
            <w:tcW w:w="0" w:type="auto"/>
            <w:tcBorders>
              <w:bottom w:val="single" w:sz="6" w:space="0" w:color="CCCCCC"/>
            </w:tcBorders>
            <w:vAlign w:val="center"/>
            <w:hideMark/>
          </w:tcPr>
          <w:p w14:paraId="40C9CD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Tree - large</w:t>
            </w:r>
          </w:p>
        </w:tc>
      </w:tr>
      <w:tr w:rsidR="00000000" w14:paraId="1AF2FBD8" w14:textId="77777777">
        <w:trPr>
          <w:divId w:val="178349561"/>
          <w:tblCellSpacing w:w="15" w:type="dxa"/>
        </w:trPr>
        <w:tc>
          <w:tcPr>
            <w:tcW w:w="0" w:type="auto"/>
            <w:tcBorders>
              <w:bottom w:val="single" w:sz="6" w:space="0" w:color="CCCCCC"/>
            </w:tcBorders>
            <w:vAlign w:val="center"/>
            <w:hideMark/>
          </w:tcPr>
          <w:p w14:paraId="4FFC3E6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Tree - small</w:t>
            </w:r>
          </w:p>
        </w:tc>
      </w:tr>
    </w:tbl>
    <w:p w14:paraId="76B43BB2" w14:textId="77777777" w:rsidR="00000000" w:rsidRDefault="00000000">
      <w:pPr>
        <w:pStyle w:val="Heading1"/>
        <w:divId w:val="567809568"/>
        <w:rPr>
          <w:rFonts w:ascii="Georgia" w:eastAsia="Times New Roman" w:hAnsi="Georgia"/>
          <w:sz w:val="29"/>
          <w:szCs w:val="29"/>
        </w:rPr>
      </w:pPr>
      <w:r>
        <w:rPr>
          <w:rFonts w:ascii="Georgia" w:eastAsia="Times New Roman" w:hAnsi="Georgia"/>
          <w:sz w:val="29"/>
          <w:szCs w:val="29"/>
        </w:rPr>
        <w:t>Use and Trade</w:t>
      </w:r>
    </w:p>
    <w:p w14:paraId="7B631EA3" w14:textId="77777777" w:rsidR="00000000" w:rsidRDefault="00000000">
      <w:pPr>
        <w:pStyle w:val="Heading2"/>
        <w:divId w:val="567809568"/>
        <w:rPr>
          <w:rFonts w:ascii="Georgia" w:eastAsia="Times New Roman" w:hAnsi="Georgia"/>
          <w:sz w:val="27"/>
          <w:szCs w:val="27"/>
        </w:rPr>
      </w:pPr>
      <w:r>
        <w:rPr>
          <w:rFonts w:ascii="Georgia" w:eastAsia="Times New Roman" w:hAnsi="Georgia"/>
          <w:sz w:val="27"/>
          <w:szCs w:val="27"/>
        </w:rPr>
        <w:t>General Use and Trade Information</w:t>
      </w:r>
    </w:p>
    <w:p w14:paraId="249B408A" w14:textId="77777777" w:rsidR="00000000" w:rsidRDefault="00000000">
      <w:pPr>
        <w:pStyle w:val="NormalWeb"/>
        <w:divId w:val="567809568"/>
        <w:rPr>
          <w:rFonts w:ascii="Georgia" w:hAnsi="Georgia"/>
        </w:rPr>
      </w:pPr>
      <w:r>
        <w:rPr>
          <w:rStyle w:val="datalabel1"/>
          <w:rFonts w:ascii="Georgia" w:hAnsi="Georgia"/>
        </w:rPr>
        <w:t xml:space="preserve">Species not utilized: </w:t>
      </w:r>
      <w:r>
        <w:rPr>
          <w:rFonts w:ascii="Georgia" w:hAnsi="Georgia"/>
        </w:rPr>
        <w:t>true</w:t>
      </w:r>
    </w:p>
    <w:p w14:paraId="7307A235" w14:textId="77777777" w:rsidR="00000000" w:rsidRDefault="00000000">
      <w:pPr>
        <w:pStyle w:val="NormalWeb"/>
        <w:divId w:val="567809568"/>
        <w:rPr>
          <w:rFonts w:ascii="Georgia" w:hAnsi="Georgia"/>
        </w:rPr>
      </w:pPr>
      <w:r>
        <w:rPr>
          <w:rFonts w:ascii="Georgia" w:hAnsi="Georgia"/>
        </w:rPr>
        <w:t>There are no known uses for this species.</w:t>
      </w:r>
    </w:p>
    <w:p w14:paraId="06E6AE50" w14:textId="77777777" w:rsidR="00000000" w:rsidRDefault="00000000">
      <w:pPr>
        <w:pStyle w:val="Heading1"/>
        <w:divId w:val="1665040132"/>
        <w:rPr>
          <w:rFonts w:ascii="Georgia" w:eastAsia="Times New Roman" w:hAnsi="Georgia"/>
          <w:sz w:val="29"/>
          <w:szCs w:val="29"/>
        </w:rPr>
      </w:pPr>
      <w:r>
        <w:rPr>
          <w:rFonts w:ascii="Georgia" w:eastAsia="Times New Roman" w:hAnsi="Georgia"/>
          <w:sz w:val="29"/>
          <w:szCs w:val="29"/>
        </w:rPr>
        <w:t>Threats</w:t>
      </w:r>
    </w:p>
    <w:p w14:paraId="5AB9EBA2" w14:textId="77777777" w:rsidR="00000000" w:rsidRDefault="00000000">
      <w:pPr>
        <w:pStyle w:val="NormalWeb"/>
        <w:divId w:val="1665040132"/>
        <w:rPr>
          <w:rFonts w:ascii="Georgia" w:hAnsi="Georgia"/>
        </w:rPr>
      </w:pPr>
      <w:r>
        <w:rPr>
          <w:rFonts w:ascii="Georgia" w:hAnsi="Georgia"/>
        </w:rPr>
        <w:t>Forest cover in the Guianas is among the highest in the world, with 77–93% remaining in Guyana, most likely due to protected areas and lack of infrastructure (Plouvier </w:t>
      </w:r>
      <w:r>
        <w:rPr>
          <w:rStyle w:val="Emphasis"/>
          <w:rFonts w:ascii="Georgia" w:hAnsi="Georgia"/>
        </w:rPr>
        <w:t>et al.</w:t>
      </w:r>
      <w:r>
        <w:rPr>
          <w:rFonts w:ascii="Georgia" w:hAnsi="Georgia"/>
        </w:rPr>
        <w:t> 2012). Despite this, deforestation is becoming an increasing concern in this area, with gold mining being the primary driver; in 2007, 62,970 ha of forest area was cleared for gold mining activities in the Guianas (Plouvier </w:t>
      </w:r>
      <w:r>
        <w:rPr>
          <w:rStyle w:val="Emphasis"/>
          <w:rFonts w:ascii="Georgia" w:hAnsi="Georgia"/>
        </w:rPr>
        <w:t>et al.</w:t>
      </w:r>
      <w:r>
        <w:rPr>
          <w:rFonts w:ascii="Georgia" w:hAnsi="Georgia"/>
        </w:rPr>
        <w:t> 2012). Many protected areas overlap with gold reserves, putting these areas at risk of illegal mining (Plouvier </w:t>
      </w:r>
      <w:r>
        <w:rPr>
          <w:rStyle w:val="Emphasis"/>
          <w:rFonts w:ascii="Georgia" w:hAnsi="Georgia"/>
        </w:rPr>
        <w:t>et al.</w:t>
      </w:r>
      <w:r>
        <w:rPr>
          <w:rFonts w:ascii="Georgia" w:hAnsi="Georgia"/>
        </w:rPr>
        <w:t> 2012). In addition to deforestation associated with gold mining, the process of extracting gold can have significant environmental impacts, including pollution of freshwater systems, which has already impacted the Essequibo river (Plouvier </w:t>
      </w:r>
      <w:r>
        <w:rPr>
          <w:rStyle w:val="Emphasis"/>
          <w:rFonts w:ascii="Georgia" w:hAnsi="Georgia"/>
        </w:rPr>
        <w:t>et al.</w:t>
      </w:r>
      <w:r>
        <w:rPr>
          <w:rFonts w:ascii="Georgia" w:hAnsi="Georgia"/>
        </w:rPr>
        <w:t> 2012). The Konashen Amerindian Protected Area is inhabited by the Wai-Wai indigenous group, however the population density within the protected area is extremely low and most activity is small-scale (Alonso</w:t>
      </w:r>
      <w:r>
        <w:rPr>
          <w:rStyle w:val="Emphasis"/>
          <w:rFonts w:ascii="Georgia" w:hAnsi="Georgia"/>
        </w:rPr>
        <w:t xml:space="preserve"> et al. </w:t>
      </w:r>
      <w:r>
        <w:rPr>
          <w:rFonts w:ascii="Georgia" w:hAnsi="Georgia"/>
        </w:rPr>
        <w:t xml:space="preserve">2008). Some deforestation for pasture has been observed the along Essequibo river (Wassenaar </w:t>
      </w:r>
      <w:r>
        <w:rPr>
          <w:rStyle w:val="Emphasis"/>
          <w:rFonts w:ascii="Georgia" w:hAnsi="Georgia"/>
        </w:rPr>
        <w:t xml:space="preserve">et al. </w:t>
      </w:r>
      <w:r>
        <w:rPr>
          <w:rFonts w:ascii="Georgia" w:hAnsi="Georgia"/>
        </w:rPr>
        <w:t xml:space="preserve">2007) and there are reports of extractive activities such as mining occurring within the park in the past (Alonso </w:t>
      </w:r>
      <w:r>
        <w:rPr>
          <w:rStyle w:val="Emphasis"/>
          <w:rFonts w:ascii="Georgia" w:hAnsi="Georgia"/>
        </w:rPr>
        <w:t>et al.</w:t>
      </w:r>
      <w:r>
        <w:rPr>
          <w:rFonts w:ascii="Georgia" w:hAnsi="Georgia"/>
        </w:rPr>
        <w:t xml:space="preserve"> 2008). Despite this, human impacts appear to be minimal as a result of its protection status and inaccessibility of much of the interior (Alonso</w:t>
      </w:r>
      <w:r>
        <w:rPr>
          <w:rStyle w:val="Emphasis"/>
          <w:rFonts w:ascii="Georgia" w:hAnsi="Georgia"/>
        </w:rPr>
        <w:t xml:space="preserve"> et al.</w:t>
      </w:r>
      <w:r>
        <w:rPr>
          <w:rFonts w:ascii="Georgia" w:hAnsi="Georgia"/>
        </w:rPr>
        <w:t xml:space="preserve"> 2008). Potential plans to build a new road infrastructure system between Brazil and Guyana will facilitate access to currently remote areas, which could lead to an increase of the deforestation rates in future (Plouvier </w:t>
      </w:r>
      <w:r>
        <w:rPr>
          <w:rStyle w:val="Emphasis"/>
          <w:rFonts w:ascii="Georgia" w:hAnsi="Georgia"/>
        </w:rPr>
        <w:t>et al.</w:t>
      </w:r>
      <w:r>
        <w:rPr>
          <w:rFonts w:ascii="Georgia" w:hAnsi="Georgia"/>
        </w:rPr>
        <w:t xml:space="preserve"> 2012).</w:t>
      </w:r>
    </w:p>
    <w:p w14:paraId="29918503" w14:textId="77777777" w:rsidR="00000000" w:rsidRDefault="00000000">
      <w:pPr>
        <w:pStyle w:val="Heading2"/>
        <w:divId w:val="166504013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81"/>
        <w:gridCol w:w="722"/>
        <w:gridCol w:w="842"/>
        <w:gridCol w:w="842"/>
        <w:gridCol w:w="1123"/>
      </w:tblGrid>
      <w:tr w:rsidR="00000000" w14:paraId="787E9B7E" w14:textId="77777777">
        <w:trPr>
          <w:divId w:val="1665040132"/>
          <w:tblCellSpacing w:w="15" w:type="dxa"/>
        </w:trPr>
        <w:tc>
          <w:tcPr>
            <w:tcW w:w="0" w:type="auto"/>
            <w:tcBorders>
              <w:bottom w:val="single" w:sz="6" w:space="0" w:color="000000"/>
            </w:tcBorders>
            <w:shd w:val="clear" w:color="auto" w:fill="BBBBBB"/>
            <w:vAlign w:val="center"/>
            <w:hideMark/>
          </w:tcPr>
          <w:p w14:paraId="4EA891C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3EDDA1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46D4407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7B9806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027FB63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29DEA195" w14:textId="77777777">
        <w:trPr>
          <w:divId w:val="1665040132"/>
          <w:tblCellSpacing w:w="15" w:type="dxa"/>
        </w:trPr>
        <w:tc>
          <w:tcPr>
            <w:tcW w:w="0" w:type="auto"/>
            <w:vAlign w:val="center"/>
            <w:hideMark/>
          </w:tcPr>
          <w:p w14:paraId="2C203B7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2.3.2. Agriculture &amp; aquaculture -&gt; Livestock farming &amp; ranching -&gt; Small-holder grazing, ranching or farming</w:t>
            </w:r>
          </w:p>
        </w:tc>
        <w:tc>
          <w:tcPr>
            <w:tcW w:w="0" w:type="auto"/>
            <w:vAlign w:val="center"/>
            <w:hideMark/>
          </w:tcPr>
          <w:p w14:paraId="6B963D6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7DBDF4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B4C594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B0AD6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7C6C7803" w14:textId="77777777">
        <w:trPr>
          <w:divId w:val="1665040132"/>
          <w:tblCellSpacing w:w="15" w:type="dxa"/>
        </w:trPr>
        <w:tc>
          <w:tcPr>
            <w:tcW w:w="0" w:type="auto"/>
            <w:vAlign w:val="center"/>
            <w:hideMark/>
          </w:tcPr>
          <w:p w14:paraId="5CE98C5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06B912A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050DB45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9CB2F8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2EA95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6844FB08" w14:textId="77777777" w:rsidR="00000000" w:rsidRDefault="00000000">
      <w:pPr>
        <w:pStyle w:val="Heading1"/>
        <w:divId w:val="890111749"/>
        <w:rPr>
          <w:rFonts w:ascii="Georgia" w:eastAsia="Times New Roman" w:hAnsi="Georgia"/>
          <w:sz w:val="29"/>
          <w:szCs w:val="29"/>
        </w:rPr>
      </w:pPr>
      <w:r>
        <w:rPr>
          <w:rFonts w:ascii="Georgia" w:eastAsia="Times New Roman" w:hAnsi="Georgia"/>
          <w:sz w:val="29"/>
          <w:szCs w:val="29"/>
        </w:rPr>
        <w:t>Conservation</w:t>
      </w:r>
    </w:p>
    <w:p w14:paraId="395F610F" w14:textId="77777777" w:rsidR="00000000" w:rsidRDefault="00000000">
      <w:pPr>
        <w:pStyle w:val="NormalWeb"/>
        <w:divId w:val="890111749"/>
        <w:rPr>
          <w:rFonts w:ascii="Georgia" w:hAnsi="Georgia"/>
        </w:rPr>
      </w:pPr>
      <w:r>
        <w:rPr>
          <w:rFonts w:ascii="Georgia" w:hAnsi="Georgia"/>
        </w:rPr>
        <w:t xml:space="preserve">The two known collections were recorded within an area which has recently been declared the Kanashen Amerindian Protected Area, however the most recent collection of this species was in 1989. There is no information on </w:t>
      </w:r>
      <w:r>
        <w:rPr>
          <w:rStyle w:val="Emphasis"/>
          <w:rFonts w:ascii="Georgia" w:hAnsi="Georgia"/>
        </w:rPr>
        <w:t xml:space="preserve">ex situ </w:t>
      </w:r>
      <w:r>
        <w:rPr>
          <w:rFonts w:ascii="Georgia" w:hAnsi="Georgia"/>
        </w:rPr>
        <w:t>conservation measures for this species at present (BGCI 2021).</w:t>
      </w:r>
    </w:p>
    <w:p w14:paraId="1B1B5FA8" w14:textId="77777777" w:rsidR="00000000" w:rsidRDefault="00000000">
      <w:pPr>
        <w:pStyle w:val="Heading2"/>
        <w:divId w:val="890111749"/>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13"/>
        <w:gridCol w:w="7297"/>
      </w:tblGrid>
      <w:tr w:rsidR="00000000" w14:paraId="6C60E464" w14:textId="77777777">
        <w:trPr>
          <w:divId w:val="890111749"/>
          <w:tblCellSpacing w:w="15" w:type="dxa"/>
        </w:trPr>
        <w:tc>
          <w:tcPr>
            <w:tcW w:w="0" w:type="auto"/>
            <w:tcBorders>
              <w:bottom w:val="single" w:sz="6" w:space="0" w:color="000000"/>
            </w:tcBorders>
            <w:shd w:val="clear" w:color="auto" w:fill="BBBBBB"/>
            <w:vAlign w:val="center"/>
            <w:hideMark/>
          </w:tcPr>
          <w:p w14:paraId="0431766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897A3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B77B28A" w14:textId="77777777">
        <w:trPr>
          <w:divId w:val="890111749"/>
          <w:tblCellSpacing w:w="15" w:type="dxa"/>
        </w:trPr>
        <w:tc>
          <w:tcPr>
            <w:tcW w:w="0" w:type="auto"/>
            <w:vAlign w:val="center"/>
            <w:hideMark/>
          </w:tcPr>
          <w:p w14:paraId="5C26B0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346BA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The two known collections were recorded within an area which has recently been declared the Kanashen Amerindian Protected Area.</w:t>
            </w:r>
          </w:p>
        </w:tc>
      </w:tr>
    </w:tbl>
    <w:p w14:paraId="1A0940F6" w14:textId="77777777" w:rsidR="00000000" w:rsidRDefault="00000000">
      <w:pPr>
        <w:divId w:val="890111749"/>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773F6617" w14:textId="77777777">
        <w:trPr>
          <w:divId w:val="890111749"/>
          <w:tblCellSpacing w:w="15" w:type="dxa"/>
        </w:trPr>
        <w:tc>
          <w:tcPr>
            <w:tcW w:w="0" w:type="auto"/>
            <w:tcBorders>
              <w:bottom w:val="single" w:sz="6" w:space="0" w:color="000000"/>
            </w:tcBorders>
            <w:shd w:val="clear" w:color="auto" w:fill="BBBBBB"/>
            <w:vAlign w:val="center"/>
            <w:hideMark/>
          </w:tcPr>
          <w:p w14:paraId="700DD54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5DBB588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D32A8A8" w14:textId="77777777">
        <w:trPr>
          <w:divId w:val="890111749"/>
          <w:tblCellSpacing w:w="15" w:type="dxa"/>
        </w:trPr>
        <w:tc>
          <w:tcPr>
            <w:tcW w:w="0" w:type="auto"/>
            <w:vAlign w:val="center"/>
            <w:hideMark/>
          </w:tcPr>
          <w:p w14:paraId="563C6B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6FAC3B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B7D0DD2" w14:textId="77777777" w:rsidR="00000000" w:rsidRDefault="00000000">
      <w:pPr>
        <w:pStyle w:val="Heading2"/>
        <w:divId w:val="890111749"/>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5ADD5B1E" w14:textId="77777777">
        <w:trPr>
          <w:divId w:val="890111749"/>
          <w:tblCellSpacing w:w="15" w:type="dxa"/>
        </w:trPr>
        <w:tc>
          <w:tcPr>
            <w:tcW w:w="0" w:type="auto"/>
            <w:tcBorders>
              <w:bottom w:val="single" w:sz="6" w:space="0" w:color="000000"/>
            </w:tcBorders>
            <w:shd w:val="clear" w:color="auto" w:fill="BBBBBB"/>
            <w:vAlign w:val="center"/>
            <w:hideMark/>
          </w:tcPr>
          <w:p w14:paraId="6788147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A87127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9D729DC" w14:textId="77777777">
        <w:trPr>
          <w:divId w:val="890111749"/>
          <w:tblCellSpacing w:w="15" w:type="dxa"/>
        </w:trPr>
        <w:tc>
          <w:tcPr>
            <w:tcW w:w="0" w:type="auto"/>
            <w:tcBorders>
              <w:bottom w:val="single" w:sz="6" w:space="0" w:color="CCCCCC"/>
            </w:tcBorders>
            <w:vAlign w:val="center"/>
            <w:hideMark/>
          </w:tcPr>
          <w:p w14:paraId="78FD649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2C08D4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6D2D0FC" w14:textId="77777777">
        <w:trPr>
          <w:divId w:val="890111749"/>
          <w:tblCellSpacing w:w="15" w:type="dxa"/>
        </w:trPr>
        <w:tc>
          <w:tcPr>
            <w:tcW w:w="0" w:type="auto"/>
            <w:tcBorders>
              <w:bottom w:val="single" w:sz="6" w:space="0" w:color="CCCCCC"/>
            </w:tcBorders>
            <w:vAlign w:val="center"/>
            <w:hideMark/>
          </w:tcPr>
          <w:p w14:paraId="7E6DC1C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53AFB5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0A81316" w14:textId="77777777" w:rsidR="00000000" w:rsidRDefault="00000000">
      <w:pPr>
        <w:pStyle w:val="Heading2"/>
        <w:divId w:val="890111749"/>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33E27F5D" w14:textId="77777777">
        <w:trPr>
          <w:divId w:val="890111749"/>
          <w:tblCellSpacing w:w="15" w:type="dxa"/>
        </w:trPr>
        <w:tc>
          <w:tcPr>
            <w:tcW w:w="0" w:type="auto"/>
            <w:tcBorders>
              <w:bottom w:val="single" w:sz="6" w:space="0" w:color="000000"/>
            </w:tcBorders>
            <w:shd w:val="clear" w:color="auto" w:fill="BBBBBB"/>
            <w:vAlign w:val="center"/>
            <w:hideMark/>
          </w:tcPr>
          <w:p w14:paraId="3AF10E0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CB416F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81B70B3" w14:textId="77777777">
        <w:trPr>
          <w:divId w:val="890111749"/>
          <w:tblCellSpacing w:w="15" w:type="dxa"/>
        </w:trPr>
        <w:tc>
          <w:tcPr>
            <w:tcW w:w="0" w:type="auto"/>
            <w:tcBorders>
              <w:bottom w:val="single" w:sz="6" w:space="0" w:color="CCCCCC"/>
            </w:tcBorders>
            <w:vAlign w:val="center"/>
            <w:hideMark/>
          </w:tcPr>
          <w:p w14:paraId="133CE7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276F1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952EB26" w14:textId="77777777">
        <w:trPr>
          <w:divId w:val="890111749"/>
          <w:tblCellSpacing w:w="15" w:type="dxa"/>
        </w:trPr>
        <w:tc>
          <w:tcPr>
            <w:tcW w:w="0" w:type="auto"/>
            <w:tcBorders>
              <w:bottom w:val="single" w:sz="6" w:space="0" w:color="CCCCCC"/>
            </w:tcBorders>
            <w:vAlign w:val="center"/>
            <w:hideMark/>
          </w:tcPr>
          <w:p w14:paraId="5FBF5B8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4B26C4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F6B4249" w14:textId="77777777">
        <w:trPr>
          <w:divId w:val="890111749"/>
          <w:tblCellSpacing w:w="15" w:type="dxa"/>
        </w:trPr>
        <w:tc>
          <w:tcPr>
            <w:tcW w:w="0" w:type="auto"/>
            <w:tcBorders>
              <w:bottom w:val="single" w:sz="6" w:space="0" w:color="CCCCCC"/>
            </w:tcBorders>
            <w:vAlign w:val="center"/>
            <w:hideMark/>
          </w:tcPr>
          <w:p w14:paraId="6D13D8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2D5D4D4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0DAD705" w14:textId="77777777" w:rsidR="00000000" w:rsidRDefault="00000000">
      <w:pPr>
        <w:pStyle w:val="Heading1"/>
        <w:divId w:val="1795126633"/>
        <w:rPr>
          <w:rFonts w:ascii="Georgia" w:eastAsia="Times New Roman" w:hAnsi="Georgia"/>
          <w:sz w:val="29"/>
          <w:szCs w:val="29"/>
        </w:rPr>
      </w:pPr>
      <w:r>
        <w:rPr>
          <w:rFonts w:ascii="Georgia" w:eastAsia="Times New Roman" w:hAnsi="Georgia"/>
          <w:sz w:val="29"/>
          <w:szCs w:val="29"/>
        </w:rPr>
        <w:t>Ecosystem Services</w:t>
      </w:r>
    </w:p>
    <w:p w14:paraId="66778EE4" w14:textId="77777777" w:rsidR="00000000" w:rsidRDefault="00000000">
      <w:pPr>
        <w:pStyle w:val="Heading2"/>
        <w:divId w:val="1795126633"/>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2598E8E7" w14:textId="77777777">
        <w:trPr>
          <w:divId w:val="1795126633"/>
          <w:tblCellSpacing w:w="15" w:type="dxa"/>
        </w:trPr>
        <w:tc>
          <w:tcPr>
            <w:tcW w:w="0" w:type="auto"/>
            <w:tcBorders>
              <w:bottom w:val="single" w:sz="6" w:space="0" w:color="000000"/>
            </w:tcBorders>
            <w:shd w:val="clear" w:color="auto" w:fill="BBBBBB"/>
            <w:vAlign w:val="center"/>
            <w:hideMark/>
          </w:tcPr>
          <w:p w14:paraId="13B1A3E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20E8FF5A"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50DA9656" w14:textId="77777777">
        <w:trPr>
          <w:divId w:val="1795126633"/>
          <w:tblCellSpacing w:w="15" w:type="dxa"/>
        </w:trPr>
        <w:tc>
          <w:tcPr>
            <w:tcW w:w="0" w:type="auto"/>
            <w:vAlign w:val="center"/>
            <w:hideMark/>
          </w:tcPr>
          <w:p w14:paraId="762BAB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0451CA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CC6427F"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CF1F980" w14:textId="77777777" w:rsidR="00000000" w:rsidRDefault="00000000">
      <w:pPr>
        <w:pStyle w:val="NormalWeb"/>
        <w:divId w:val="1586380716"/>
        <w:rPr>
          <w:rFonts w:ascii="Georgia" w:hAnsi="Georgia"/>
        </w:rPr>
      </w:pPr>
      <w:r>
        <w:rPr>
          <w:rFonts w:ascii="Georgia" w:hAnsi="Georgia"/>
        </w:rPr>
        <w:t>Alonso, L.E., J. McCullough, P. Naskrecki, E. Alexander and H.E. Wright. 2008. A rapid biological assessment of the Konashen Community Owned Conservation Area, Southern Guyana. RAP Bulletin of Biological Assessment 51. Conservation International, Arlington, VA, USA.</w:t>
      </w:r>
    </w:p>
    <w:p w14:paraId="39FD649D" w14:textId="77777777" w:rsidR="00000000" w:rsidRDefault="00000000">
      <w:pPr>
        <w:pStyle w:val="NormalWeb"/>
        <w:divId w:val="1586380716"/>
        <w:rPr>
          <w:rFonts w:ascii="Georgia" w:hAnsi="Georgia"/>
        </w:rPr>
      </w:pPr>
      <w:r>
        <w:rPr>
          <w:rFonts w:ascii="Georgia" w:hAnsi="Georgia"/>
        </w:rPr>
        <w:t xml:space="preserve">BGCI. 2021. Botanic Gardens Conservation International (BGCI) - PlantSearch. Available at: </w:t>
      </w:r>
      <w:hyperlink r:id="rId5" w:history="1">
        <w:r>
          <w:rPr>
            <w:rStyle w:val="Hyperlink"/>
            <w:rFonts w:ascii="Georgia" w:hAnsi="Georgia"/>
          </w:rPr>
          <w:t>https://tools.bgci.org/plant_search.php</w:t>
        </w:r>
      </w:hyperlink>
      <w:r>
        <w:rPr>
          <w:rFonts w:ascii="Georgia" w:hAnsi="Georgia"/>
        </w:rPr>
        <w:t xml:space="preserve">. </w:t>
      </w:r>
    </w:p>
    <w:p w14:paraId="4909AEF4" w14:textId="77777777" w:rsidR="00000000" w:rsidRDefault="00000000">
      <w:pPr>
        <w:pStyle w:val="NormalWeb"/>
        <w:divId w:val="1586380716"/>
        <w:rPr>
          <w:rFonts w:ascii="Georgia" w:hAnsi="Georgia"/>
        </w:rPr>
      </w:pPr>
      <w:r>
        <w:rPr>
          <w:rFonts w:ascii="Georgia" w:hAnsi="Georgia"/>
        </w:rPr>
        <w:t xml:space="preserve">Nic Lughadha, E. and Proença, C. 1996. A survey of the reproductive biology of the Myrtoideae (Myrtaceae). </w:t>
      </w:r>
      <w:r>
        <w:rPr>
          <w:rFonts w:ascii="Georgia" w:hAnsi="Georgia"/>
          <w:i/>
          <w:iCs/>
        </w:rPr>
        <w:t>Annals of the Missouri Botanical Garden</w:t>
      </w:r>
      <w:r>
        <w:rPr>
          <w:rFonts w:ascii="Georgia" w:hAnsi="Georgia"/>
        </w:rPr>
        <w:t xml:space="preserve"> 83: 480-503.</w:t>
      </w:r>
    </w:p>
    <w:p w14:paraId="1389B144" w14:textId="77777777" w:rsidR="00000000" w:rsidRDefault="00000000">
      <w:pPr>
        <w:pStyle w:val="NormalWeb"/>
        <w:divId w:val="1586380716"/>
        <w:rPr>
          <w:rFonts w:ascii="Georgia" w:hAnsi="Georgia"/>
        </w:rPr>
      </w:pPr>
      <w:r>
        <w:rPr>
          <w:rFonts w:ascii="Georgia" w:hAnsi="Georgia"/>
        </w:rPr>
        <w:t xml:space="preserve">Pizo, M.A. 2000. The Seed-dispersers and Fruit Syndromes of </w:t>
      </w:r>
      <w:r>
        <w:rPr>
          <w:rFonts w:ascii="Georgia" w:hAnsi="Georgia"/>
          <w:i/>
          <w:iCs/>
        </w:rPr>
        <w:t>Myrtaceae</w:t>
      </w:r>
      <w:r>
        <w:rPr>
          <w:rFonts w:ascii="Georgia" w:hAnsi="Georgia"/>
        </w:rPr>
        <w:t xml:space="preserve"> in the Brazilian Atlantic Forest. In: D.J. Levey, W.R. Silva and M. Galetti (eds), </w:t>
      </w:r>
      <w:r>
        <w:rPr>
          <w:rFonts w:ascii="Georgia" w:hAnsi="Georgia"/>
          <w:i/>
          <w:iCs/>
        </w:rPr>
        <w:t>Seed Dispersal and Frugivory: Ecology, Evolution and Conservation</w:t>
      </w:r>
      <w:r>
        <w:rPr>
          <w:rFonts w:ascii="Georgia" w:hAnsi="Georgia"/>
        </w:rPr>
        <w:t>, pp. 129-143. CABI Publishing, Oxon, UK.</w:t>
      </w:r>
    </w:p>
    <w:p w14:paraId="24624363" w14:textId="77777777" w:rsidR="00000000" w:rsidRDefault="00000000">
      <w:pPr>
        <w:pStyle w:val="NormalWeb"/>
        <w:divId w:val="1586380716"/>
        <w:rPr>
          <w:rFonts w:ascii="Georgia" w:hAnsi="Georgia"/>
        </w:rPr>
      </w:pPr>
      <w:r>
        <w:rPr>
          <w:rFonts w:ascii="Georgia" w:hAnsi="Georgia"/>
        </w:rPr>
        <w:t>Plouvier, D., Gomes, L., Verweij, P. and Verlinden, N. 2012. Living Guianas Report 2012. WWF and Copernicus Institute.</w:t>
      </w:r>
    </w:p>
    <w:p w14:paraId="68C003F4" w14:textId="77777777" w:rsidR="00000000" w:rsidRDefault="00000000">
      <w:pPr>
        <w:pStyle w:val="NormalWeb"/>
        <w:divId w:val="1586380716"/>
        <w:rPr>
          <w:rFonts w:ascii="Georgia" w:hAnsi="Georgia"/>
        </w:rPr>
      </w:pPr>
      <w:r>
        <w:rPr>
          <w:rFonts w:ascii="Georgia" w:hAnsi="Georgia"/>
        </w:rPr>
        <w:t xml:space="preserve">UNEP-WCMC and IUCN. 2021. Protected Planet: The World Database on Protected Areas (WDPA) / The Global Database on Protected Areas Management Effectiveness (GD-PAME)] [On-line]. Cambridge, UK: UNEP-WCMC and IUCN. Available at: </w:t>
      </w:r>
      <w:hyperlink r:id="rId6" w:history="1">
        <w:r>
          <w:rPr>
            <w:rStyle w:val="Hyperlink"/>
            <w:rFonts w:ascii="Georgia" w:hAnsi="Georgia"/>
          </w:rPr>
          <w:t>https://www.protectedplanet.net/</w:t>
        </w:r>
      </w:hyperlink>
      <w:r>
        <w:rPr>
          <w:rFonts w:ascii="Georgia" w:hAnsi="Georgia"/>
        </w:rPr>
        <w:t xml:space="preserve">. </w:t>
      </w:r>
    </w:p>
    <w:p w14:paraId="2964A36D" w14:textId="77777777" w:rsidR="00D73075" w:rsidRDefault="00000000">
      <w:pPr>
        <w:pStyle w:val="NormalWeb"/>
        <w:divId w:val="1586380716"/>
        <w:rPr>
          <w:rFonts w:ascii="Georgia" w:hAnsi="Georgia"/>
        </w:rPr>
      </w:pPr>
      <w:r>
        <w:rPr>
          <w:rFonts w:ascii="Georgia" w:hAnsi="Georgia"/>
        </w:rPr>
        <w:t xml:space="preserve">Wassenaar, T., Gerber, P., Verburg, P.H., Rosales, M., Ibrahim, M. and Steinfeld, H. 2007. Projecting land use changes in the Neotropics: The geography of pasture expansion into forest. </w:t>
      </w:r>
      <w:r>
        <w:rPr>
          <w:rFonts w:ascii="Georgia" w:hAnsi="Georgia"/>
          <w:i/>
          <w:iCs/>
        </w:rPr>
        <w:t>Global Environmental Change</w:t>
      </w:r>
      <w:r>
        <w:rPr>
          <w:rFonts w:ascii="Georgia" w:hAnsi="Georgia"/>
        </w:rPr>
        <w:t xml:space="preserve"> 17(1): 86-104.</w:t>
      </w:r>
    </w:p>
    <w:sectPr w:rsidR="00D73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5E8B"/>
    <w:rsid w:val="00C05E8B"/>
    <w:rsid w:val="00D73075"/>
    <w:rsid w:val="00F6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6A339"/>
  <w15:chartTrackingRefBased/>
  <w15:docId w15:val="{C78C5142-A8DC-4809-B218-10BB59A0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49561">
      <w:marLeft w:val="0"/>
      <w:marRight w:val="0"/>
      <w:marTop w:val="0"/>
      <w:marBottom w:val="0"/>
      <w:divBdr>
        <w:top w:val="none" w:sz="0" w:space="0" w:color="auto"/>
        <w:left w:val="none" w:sz="0" w:space="0" w:color="auto"/>
        <w:bottom w:val="none" w:sz="0" w:space="0" w:color="auto"/>
        <w:right w:val="none" w:sz="0" w:space="0" w:color="auto"/>
      </w:divBdr>
    </w:div>
    <w:div w:id="476650509">
      <w:marLeft w:val="0"/>
      <w:marRight w:val="0"/>
      <w:marTop w:val="0"/>
      <w:marBottom w:val="0"/>
      <w:divBdr>
        <w:top w:val="none" w:sz="0" w:space="0" w:color="auto"/>
        <w:left w:val="none" w:sz="0" w:space="0" w:color="auto"/>
        <w:bottom w:val="none" w:sz="0" w:space="0" w:color="auto"/>
        <w:right w:val="none" w:sz="0" w:space="0" w:color="auto"/>
      </w:divBdr>
    </w:div>
    <w:div w:id="567571054">
      <w:marLeft w:val="0"/>
      <w:marRight w:val="0"/>
      <w:marTop w:val="0"/>
      <w:marBottom w:val="0"/>
      <w:divBdr>
        <w:top w:val="none" w:sz="0" w:space="0" w:color="auto"/>
        <w:left w:val="none" w:sz="0" w:space="0" w:color="auto"/>
        <w:bottom w:val="none" w:sz="0" w:space="0" w:color="auto"/>
        <w:right w:val="none" w:sz="0" w:space="0" w:color="auto"/>
      </w:divBdr>
    </w:div>
    <w:div w:id="567809568">
      <w:marLeft w:val="0"/>
      <w:marRight w:val="0"/>
      <w:marTop w:val="0"/>
      <w:marBottom w:val="0"/>
      <w:divBdr>
        <w:top w:val="none" w:sz="0" w:space="0" w:color="auto"/>
        <w:left w:val="none" w:sz="0" w:space="0" w:color="auto"/>
        <w:bottom w:val="none" w:sz="0" w:space="0" w:color="auto"/>
        <w:right w:val="none" w:sz="0" w:space="0" w:color="auto"/>
      </w:divBdr>
    </w:div>
    <w:div w:id="609557679">
      <w:marLeft w:val="0"/>
      <w:marRight w:val="0"/>
      <w:marTop w:val="0"/>
      <w:marBottom w:val="0"/>
      <w:divBdr>
        <w:top w:val="none" w:sz="0" w:space="0" w:color="auto"/>
        <w:left w:val="none" w:sz="0" w:space="0" w:color="auto"/>
        <w:bottom w:val="none" w:sz="0" w:space="0" w:color="auto"/>
        <w:right w:val="none" w:sz="0" w:space="0" w:color="auto"/>
      </w:divBdr>
      <w:divsChild>
        <w:div w:id="525020591">
          <w:marLeft w:val="0"/>
          <w:marRight w:val="0"/>
          <w:marTop w:val="0"/>
          <w:marBottom w:val="150"/>
          <w:divBdr>
            <w:top w:val="single" w:sz="12" w:space="0" w:color="000000"/>
            <w:left w:val="none" w:sz="0" w:space="0" w:color="auto"/>
            <w:bottom w:val="single" w:sz="12" w:space="0" w:color="000000"/>
            <w:right w:val="none" w:sz="0" w:space="0" w:color="auto"/>
          </w:divBdr>
        </w:div>
      </w:divsChild>
    </w:div>
    <w:div w:id="702094898">
      <w:marLeft w:val="0"/>
      <w:marRight w:val="0"/>
      <w:marTop w:val="0"/>
      <w:marBottom w:val="0"/>
      <w:divBdr>
        <w:top w:val="none" w:sz="0" w:space="0" w:color="auto"/>
        <w:left w:val="none" w:sz="0" w:space="0" w:color="auto"/>
        <w:bottom w:val="none" w:sz="0" w:space="0" w:color="auto"/>
        <w:right w:val="none" w:sz="0" w:space="0" w:color="auto"/>
      </w:divBdr>
    </w:div>
    <w:div w:id="890111749">
      <w:marLeft w:val="0"/>
      <w:marRight w:val="0"/>
      <w:marTop w:val="0"/>
      <w:marBottom w:val="0"/>
      <w:divBdr>
        <w:top w:val="none" w:sz="0" w:space="0" w:color="auto"/>
        <w:left w:val="none" w:sz="0" w:space="0" w:color="auto"/>
        <w:bottom w:val="none" w:sz="0" w:space="0" w:color="auto"/>
        <w:right w:val="none" w:sz="0" w:space="0" w:color="auto"/>
      </w:divBdr>
    </w:div>
    <w:div w:id="1072123691">
      <w:marLeft w:val="0"/>
      <w:marRight w:val="0"/>
      <w:marTop w:val="0"/>
      <w:marBottom w:val="0"/>
      <w:divBdr>
        <w:top w:val="none" w:sz="0" w:space="0" w:color="auto"/>
        <w:left w:val="none" w:sz="0" w:space="0" w:color="auto"/>
        <w:bottom w:val="none" w:sz="0" w:space="0" w:color="auto"/>
        <w:right w:val="none" w:sz="0" w:space="0" w:color="auto"/>
      </w:divBdr>
    </w:div>
    <w:div w:id="1586380716">
      <w:marLeft w:val="0"/>
      <w:marRight w:val="0"/>
      <w:marTop w:val="0"/>
      <w:marBottom w:val="0"/>
      <w:divBdr>
        <w:top w:val="none" w:sz="0" w:space="0" w:color="auto"/>
        <w:left w:val="none" w:sz="0" w:space="0" w:color="auto"/>
        <w:bottom w:val="none" w:sz="0" w:space="0" w:color="auto"/>
        <w:right w:val="none" w:sz="0" w:space="0" w:color="auto"/>
      </w:divBdr>
    </w:div>
    <w:div w:id="1665040132">
      <w:marLeft w:val="0"/>
      <w:marRight w:val="0"/>
      <w:marTop w:val="0"/>
      <w:marBottom w:val="0"/>
      <w:divBdr>
        <w:top w:val="none" w:sz="0" w:space="0" w:color="auto"/>
        <w:left w:val="none" w:sz="0" w:space="0" w:color="auto"/>
        <w:bottom w:val="none" w:sz="0" w:space="0" w:color="auto"/>
        <w:right w:val="none" w:sz="0" w:space="0" w:color="auto"/>
      </w:divBdr>
    </w:div>
    <w:div w:id="1795126633">
      <w:marLeft w:val="0"/>
      <w:marRight w:val="0"/>
      <w:marTop w:val="0"/>
      <w:marBottom w:val="0"/>
      <w:divBdr>
        <w:top w:val="none" w:sz="0" w:space="0" w:color="auto"/>
        <w:left w:val="none" w:sz="0" w:space="0" w:color="auto"/>
        <w:bottom w:val="none" w:sz="0" w:space="0" w:color="auto"/>
        <w:right w:val="none" w:sz="0" w:space="0" w:color="auto"/>
      </w:divBdr>
    </w:div>
    <w:div w:id="195666977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rotectedplanet.net/" TargetMode="External"/><Relationship Id="rId5" Type="http://schemas.openxmlformats.org/officeDocument/2006/relationships/hyperlink" Target="https://tools.bgci.org/plant_search.php" TargetMode="External"/><Relationship Id="rId4" Type="http://schemas.openxmlformats.org/officeDocument/2006/relationships/image" Target="file:///C:\Users\utsav\Downloads\redListLog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1550</Words>
  <Characters>8836</Characters>
  <Application>Microsoft Office Word</Application>
  <DocSecurity>0</DocSecurity>
  <Lines>73</Lines>
  <Paragraphs>20</Paragraphs>
  <ScaleCrop>false</ScaleCrop>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Myrcia neosmithii</dc:title>
  <dc:subject/>
  <dc:creator>Tandon, Utsav</dc:creator>
  <cp:keywords/>
  <dc:description/>
  <cp:lastModifiedBy>Tandon, Utsav</cp:lastModifiedBy>
  <cp:revision>2</cp:revision>
  <dcterms:created xsi:type="dcterms:W3CDTF">2026-04-06T20:52:00Z</dcterms:created>
  <dcterms:modified xsi:type="dcterms:W3CDTF">2026-04-06T20:52:00Z</dcterms:modified>
</cp:coreProperties>
</file>