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C1A" w:rsidRPr="00626361" w:rsidRDefault="00626361" w:rsidP="00626361">
      <w:pPr>
        <w:jc w:val="center"/>
        <w:rPr>
          <w:sz w:val="32"/>
        </w:rPr>
      </w:pPr>
      <w:r w:rsidRPr="00626361">
        <w:rPr>
          <w:sz w:val="32"/>
        </w:rPr>
        <w:t>Oil Quality Bank</w:t>
      </w:r>
    </w:p>
    <w:p w:rsidR="00E16018" w:rsidRDefault="00E16018"/>
    <w:p w:rsidR="007E77B7" w:rsidRDefault="00760F02" w:rsidP="00E16018">
      <w:pPr>
        <w:jc w:val="both"/>
        <w:rPr>
          <w:b w:val="0"/>
        </w:rPr>
      </w:pPr>
      <w:r>
        <w:rPr>
          <w:b w:val="0"/>
        </w:rPr>
        <w:t xml:space="preserve">The Trans-Alaska Pipeline System carries crude oil from </w:t>
      </w:r>
      <w:smartTag w:uri="urn:schemas-microsoft-com:office:smarttags" w:element="place">
        <w:r>
          <w:rPr>
            <w:b w:val="0"/>
          </w:rPr>
          <w:t>Prudhoe Bay</w:t>
        </w:r>
      </w:smartTag>
      <w:r>
        <w:rPr>
          <w:b w:val="0"/>
        </w:rPr>
        <w:t xml:space="preserve"> on </w:t>
      </w:r>
      <w:smartTag w:uri="urn:schemas-microsoft-com:office:smarttags" w:element="State">
        <w:smartTag w:uri="urn:schemas-microsoft-com:office:smarttags" w:element="place">
          <w:r>
            <w:rPr>
              <w:b w:val="0"/>
            </w:rPr>
            <w:t>Alaska</w:t>
          </w:r>
        </w:smartTag>
      </w:smartTag>
      <w:r>
        <w:rPr>
          <w:b w:val="0"/>
        </w:rPr>
        <w:t xml:space="preserve">’s </w:t>
      </w:r>
      <w:smartTag w:uri="urn:schemas-microsoft-com:office:smarttags" w:element="place">
        <w:r>
          <w:rPr>
            <w:b w:val="0"/>
          </w:rPr>
          <w:t>North Slope</w:t>
        </w:r>
      </w:smartTag>
      <w:r>
        <w:rPr>
          <w:b w:val="0"/>
        </w:rPr>
        <w:t xml:space="preserve"> 800 miles to the </w:t>
      </w:r>
      <w:smartTag w:uri="urn:schemas-microsoft-com:office:smarttags" w:element="place">
        <w:smartTag w:uri="urn:schemas-microsoft-com:office:smarttags" w:element="PlaceType">
          <w:r>
            <w:rPr>
              <w:b w:val="0"/>
            </w:rPr>
            <w:t>port</w:t>
          </w:r>
        </w:smartTag>
        <w:r>
          <w:rPr>
            <w:b w:val="0"/>
          </w:rPr>
          <w:t xml:space="preserve"> of </w:t>
        </w:r>
        <w:smartTag w:uri="urn:schemas-microsoft-com:office:smarttags" w:element="PlaceName">
          <w:r>
            <w:rPr>
              <w:b w:val="0"/>
            </w:rPr>
            <w:t>Valdez</w:t>
          </w:r>
        </w:smartTag>
      </w:smartTag>
      <w:r>
        <w:rPr>
          <w:b w:val="0"/>
        </w:rPr>
        <w:t xml:space="preserve">, on the southern coast of </w:t>
      </w:r>
      <w:smartTag w:uri="urn:schemas-microsoft-com:office:smarttags" w:element="State">
        <w:smartTag w:uri="urn:schemas-microsoft-com:office:smarttags" w:element="place">
          <w:r>
            <w:rPr>
              <w:b w:val="0"/>
            </w:rPr>
            <w:t>Alaska</w:t>
          </w:r>
        </w:smartTag>
      </w:smartTag>
      <w:r>
        <w:rPr>
          <w:b w:val="0"/>
        </w:rPr>
        <w:t xml:space="preserve">. The pipeline carries a mixture of different qualities of oil. Quality of oil is measured in API gravity degrees – the higher the degrees APT, the higher the quality. Because the pipeline mixed oils of different degrees, shippers in </w:t>
      </w:r>
      <w:smartTag w:uri="urn:schemas-microsoft-com:office:smarttags" w:element="City">
        <w:smartTag w:uri="urn:schemas-microsoft-com:office:smarttags" w:element="place">
          <w:r>
            <w:rPr>
              <w:b w:val="0"/>
            </w:rPr>
            <w:t>Valdez</w:t>
          </w:r>
        </w:smartTag>
      </w:smartTag>
      <w:r>
        <w:rPr>
          <w:b w:val="0"/>
        </w:rPr>
        <w:t xml:space="preserve"> receive oil of different quality than they purchased. To compensate shippers, a “Quality Bank” was established.  </w:t>
      </w:r>
      <w:r w:rsidR="00743833">
        <w:rPr>
          <w:b w:val="0"/>
        </w:rPr>
        <w:t xml:space="preserve">The owners of the pipeline proposed compensating shippers 15 cents per barrel for every degree below the level to which the shippers agreed. However, a refinery near </w:t>
      </w:r>
      <w:smartTag w:uri="urn:schemas-microsoft-com:office:smarttags" w:element="City">
        <w:smartTag w:uri="urn:schemas-microsoft-com:office:smarttags" w:element="place">
          <w:r w:rsidR="00743833">
            <w:rPr>
              <w:b w:val="0"/>
            </w:rPr>
            <w:t>Fairbanks</w:t>
          </w:r>
        </w:smartTag>
      </w:smartTag>
      <w:r w:rsidR="00743833">
        <w:rPr>
          <w:b w:val="0"/>
        </w:rPr>
        <w:t xml:space="preserve">, which receives 26-degree oil and mixes it with 20-degree oil, objected to the proposal. It suggested a 3.09 – to 5.35-cent differential. Because oil carriers are required to establish “just and reasonable” rates, a hearing before an administrative law judge was held. At the hearing, an expert hired by the shippers produced the accompanying table to show the relationship between quality and price per barrel of </w:t>
      </w:r>
      <w:smartTag w:uri="urn:schemas-microsoft-com:office:smarttags" w:element="place">
        <w:r w:rsidR="00743833">
          <w:rPr>
            <w:b w:val="0"/>
          </w:rPr>
          <w:t>Mideast</w:t>
        </w:r>
      </w:smartTag>
      <w:r w:rsidR="00743833">
        <w:rPr>
          <w:b w:val="0"/>
        </w:rPr>
        <w:t xml:space="preserve"> oil. Draw the least squares line to determine the appropriate compensation. (Source: M.O. Finkelstein and B. Levin, </w:t>
      </w:r>
      <w:r w:rsidR="00743833" w:rsidRPr="00B71FA2">
        <w:rPr>
          <w:i/>
        </w:rPr>
        <w:t>Statistics for Lawyer</w:t>
      </w:r>
      <w:r w:rsidR="00B71FA2" w:rsidRPr="00B71FA2">
        <w:rPr>
          <w:i/>
        </w:rPr>
        <w:t>s</w:t>
      </w:r>
      <w:r w:rsidR="00743833">
        <w:rPr>
          <w:b w:val="0"/>
        </w:rPr>
        <w:t>. Springer-Verlag, 1990, 338-339)</w:t>
      </w:r>
    </w:p>
    <w:p w:rsidR="00743833" w:rsidRDefault="00743833">
      <w:pPr>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92"/>
        <w:gridCol w:w="792"/>
        <w:gridCol w:w="792"/>
        <w:gridCol w:w="792"/>
        <w:gridCol w:w="792"/>
        <w:gridCol w:w="792"/>
        <w:gridCol w:w="792"/>
      </w:tblGrid>
      <w:tr w:rsidR="00743833">
        <w:tc>
          <w:tcPr>
            <w:tcW w:w="5544" w:type="dxa"/>
            <w:gridSpan w:val="7"/>
            <w:vAlign w:val="center"/>
          </w:tcPr>
          <w:p w:rsidR="00743833" w:rsidRPr="00743833" w:rsidRDefault="00743833" w:rsidP="007B0765">
            <w:pPr>
              <w:rPr>
                <w:b w:val="0"/>
                <w:u w:val="single"/>
              </w:rPr>
            </w:pPr>
            <w:smartTag w:uri="urn:schemas-microsoft-com:office:smarttags" w:element="place">
              <w:r w:rsidRPr="00743833">
                <w:rPr>
                  <w:b w:val="0"/>
                  <w:u w:val="single"/>
                </w:rPr>
                <w:t>Mideast</w:t>
              </w:r>
            </w:smartTag>
            <w:r w:rsidRPr="00743833">
              <w:rPr>
                <w:b w:val="0"/>
                <w:u w:val="single"/>
              </w:rPr>
              <w:t xml:space="preserve"> Oil Degrees API</w:t>
            </w:r>
          </w:p>
        </w:tc>
      </w:tr>
      <w:tr w:rsidR="00743833">
        <w:tc>
          <w:tcPr>
            <w:tcW w:w="792" w:type="dxa"/>
            <w:vAlign w:val="center"/>
          </w:tcPr>
          <w:p w:rsidR="00743833" w:rsidRDefault="00743833" w:rsidP="007B0765">
            <w:pPr>
              <w:rPr>
                <w:b w:val="0"/>
              </w:rPr>
            </w:pPr>
            <w:r>
              <w:rPr>
                <w:b w:val="0"/>
              </w:rPr>
              <w:t>27.0</w:t>
            </w:r>
          </w:p>
        </w:tc>
        <w:tc>
          <w:tcPr>
            <w:tcW w:w="792" w:type="dxa"/>
            <w:vAlign w:val="center"/>
          </w:tcPr>
          <w:p w:rsidR="00743833" w:rsidRDefault="00743833" w:rsidP="007B0765">
            <w:pPr>
              <w:rPr>
                <w:b w:val="0"/>
              </w:rPr>
            </w:pPr>
            <w:r>
              <w:rPr>
                <w:b w:val="0"/>
              </w:rPr>
              <w:t>28.5</w:t>
            </w:r>
          </w:p>
        </w:tc>
        <w:tc>
          <w:tcPr>
            <w:tcW w:w="792" w:type="dxa"/>
            <w:vAlign w:val="center"/>
          </w:tcPr>
          <w:p w:rsidR="00743833" w:rsidRDefault="00743833" w:rsidP="007B0765">
            <w:pPr>
              <w:rPr>
                <w:b w:val="0"/>
              </w:rPr>
            </w:pPr>
            <w:r>
              <w:rPr>
                <w:b w:val="0"/>
              </w:rPr>
              <w:t>30.8</w:t>
            </w:r>
          </w:p>
        </w:tc>
        <w:tc>
          <w:tcPr>
            <w:tcW w:w="792" w:type="dxa"/>
            <w:vAlign w:val="center"/>
          </w:tcPr>
          <w:p w:rsidR="00743833" w:rsidRDefault="00743833" w:rsidP="007B0765">
            <w:pPr>
              <w:rPr>
                <w:b w:val="0"/>
              </w:rPr>
            </w:pPr>
            <w:r>
              <w:rPr>
                <w:b w:val="0"/>
              </w:rPr>
              <w:t>31.3</w:t>
            </w:r>
          </w:p>
        </w:tc>
        <w:tc>
          <w:tcPr>
            <w:tcW w:w="792" w:type="dxa"/>
            <w:vAlign w:val="center"/>
          </w:tcPr>
          <w:p w:rsidR="00743833" w:rsidRDefault="00743833" w:rsidP="007B0765">
            <w:pPr>
              <w:rPr>
                <w:b w:val="0"/>
              </w:rPr>
            </w:pPr>
            <w:r>
              <w:rPr>
                <w:b w:val="0"/>
              </w:rPr>
              <w:t>31.9</w:t>
            </w:r>
          </w:p>
        </w:tc>
        <w:tc>
          <w:tcPr>
            <w:tcW w:w="792" w:type="dxa"/>
            <w:vAlign w:val="center"/>
          </w:tcPr>
          <w:p w:rsidR="00743833" w:rsidRDefault="00743833" w:rsidP="007B0765">
            <w:pPr>
              <w:rPr>
                <w:b w:val="0"/>
              </w:rPr>
            </w:pPr>
            <w:r>
              <w:rPr>
                <w:b w:val="0"/>
              </w:rPr>
              <w:t>34.5</w:t>
            </w:r>
          </w:p>
        </w:tc>
        <w:tc>
          <w:tcPr>
            <w:tcW w:w="792" w:type="dxa"/>
            <w:vAlign w:val="center"/>
          </w:tcPr>
          <w:p w:rsidR="00743833" w:rsidRDefault="00743833" w:rsidP="007B0765">
            <w:pPr>
              <w:rPr>
                <w:b w:val="0"/>
              </w:rPr>
            </w:pPr>
            <w:r>
              <w:rPr>
                <w:b w:val="0"/>
              </w:rPr>
              <w:t>34.0</w:t>
            </w:r>
          </w:p>
        </w:tc>
      </w:tr>
      <w:tr w:rsidR="007B0765">
        <w:tc>
          <w:tcPr>
            <w:tcW w:w="792" w:type="dxa"/>
            <w:vAlign w:val="center"/>
          </w:tcPr>
          <w:p w:rsidR="007B0765" w:rsidRDefault="007B0765" w:rsidP="007B0765">
            <w:pPr>
              <w:rPr>
                <w:b w:val="0"/>
              </w:rPr>
            </w:pPr>
            <w:r>
              <w:rPr>
                <w:b w:val="0"/>
              </w:rPr>
              <w:t>34.7</w:t>
            </w:r>
          </w:p>
        </w:tc>
        <w:tc>
          <w:tcPr>
            <w:tcW w:w="792" w:type="dxa"/>
            <w:vAlign w:val="center"/>
          </w:tcPr>
          <w:p w:rsidR="007B0765" w:rsidRDefault="007B0765" w:rsidP="007B0765">
            <w:pPr>
              <w:rPr>
                <w:b w:val="0"/>
              </w:rPr>
            </w:pPr>
            <w:r>
              <w:rPr>
                <w:b w:val="0"/>
              </w:rPr>
              <w:t>37.0</w:t>
            </w:r>
          </w:p>
        </w:tc>
        <w:tc>
          <w:tcPr>
            <w:tcW w:w="792" w:type="dxa"/>
            <w:vAlign w:val="center"/>
          </w:tcPr>
          <w:p w:rsidR="007B0765" w:rsidRDefault="007B0765" w:rsidP="007B0765">
            <w:pPr>
              <w:rPr>
                <w:b w:val="0"/>
              </w:rPr>
            </w:pPr>
            <w:r>
              <w:rPr>
                <w:b w:val="0"/>
              </w:rPr>
              <w:t>41.1</w:t>
            </w:r>
          </w:p>
        </w:tc>
        <w:tc>
          <w:tcPr>
            <w:tcW w:w="792" w:type="dxa"/>
            <w:vAlign w:val="center"/>
          </w:tcPr>
          <w:p w:rsidR="007B0765" w:rsidRDefault="007B0765" w:rsidP="007B0765">
            <w:pPr>
              <w:rPr>
                <w:b w:val="0"/>
              </w:rPr>
            </w:pPr>
            <w:r>
              <w:rPr>
                <w:b w:val="0"/>
              </w:rPr>
              <w:t>41.0</w:t>
            </w:r>
          </w:p>
        </w:tc>
        <w:tc>
          <w:tcPr>
            <w:tcW w:w="792" w:type="dxa"/>
            <w:vAlign w:val="center"/>
          </w:tcPr>
          <w:p w:rsidR="007B0765" w:rsidRDefault="007B0765" w:rsidP="007B0765">
            <w:pPr>
              <w:rPr>
                <w:b w:val="0"/>
              </w:rPr>
            </w:pPr>
            <w:r>
              <w:rPr>
                <w:b w:val="0"/>
              </w:rPr>
              <w:t>38.8</w:t>
            </w:r>
          </w:p>
        </w:tc>
        <w:tc>
          <w:tcPr>
            <w:tcW w:w="792" w:type="dxa"/>
            <w:vAlign w:val="center"/>
          </w:tcPr>
          <w:p w:rsidR="007B0765" w:rsidRDefault="007B0765" w:rsidP="007B0765">
            <w:pPr>
              <w:rPr>
                <w:b w:val="0"/>
              </w:rPr>
            </w:pPr>
            <w:r>
              <w:rPr>
                <w:b w:val="0"/>
              </w:rPr>
              <w:t>39.3</w:t>
            </w:r>
          </w:p>
        </w:tc>
        <w:tc>
          <w:tcPr>
            <w:tcW w:w="792" w:type="dxa"/>
            <w:vAlign w:val="center"/>
          </w:tcPr>
          <w:p w:rsidR="007B0765" w:rsidRDefault="007B0765" w:rsidP="007B0765">
            <w:pPr>
              <w:rPr>
                <w:b w:val="0"/>
              </w:rPr>
            </w:pPr>
          </w:p>
        </w:tc>
      </w:tr>
    </w:tbl>
    <w:p w:rsidR="00743833" w:rsidRDefault="00743833">
      <w:pPr>
        <w:rPr>
          <w:b w:val="0"/>
        </w:rPr>
      </w:pPr>
    </w:p>
    <w:p w:rsidR="00186CEF" w:rsidRDefault="00186CEF">
      <w:pPr>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92"/>
        <w:gridCol w:w="792"/>
        <w:gridCol w:w="792"/>
        <w:gridCol w:w="792"/>
        <w:gridCol w:w="792"/>
        <w:gridCol w:w="792"/>
        <w:gridCol w:w="792"/>
      </w:tblGrid>
      <w:tr w:rsidR="007161D0">
        <w:tc>
          <w:tcPr>
            <w:tcW w:w="5544" w:type="dxa"/>
            <w:gridSpan w:val="7"/>
            <w:vAlign w:val="center"/>
          </w:tcPr>
          <w:p w:rsidR="007161D0" w:rsidRPr="00743833" w:rsidRDefault="007161D0" w:rsidP="007B0765">
            <w:pPr>
              <w:rPr>
                <w:b w:val="0"/>
                <w:u w:val="single"/>
              </w:rPr>
            </w:pPr>
            <w:r>
              <w:rPr>
                <w:b w:val="0"/>
                <w:u w:val="single"/>
              </w:rPr>
              <w:t xml:space="preserve">Price </w:t>
            </w:r>
          </w:p>
        </w:tc>
      </w:tr>
      <w:tr w:rsidR="007161D0">
        <w:tc>
          <w:tcPr>
            <w:tcW w:w="792" w:type="dxa"/>
            <w:vAlign w:val="center"/>
          </w:tcPr>
          <w:p w:rsidR="007161D0" w:rsidRDefault="007161D0" w:rsidP="007B0765">
            <w:pPr>
              <w:rPr>
                <w:b w:val="0"/>
              </w:rPr>
            </w:pPr>
            <w:r>
              <w:rPr>
                <w:b w:val="0"/>
              </w:rPr>
              <w:t>12.02</w:t>
            </w:r>
          </w:p>
        </w:tc>
        <w:tc>
          <w:tcPr>
            <w:tcW w:w="792" w:type="dxa"/>
            <w:vAlign w:val="center"/>
          </w:tcPr>
          <w:p w:rsidR="007161D0" w:rsidRDefault="007161D0" w:rsidP="007B0765">
            <w:pPr>
              <w:rPr>
                <w:b w:val="0"/>
              </w:rPr>
            </w:pPr>
            <w:r>
              <w:rPr>
                <w:b w:val="0"/>
              </w:rPr>
              <w:t>12.04</w:t>
            </w:r>
          </w:p>
        </w:tc>
        <w:tc>
          <w:tcPr>
            <w:tcW w:w="792" w:type="dxa"/>
            <w:vAlign w:val="center"/>
          </w:tcPr>
          <w:p w:rsidR="007161D0" w:rsidRDefault="007161D0" w:rsidP="007B0765">
            <w:pPr>
              <w:rPr>
                <w:b w:val="0"/>
              </w:rPr>
            </w:pPr>
            <w:r>
              <w:rPr>
                <w:b w:val="0"/>
              </w:rPr>
              <w:t>12.32</w:t>
            </w:r>
          </w:p>
        </w:tc>
        <w:tc>
          <w:tcPr>
            <w:tcW w:w="792" w:type="dxa"/>
            <w:vAlign w:val="center"/>
          </w:tcPr>
          <w:p w:rsidR="007161D0" w:rsidRDefault="007161D0" w:rsidP="007B0765">
            <w:pPr>
              <w:rPr>
                <w:b w:val="0"/>
              </w:rPr>
            </w:pPr>
            <w:r>
              <w:rPr>
                <w:b w:val="0"/>
              </w:rPr>
              <w:t>12.27</w:t>
            </w:r>
          </w:p>
        </w:tc>
        <w:tc>
          <w:tcPr>
            <w:tcW w:w="792" w:type="dxa"/>
            <w:vAlign w:val="center"/>
          </w:tcPr>
          <w:p w:rsidR="007161D0" w:rsidRDefault="007161D0" w:rsidP="007B0765">
            <w:pPr>
              <w:rPr>
                <w:b w:val="0"/>
              </w:rPr>
            </w:pPr>
            <w:r>
              <w:rPr>
                <w:b w:val="0"/>
              </w:rPr>
              <w:t>12.49</w:t>
            </w:r>
          </w:p>
        </w:tc>
        <w:tc>
          <w:tcPr>
            <w:tcW w:w="792" w:type="dxa"/>
            <w:vAlign w:val="center"/>
          </w:tcPr>
          <w:p w:rsidR="007161D0" w:rsidRDefault="007161D0" w:rsidP="007B0765">
            <w:pPr>
              <w:rPr>
                <w:b w:val="0"/>
              </w:rPr>
            </w:pPr>
            <w:r>
              <w:rPr>
                <w:b w:val="0"/>
              </w:rPr>
              <w:t>12.70</w:t>
            </w:r>
          </w:p>
        </w:tc>
        <w:tc>
          <w:tcPr>
            <w:tcW w:w="792" w:type="dxa"/>
            <w:vAlign w:val="center"/>
          </w:tcPr>
          <w:p w:rsidR="007161D0" w:rsidRDefault="007161D0" w:rsidP="007B0765">
            <w:pPr>
              <w:rPr>
                <w:b w:val="0"/>
              </w:rPr>
            </w:pPr>
            <w:r>
              <w:rPr>
                <w:b w:val="0"/>
              </w:rPr>
              <w:t>12.80</w:t>
            </w:r>
          </w:p>
        </w:tc>
      </w:tr>
      <w:tr w:rsidR="007161D0">
        <w:tc>
          <w:tcPr>
            <w:tcW w:w="792" w:type="dxa"/>
            <w:vAlign w:val="center"/>
          </w:tcPr>
          <w:p w:rsidR="007161D0" w:rsidRDefault="007B0765" w:rsidP="007B0765">
            <w:pPr>
              <w:rPr>
                <w:b w:val="0"/>
              </w:rPr>
            </w:pPr>
            <w:r>
              <w:rPr>
                <w:b w:val="0"/>
              </w:rPr>
              <w:t>13.00</w:t>
            </w:r>
          </w:p>
        </w:tc>
        <w:tc>
          <w:tcPr>
            <w:tcW w:w="792" w:type="dxa"/>
            <w:vAlign w:val="center"/>
          </w:tcPr>
          <w:p w:rsidR="007161D0" w:rsidRDefault="007B0765" w:rsidP="007B0765">
            <w:pPr>
              <w:rPr>
                <w:b w:val="0"/>
              </w:rPr>
            </w:pPr>
            <w:r>
              <w:rPr>
                <w:b w:val="0"/>
              </w:rPr>
              <w:t>13.00</w:t>
            </w:r>
          </w:p>
        </w:tc>
        <w:tc>
          <w:tcPr>
            <w:tcW w:w="792" w:type="dxa"/>
            <w:vAlign w:val="center"/>
          </w:tcPr>
          <w:p w:rsidR="007161D0" w:rsidRDefault="007B0765" w:rsidP="007B0765">
            <w:pPr>
              <w:rPr>
                <w:b w:val="0"/>
              </w:rPr>
            </w:pPr>
            <w:r>
              <w:rPr>
                <w:b w:val="0"/>
              </w:rPr>
              <w:t>13.17</w:t>
            </w:r>
          </w:p>
        </w:tc>
        <w:tc>
          <w:tcPr>
            <w:tcW w:w="792" w:type="dxa"/>
            <w:vAlign w:val="center"/>
          </w:tcPr>
          <w:p w:rsidR="007161D0" w:rsidRDefault="007B0765" w:rsidP="007B0765">
            <w:pPr>
              <w:rPr>
                <w:b w:val="0"/>
              </w:rPr>
            </w:pPr>
            <w:r>
              <w:rPr>
                <w:b w:val="0"/>
              </w:rPr>
              <w:t>13.19</w:t>
            </w:r>
          </w:p>
        </w:tc>
        <w:tc>
          <w:tcPr>
            <w:tcW w:w="792" w:type="dxa"/>
            <w:vAlign w:val="center"/>
          </w:tcPr>
          <w:p w:rsidR="007161D0" w:rsidRDefault="007B0765" w:rsidP="007B0765">
            <w:pPr>
              <w:rPr>
                <w:b w:val="0"/>
              </w:rPr>
            </w:pPr>
            <w:r>
              <w:rPr>
                <w:b w:val="0"/>
              </w:rPr>
              <w:t>13.22</w:t>
            </w:r>
          </w:p>
        </w:tc>
        <w:tc>
          <w:tcPr>
            <w:tcW w:w="792" w:type="dxa"/>
            <w:vAlign w:val="center"/>
          </w:tcPr>
          <w:p w:rsidR="007161D0" w:rsidRDefault="007B0765" w:rsidP="007B0765">
            <w:pPr>
              <w:rPr>
                <w:b w:val="0"/>
              </w:rPr>
            </w:pPr>
            <w:r>
              <w:rPr>
                <w:b w:val="0"/>
              </w:rPr>
              <w:t>13.27</w:t>
            </w:r>
          </w:p>
        </w:tc>
        <w:tc>
          <w:tcPr>
            <w:tcW w:w="792" w:type="dxa"/>
            <w:vAlign w:val="center"/>
          </w:tcPr>
          <w:p w:rsidR="007161D0" w:rsidRDefault="007161D0" w:rsidP="007B0765">
            <w:pPr>
              <w:rPr>
                <w:b w:val="0"/>
              </w:rPr>
            </w:pPr>
          </w:p>
        </w:tc>
      </w:tr>
    </w:tbl>
    <w:p w:rsidR="00FB1C01" w:rsidRDefault="00FB1C01" w:rsidP="00FB1C01">
      <w:pPr>
        <w:rPr>
          <w:b w:val="0"/>
        </w:rPr>
      </w:pPr>
    </w:p>
    <w:p w:rsidR="00533DF6" w:rsidRPr="00760F02" w:rsidRDefault="007A5AA8" w:rsidP="007A5AA8">
      <w:r w:rsidRPr="00760F02">
        <w:t xml:space="preserve"> </w:t>
      </w:r>
    </w:p>
    <w:sectPr w:rsidR="00533DF6" w:rsidRPr="00760F02" w:rsidSect="009D42B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useFELayout/>
  </w:compat>
  <w:rsids>
    <w:rsidRoot w:val="00A11C9C"/>
    <w:rsid w:val="00061EA9"/>
    <w:rsid w:val="0007506C"/>
    <w:rsid w:val="000926D6"/>
    <w:rsid w:val="000B6250"/>
    <w:rsid w:val="000F79DE"/>
    <w:rsid w:val="00133F00"/>
    <w:rsid w:val="001805FC"/>
    <w:rsid w:val="00186CEF"/>
    <w:rsid w:val="00197804"/>
    <w:rsid w:val="001E6AAF"/>
    <w:rsid w:val="0023582C"/>
    <w:rsid w:val="00264AB7"/>
    <w:rsid w:val="003151E7"/>
    <w:rsid w:val="00343066"/>
    <w:rsid w:val="003839E2"/>
    <w:rsid w:val="003C54AA"/>
    <w:rsid w:val="003C6233"/>
    <w:rsid w:val="003D044F"/>
    <w:rsid w:val="003F225A"/>
    <w:rsid w:val="00400C49"/>
    <w:rsid w:val="00422730"/>
    <w:rsid w:val="00467C8C"/>
    <w:rsid w:val="00521AFD"/>
    <w:rsid w:val="00533DF6"/>
    <w:rsid w:val="00571A2D"/>
    <w:rsid w:val="005942E8"/>
    <w:rsid w:val="005A00BC"/>
    <w:rsid w:val="005C0F47"/>
    <w:rsid w:val="005D3F9F"/>
    <w:rsid w:val="005E5E5E"/>
    <w:rsid w:val="005F31AF"/>
    <w:rsid w:val="00626361"/>
    <w:rsid w:val="00634C97"/>
    <w:rsid w:val="006519FD"/>
    <w:rsid w:val="006657EE"/>
    <w:rsid w:val="00670E9A"/>
    <w:rsid w:val="006D39CC"/>
    <w:rsid w:val="006E5B26"/>
    <w:rsid w:val="006F5D6F"/>
    <w:rsid w:val="007052DA"/>
    <w:rsid w:val="007161D0"/>
    <w:rsid w:val="00723814"/>
    <w:rsid w:val="00743833"/>
    <w:rsid w:val="00755E8B"/>
    <w:rsid w:val="00760F02"/>
    <w:rsid w:val="00766C1A"/>
    <w:rsid w:val="00777F39"/>
    <w:rsid w:val="00797927"/>
    <w:rsid w:val="007A5AA8"/>
    <w:rsid w:val="007B0765"/>
    <w:rsid w:val="007C6B22"/>
    <w:rsid w:val="007E77B7"/>
    <w:rsid w:val="007F4EBF"/>
    <w:rsid w:val="007F4FF9"/>
    <w:rsid w:val="008240EC"/>
    <w:rsid w:val="00824EF4"/>
    <w:rsid w:val="00832E8E"/>
    <w:rsid w:val="008376E3"/>
    <w:rsid w:val="0084738C"/>
    <w:rsid w:val="00852B93"/>
    <w:rsid w:val="00877D0A"/>
    <w:rsid w:val="008A2B27"/>
    <w:rsid w:val="008D36E8"/>
    <w:rsid w:val="008F2E74"/>
    <w:rsid w:val="00904D1C"/>
    <w:rsid w:val="00935FA8"/>
    <w:rsid w:val="00941DCF"/>
    <w:rsid w:val="009555DA"/>
    <w:rsid w:val="0097699B"/>
    <w:rsid w:val="0098623F"/>
    <w:rsid w:val="009D42B5"/>
    <w:rsid w:val="009F7BC2"/>
    <w:rsid w:val="00A062AE"/>
    <w:rsid w:val="00A07C54"/>
    <w:rsid w:val="00A11C9C"/>
    <w:rsid w:val="00A43349"/>
    <w:rsid w:val="00A5154F"/>
    <w:rsid w:val="00A82A39"/>
    <w:rsid w:val="00A9250A"/>
    <w:rsid w:val="00A96299"/>
    <w:rsid w:val="00AB1EB8"/>
    <w:rsid w:val="00B4295E"/>
    <w:rsid w:val="00B67079"/>
    <w:rsid w:val="00B71A33"/>
    <w:rsid w:val="00B71FA2"/>
    <w:rsid w:val="00BC3EA5"/>
    <w:rsid w:val="00BE0206"/>
    <w:rsid w:val="00C22D77"/>
    <w:rsid w:val="00C41A54"/>
    <w:rsid w:val="00C62622"/>
    <w:rsid w:val="00C80190"/>
    <w:rsid w:val="00CA6840"/>
    <w:rsid w:val="00CB65DA"/>
    <w:rsid w:val="00CC3A6B"/>
    <w:rsid w:val="00CC4725"/>
    <w:rsid w:val="00CC5167"/>
    <w:rsid w:val="00CE6F66"/>
    <w:rsid w:val="00D02EFD"/>
    <w:rsid w:val="00D2683F"/>
    <w:rsid w:val="00D3566E"/>
    <w:rsid w:val="00D37AC5"/>
    <w:rsid w:val="00DB53CA"/>
    <w:rsid w:val="00E13E01"/>
    <w:rsid w:val="00E16018"/>
    <w:rsid w:val="00E43B9E"/>
    <w:rsid w:val="00F1027E"/>
    <w:rsid w:val="00F43DFF"/>
    <w:rsid w:val="00F7223D"/>
    <w:rsid w:val="00FA2801"/>
    <w:rsid w:val="00FB1C01"/>
    <w:rsid w:val="00FC2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B5"/>
    <w:rPr>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38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4168213">
      <w:bodyDiv w:val="1"/>
      <w:marLeft w:val="0"/>
      <w:marRight w:val="0"/>
      <w:marTop w:val="0"/>
      <w:marBottom w:val="0"/>
      <w:divBdr>
        <w:top w:val="none" w:sz="0" w:space="0" w:color="auto"/>
        <w:left w:val="none" w:sz="0" w:space="0" w:color="auto"/>
        <w:bottom w:val="none" w:sz="0" w:space="0" w:color="auto"/>
        <w:right w:val="none" w:sz="0" w:space="0" w:color="auto"/>
      </w:divBdr>
    </w:div>
    <w:div w:id="3922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dc:creator>
  <cp:keywords/>
  <cp:lastModifiedBy>slinkman</cp:lastModifiedBy>
  <cp:revision>5</cp:revision>
  <cp:lastPrinted>2008-04-24T21:03:00Z</cp:lastPrinted>
  <dcterms:created xsi:type="dcterms:W3CDTF">2008-04-24T12:38:00Z</dcterms:created>
  <dcterms:modified xsi:type="dcterms:W3CDTF">2008-04-24T21:04:00Z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1360742642</vt:i4>
  </property>
  <property fmtid="{D5CDD505-2E9C-101B-9397-08002B2CF9AE}" pid="3" name="_EmailSubject">
    <vt:lpwstr>Material for next semester </vt:lpwstr>
  </property>
  <property fmtid="{D5CDD505-2E9C-101B-9397-08002B2CF9AE}" pid="4" name="_AuthorEmail">
    <vt:lpwstr>lulu.zhang@uta.edu</vt:lpwstr>
  </property>
  <property fmtid="{D5CDD505-2E9C-101B-9397-08002B2CF9AE}" pid="5" name="_AuthorEmailDisplayName">
    <vt:lpwstr>Lulu Zhang</vt:lpwstr>
  </property>
  <property fmtid="{D5CDD505-2E9C-101B-9397-08002B2CF9AE}" pid="6" name="_ReviewingToolsShownOnce">
    <vt:lpwstr/>
  </property>
</Properties>
</file>