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AD93" w14:textId="355FEA7B" w:rsidR="00367622" w:rsidRDefault="00687C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Serpentine Channel</w:t>
      </w:r>
    </w:p>
    <w:p w14:paraId="76E5C3D4" w14:textId="77777777" w:rsidR="00367622" w:rsidRDefault="00367622"/>
    <w:p w14:paraId="67969DA4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31722882" w14:textId="375760E4" w:rsidR="00367622" w:rsidRDefault="00687C7B" w:rsidP="00687C7B">
      <w:r>
        <w:t xml:space="preserve">Channel that doubles back on itself, composed of alternating </w:t>
      </w:r>
      <w:r w:rsidR="00140F2D">
        <w:t xml:space="preserve">long </w:t>
      </w:r>
      <w:r>
        <w:t xml:space="preserve">straight sections and </w:t>
      </w:r>
      <w:r w:rsidR="00140F2D">
        <w:t>shorter straight sections (intersects are 90 deg angles)</w:t>
      </w:r>
      <w:r>
        <w:t>.</w:t>
      </w:r>
    </w:p>
    <w:p w14:paraId="1D561F7A" w14:textId="77777777" w:rsidR="00687C7B" w:rsidRDefault="00687C7B" w:rsidP="00687C7B"/>
    <w:p w14:paraId="0388D055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Specs</w:t>
      </w:r>
    </w:p>
    <w:p w14:paraId="32ACFCD6" w14:textId="08AB806B" w:rsidR="00367622" w:rsidRDefault="00687C7B">
      <w:pPr>
        <w:rPr>
          <w:sz w:val="24"/>
          <w:szCs w:val="24"/>
        </w:rPr>
      </w:pPr>
      <w:r>
        <w:rPr>
          <w:sz w:val="24"/>
          <w:szCs w:val="24"/>
        </w:rPr>
        <w:t>Used for mixing</w:t>
      </w:r>
      <w:r w:rsidR="000A0237">
        <w:rPr>
          <w:sz w:val="24"/>
          <w:szCs w:val="24"/>
        </w:rPr>
        <w:t xml:space="preserve"> (change in flow profile on curved sections)</w:t>
      </w:r>
      <w:r>
        <w:rPr>
          <w:sz w:val="24"/>
          <w:szCs w:val="24"/>
        </w:rPr>
        <w:t xml:space="preserve"> </w:t>
      </w:r>
      <w:r w:rsidR="000A0237">
        <w:rPr>
          <w:sz w:val="24"/>
          <w:szCs w:val="24"/>
        </w:rPr>
        <w:t>and increased resistance (or length) within confined device footprints</w:t>
      </w:r>
    </w:p>
    <w:p w14:paraId="1C35CB51" w14:textId="77777777" w:rsidR="00687C7B" w:rsidRDefault="00687C7B">
      <w:pPr>
        <w:rPr>
          <w:sz w:val="24"/>
          <w:szCs w:val="24"/>
        </w:rPr>
      </w:pPr>
    </w:p>
    <w:p w14:paraId="316C5ACF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24E49277" w14:textId="48673E75" w:rsidR="00367622" w:rsidRDefault="000A0237">
      <w:pPr>
        <w:keepNext/>
      </w:pPr>
      <w:r>
        <w:rPr>
          <w:noProof/>
        </w:rPr>
        <w:drawing>
          <wp:inline distT="0" distB="0" distL="0" distR="0" wp14:anchorId="3BD3E067" wp14:editId="4A54AE5A">
            <wp:extent cx="3448050" cy="1276350"/>
            <wp:effectExtent l="0" t="0" r="0" b="0"/>
            <wp:docPr id="109258369" name="Picture 10925836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369" name="Picture 109258369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BD8" w14:textId="77777777" w:rsidR="00367622" w:rsidRDefault="00966DE4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:</w:t>
      </w:r>
      <w:r>
        <w:t xml:space="preserve"> Example mixer diagram</w:t>
      </w:r>
    </w:p>
    <w:p w14:paraId="1FFEDD0A" w14:textId="24EE5FA2" w:rsidR="005342D2" w:rsidRDefault="00966DE4" w:rsidP="005342D2">
      <w:commentRangeStart w:id="0"/>
      <w:commentRangeEnd w:id="0"/>
      <w:r>
        <w:commentReference w:id="0"/>
      </w:r>
      <w:r w:rsidR="005342D2" w:rsidRPr="005342D2">
        <w:t xml:space="preserve"> </w:t>
      </w:r>
      <w:commentRangeStart w:id="1"/>
      <w:r w:rsidR="005342D2">
        <w:t>in</w:t>
      </w:r>
      <w:commentRangeEnd w:id="1"/>
      <w:r w:rsidR="005342D2">
        <w:rPr>
          <w:rStyle w:val="CommentReference"/>
        </w:rPr>
        <w:commentReference w:id="1"/>
      </w:r>
      <w:r w:rsidR="005342D2">
        <w:t>({P} [type] fluid input, {V} [type] chemical input)</w:t>
      </w:r>
    </w:p>
    <w:p w14:paraId="0F7278F7" w14:textId="77777777" w:rsidR="005342D2" w:rsidRDefault="005342D2" w:rsidP="005342D2">
      <w:r>
        <w:t>out({P} [</w:t>
      </w:r>
      <w:bookmarkStart w:id="2" w:name="_Hlk85703273"/>
      <w:r>
        <w:t>type</w:t>
      </w:r>
      <w:bookmarkEnd w:id="2"/>
      <w:r>
        <w:t>] fluid output, {V} [type] chemical output)</w:t>
      </w:r>
    </w:p>
    <w:p w14:paraId="4979B9DF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5DDC8A7C" w14:textId="55DBFB9C" w:rsidR="00367622" w:rsidRDefault="00966DE4">
      <w:pPr>
        <w:rPr>
          <w:sz w:val="24"/>
          <w:szCs w:val="24"/>
        </w:rPr>
      </w:pPr>
      <w:r>
        <w:rPr>
          <w:sz w:val="24"/>
          <w:szCs w:val="24"/>
        </w:rPr>
        <w:t>Mixing, transport</w:t>
      </w:r>
      <w:r w:rsidR="00B86626">
        <w:rPr>
          <w:sz w:val="24"/>
          <w:szCs w:val="24"/>
        </w:rPr>
        <w:t>, delay line, variable resistence</w:t>
      </w:r>
    </w:p>
    <w:p w14:paraId="70B99527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parameters</w:t>
      </w:r>
    </w:p>
    <w:p w14:paraId="1A9BFEC5" w14:textId="459AFDCD" w:rsidR="00367622" w:rsidRDefault="000A0237">
      <w:r>
        <w:t xml:space="preserve">Channel cross section </w:t>
      </w:r>
      <w:r w:rsidR="00966DE4">
        <w:t>(w | width, h | height)</w:t>
      </w:r>
      <w:r w:rsidR="00D41580">
        <w:t xml:space="preserve"> </w:t>
      </w:r>
    </w:p>
    <w:p w14:paraId="11B5C7BD" w14:textId="15D3AB9E" w:rsidR="000A0237" w:rsidRDefault="000A0237">
      <w:r>
        <w:t>Serpentine footprint (L | footprint length, W | footprint width, n | number of bends)</w:t>
      </w:r>
    </w:p>
    <w:p w14:paraId="6A4A8CD0" w14:textId="4908E4EC" w:rsidR="000A0237" w:rsidRPr="000A0237" w:rsidRDefault="000A0237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326D9048" w14:textId="3D63C1A9" w:rsidR="000A0237" w:rsidRDefault="00140F2D">
      <w:r>
        <w:t>Longer</w:t>
      </w:r>
      <w:r w:rsidR="000A0237">
        <w:t xml:space="preserve"> channel</w:t>
      </w:r>
      <w:r>
        <w:t xml:space="preserve"> segments</w:t>
      </w:r>
      <w:r w:rsidR="000A0237">
        <w:t xml:space="preserve"> flow along the footprint length (L)</w:t>
      </w:r>
    </w:p>
    <w:p w14:paraId="71B8063C" w14:textId="4CDAB101" w:rsidR="000A0237" w:rsidRDefault="00140F2D">
      <w:r>
        <w:t>Longer channel segments are evenly spaced out</w:t>
      </w:r>
    </w:p>
    <w:p w14:paraId="43592C1C" w14:textId="77777777" w:rsidR="00954C43" w:rsidRDefault="00A560F8">
      <w:r>
        <w:t xml:space="preserve">The number of channels is equal to </w:t>
      </w:r>
      <w:r w:rsidR="00954C43">
        <w:t>the number of bends</w:t>
      </w:r>
    </w:p>
    <w:p w14:paraId="77C4D36C" w14:textId="75C631BC" w:rsidR="00A560F8" w:rsidRDefault="00954C43">
      <w:r>
        <w:lastRenderedPageBreak/>
        <w:t>In/out ports are at opposite corners of the footprint, one port will be at a long channel, one port will be at a short channel</w:t>
      </w:r>
    </w:p>
    <w:p w14:paraId="4E182376" w14:textId="77777777" w:rsidR="00367622" w:rsidRDefault="00367622"/>
    <w:p w14:paraId="0F154B19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Virtuoso Description</w:t>
      </w:r>
    </w:p>
    <w:p w14:paraId="3EEEC0C5" w14:textId="77777777" w:rsidR="00367622" w:rsidRDefault="00966DE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66125E" w14:textId="77777777" w:rsidR="00367622" w:rsidRDefault="00966DE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2EDB80F5" w14:textId="77777777" w:rsidR="00367622" w:rsidRDefault="00966DE4">
      <w:pPr>
        <w:rPr>
          <w:sz w:val="24"/>
          <w:szCs w:val="24"/>
        </w:rPr>
      </w:pPr>
      <w:r>
        <w:rPr>
          <w:sz w:val="24"/>
          <w:szCs w:val="24"/>
        </w:rPr>
        <w:t xml:space="preserve">Information such as API and other important information that is useful for the </w:t>
      </w:r>
      <w:r>
        <w:rPr>
          <w:sz w:val="24"/>
          <w:szCs w:val="24"/>
        </w:rPr>
        <w:t>user or an engineer trying to implement the module</w:t>
      </w:r>
    </w:p>
    <w:p w14:paraId="35EF048E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2D8E955A" w14:textId="77777777" w:rsidR="00367622" w:rsidRDefault="00966DE4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</w:t>
      </w:r>
      <w:r>
        <w:rPr>
          <w:sz w:val="24"/>
          <w:szCs w:val="24"/>
        </w:rPr>
        <w:t>he part, and special post processing steps that need to be done.</w:t>
      </w:r>
    </w:p>
    <w:p w14:paraId="52046866" w14:textId="77777777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0E25EE92" w14:textId="7230495B" w:rsidR="00367622" w:rsidRDefault="00966DE4">
      <w:pPr>
        <w:rPr>
          <w:sz w:val="24"/>
          <w:szCs w:val="24"/>
        </w:rPr>
      </w:pPr>
      <w:r>
        <w:rPr>
          <w:sz w:val="24"/>
          <w:szCs w:val="24"/>
        </w:rPr>
        <w:t>This will be the complete mathematical description of the geometric parameters with the flow properties, and any derivations needed.</w:t>
      </w:r>
    </w:p>
    <w:p w14:paraId="58AB1701" w14:textId="5EBDA1AB" w:rsidR="00D41580" w:rsidRDefault="00D41580">
      <w:pPr>
        <w:rPr>
          <w:sz w:val="24"/>
          <w:szCs w:val="24"/>
        </w:rPr>
      </w:pPr>
    </w:p>
    <w:p w14:paraId="2BEFF311" w14:textId="78CDED32" w:rsidR="00D41580" w:rsidRDefault="00D41580">
      <w:pPr>
        <w:rPr>
          <w:sz w:val="24"/>
          <w:szCs w:val="24"/>
        </w:rPr>
      </w:pPr>
      <w:r>
        <w:rPr>
          <w:sz w:val="24"/>
          <w:szCs w:val="24"/>
        </w:rPr>
        <w:t>Equations for resistance/flow rate are derived from straight channel component models, length is calculated as below.</w:t>
      </w:r>
    </w:p>
    <w:p w14:paraId="0F118264" w14:textId="0DE09797" w:rsidR="00D41580" w:rsidRPr="00F35113" w:rsidRDefault="00F351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# channels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channel length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# bends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bend length</m:t>
              </m:r>
            </m:e>
          </m:d>
        </m:oMath>
      </m:oMathPara>
    </w:p>
    <w:p w14:paraId="7C243027" w14:textId="37FFB6D8" w:rsidR="00F35113" w:rsidRPr="00F35113" w:rsidRDefault="00F351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bend length=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# bends</m:t>
              </m:r>
            </m:den>
          </m:f>
        </m:oMath>
      </m:oMathPara>
    </w:p>
    <w:p w14:paraId="33DF4060" w14:textId="68163C75" w:rsidR="00A560F8" w:rsidRPr="00A560F8" w:rsidRDefault="00A560F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channel length=L</m:t>
          </m:r>
        </m:oMath>
      </m:oMathPara>
    </w:p>
    <w:p w14:paraId="27C4CBB5" w14:textId="1E1678ED" w:rsidR="00A560F8" w:rsidRPr="00F35113" w:rsidRDefault="00A560F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L+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=nL+W</m:t>
          </m:r>
        </m:oMath>
      </m:oMathPara>
    </w:p>
    <w:p w14:paraId="603DFE86" w14:textId="77777777" w:rsidR="00367622" w:rsidRDefault="00367622">
      <w:pPr>
        <w:rPr>
          <w:b/>
          <w:bCs/>
          <w:i/>
          <w:iCs/>
          <w:sz w:val="24"/>
          <w:szCs w:val="24"/>
        </w:rPr>
      </w:pPr>
    </w:p>
    <w:p w14:paraId="455A5051" w14:textId="4F85DA2A" w:rsidR="00367622" w:rsidRDefault="00966D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p w14:paraId="5D0F518D" w14:textId="2FB87553" w:rsidR="00D41580" w:rsidRDefault="00D41580">
      <w:pPr>
        <w:rPr>
          <w:b/>
          <w:bCs/>
          <w:i/>
          <w:iCs/>
          <w:sz w:val="24"/>
          <w:szCs w:val="24"/>
        </w:rPr>
      </w:pPr>
      <w:r w:rsidRPr="750FE8ED">
        <w:rPr>
          <w:sz w:val="24"/>
          <w:szCs w:val="24"/>
        </w:rPr>
        <w:t xml:space="preserve">[1] H. </w:t>
      </w:r>
      <w:proofErr w:type="spellStart"/>
      <w:r w:rsidRPr="750FE8ED">
        <w:rPr>
          <w:sz w:val="24"/>
          <w:szCs w:val="24"/>
        </w:rPr>
        <w:t>Bruus</w:t>
      </w:r>
      <w:proofErr w:type="spellEnd"/>
      <w:r w:rsidRPr="750FE8ED">
        <w:rPr>
          <w:sz w:val="24"/>
          <w:szCs w:val="24"/>
        </w:rPr>
        <w:t xml:space="preserve">. “Chapter 1: Governing Equations in Microfluidics.” </w:t>
      </w:r>
      <w:r w:rsidRPr="750FE8ED">
        <w:rPr>
          <w:rFonts w:ascii="Calibri" w:eastAsia="Calibri" w:hAnsi="Calibri" w:cs="Calibri"/>
          <w:i/>
          <w:iCs/>
          <w:sz w:val="24"/>
          <w:szCs w:val="24"/>
        </w:rPr>
        <w:t xml:space="preserve">Microscale </w:t>
      </w:r>
      <w:proofErr w:type="spellStart"/>
      <w:r w:rsidRPr="750FE8ED">
        <w:rPr>
          <w:rFonts w:ascii="Calibri" w:eastAsia="Calibri" w:hAnsi="Calibri" w:cs="Calibri"/>
          <w:i/>
          <w:iCs/>
          <w:sz w:val="24"/>
          <w:szCs w:val="24"/>
        </w:rPr>
        <w:t>Acoustofluidics</w:t>
      </w:r>
      <w:proofErr w:type="spellEnd"/>
      <w:r w:rsidRPr="750FE8ED">
        <w:rPr>
          <w:rFonts w:ascii="Calibri" w:eastAsia="Calibri" w:hAnsi="Calibri" w:cs="Calibri"/>
          <w:sz w:val="24"/>
          <w:szCs w:val="24"/>
        </w:rPr>
        <w:t xml:space="preserve">, 2014, pp. 1-28. </w:t>
      </w:r>
      <w:hyperlink r:id="rId11">
        <w:r w:rsidRPr="750FE8ED">
          <w:rPr>
            <w:rStyle w:val="Hyperlink"/>
            <w:rFonts w:ascii="Calibri" w:eastAsia="Calibri" w:hAnsi="Calibri" w:cs="Calibri"/>
            <w:sz w:val="24"/>
            <w:szCs w:val="24"/>
          </w:rPr>
          <w:t>https://pubs.rsc.org/en/content/chapterhtm/2014/bk9781849736718-00001?isbn=978-1-84973-671-8</w:t>
        </w:r>
      </w:hyperlink>
    </w:p>
    <w:sectPr w:rsidR="00D41580">
      <w:head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0-21T10:09:00Z" w:initials="BG">
    <w:p w14:paraId="772F656C" w14:textId="77777777" w:rsidR="00367622" w:rsidRDefault="00966DE4">
      <w:r>
        <w:rPr>
          <w:rFonts w:ascii="Liberation Serif" w:eastAsia="DejaVu Sans" w:hAnsi="Liberation Serif" w:cs="Noto Sans Arabic"/>
          <w:sz w:val="24"/>
          <w:szCs w:val="24"/>
          <w:lang w:bidi="en-US"/>
        </w:rPr>
        <w:t xml:space="preserve">This would be the software signature </w:t>
      </w:r>
    </w:p>
  </w:comment>
  <w:comment w:id="1" w:author="Brady Goenner" w:date="2021-10-21T10:09:00Z" w:initials="BG">
    <w:p w14:paraId="09AF4B74" w14:textId="77777777" w:rsidR="005342D2" w:rsidRDefault="005342D2" w:rsidP="005342D2">
      <w:pPr>
        <w:pStyle w:val="CommentText"/>
      </w:pPr>
      <w:r>
        <w:rPr>
          <w:rStyle w:val="CommentReference"/>
        </w:rPr>
        <w:annotationRef/>
      </w:r>
      <w:r>
        <w:t xml:space="preserve">This would be the software signature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2F656C" w15:done="0"/>
  <w15:commentEx w15:paraId="09AF4B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27A7" w16cex:dateUtc="2021-10-21T16:09:00Z"/>
  <w16cex:commentExtensible w16cex:durableId="251BBAE4" w16cex:dateUtc="2021-10-21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2F656C" w16cid:durableId="254F27A7"/>
  <w16cid:commentId w16cid:paraId="09AF4B74" w16cid:durableId="251BB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D772" w14:textId="77777777" w:rsidR="00966DE4" w:rsidRDefault="00966DE4" w:rsidP="00B64B65">
      <w:pPr>
        <w:spacing w:after="0" w:line="240" w:lineRule="auto"/>
      </w:pPr>
      <w:r>
        <w:separator/>
      </w:r>
    </w:p>
  </w:endnote>
  <w:endnote w:type="continuationSeparator" w:id="0">
    <w:p w14:paraId="5BCE25E7" w14:textId="77777777" w:rsidR="00966DE4" w:rsidRDefault="00966DE4" w:rsidP="00B6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Noto Sans Arabic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E05A" w14:textId="77777777" w:rsidR="00966DE4" w:rsidRDefault="00966DE4" w:rsidP="00B64B65">
      <w:pPr>
        <w:spacing w:after="0" w:line="240" w:lineRule="auto"/>
      </w:pPr>
      <w:r>
        <w:separator/>
      </w:r>
    </w:p>
  </w:footnote>
  <w:footnote w:type="continuationSeparator" w:id="0">
    <w:p w14:paraId="336E1E3D" w14:textId="77777777" w:rsidR="00966DE4" w:rsidRDefault="00966DE4" w:rsidP="00B64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997F" w14:textId="5F7EB873" w:rsidR="00B64B65" w:rsidRDefault="00B64B65" w:rsidP="00B64B65">
    <w:pPr>
      <w:jc w:val="right"/>
    </w:pPr>
    <w:r>
      <w:t>Sophia Nielsen, sophi.nielsen@utah.edu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2"/>
    <w:rsid w:val="000A0237"/>
    <w:rsid w:val="00140F2D"/>
    <w:rsid w:val="00367622"/>
    <w:rsid w:val="005342D2"/>
    <w:rsid w:val="00687C7B"/>
    <w:rsid w:val="00954C43"/>
    <w:rsid w:val="00966DE4"/>
    <w:rsid w:val="009E40DF"/>
    <w:rsid w:val="00A560F8"/>
    <w:rsid w:val="00B64B65"/>
    <w:rsid w:val="00B86626"/>
    <w:rsid w:val="00D41580"/>
    <w:rsid w:val="00F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2FC60"/>
  <w15:docId w15:val="{56A6ABCB-648C-2042-BECF-46D402C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5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58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51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65"/>
  </w:style>
  <w:style w:type="paragraph" w:styleId="Footer">
    <w:name w:val="footer"/>
    <w:basedOn w:val="Normal"/>
    <w:link w:val="FooterChar"/>
    <w:uiPriority w:val="99"/>
    <w:unhideWhenUsed/>
    <w:rsid w:val="00B6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pubs.rsc.org/en/content/chapterhtm/2014/bk9781849736718-00001?isbn=978-1-84973-671-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Sophia Nielsen</cp:lastModifiedBy>
  <cp:revision>28</cp:revision>
  <dcterms:created xsi:type="dcterms:W3CDTF">2021-10-21T15:23:00Z</dcterms:created>
  <dcterms:modified xsi:type="dcterms:W3CDTF">2021-12-03T21:44:00Z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