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Complete second-pass visual comparison performed. The school continuation and funeral service were substantially corrected, including the Boston Glee club, Benjamin Maroni Lewis, and Moses Thatcher preaching. Several Irish names and places in the marriage/family account remain materially uncertain, so the page remains needs review. Status: needs review.</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Complete second-pass visual comparison performed. The opening birth wording was corrected to record the writer working in Malad, and the David Hughes relationship/place passage was clarified as Jane and Gomer Hughes of Samaria, Oneida County, Idaho. Difficult wording remains in the mission account, so the page remains needs review. The mission entry continues onto PDF page 53. Status: needs review.</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Complete second-pass visual comparison performed. Joseph Cowley was clarified in the July 1900 entry. The April 1897 blessing/name passage remains materially overwritten and internally difficult, so the page remains needs review. Status: needs review.</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an elect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[unclear: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