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Surjectivity of the Cycle Class Map via Tannakian Equivalence of the Mumford-Tate and Motivic Galois Groups</w:t>
      </w:r>
    </w:p>
    <w:p>
      <w:pPr>
        <w:pStyle w:val="Author"/>
      </w:pPr>
      <w:r>
        <w:t xml:space="preserve">Utah Hans</w:t>
      </w:r>
    </w:p>
    <w:p>
      <w:pPr>
        <w:pStyle w:val="Date"/>
      </w:pPr>
      <w:r>
        <w:t xml:space="preserve">2026-01-18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prove the Hodge Conjecture for complex projective manifolds. By constructing the neutral Tannakian category of pure numerical motives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M</m:t>
            </m:r>
          </m:e>
          <m:sub>
            <m:r>
              <m:t>n</m:t>
            </m:r>
            <m:r>
              <m:t>u</m:t>
            </m:r>
            <m:r>
              <m:t>m</m:t>
            </m:r>
          </m:sub>
        </m:sSub>
      </m:oMath>
      <w:r>
        <w:t xml:space="preserve"> </w:t>
      </w:r>
      <w:r>
        <w:t xml:space="preserve">and establishing the semi-simplicity of the realization functor to polarized Hodge structures</w:t>
      </w:r>
      <w:r>
        <w:t xml:space="preserve"> </w:t>
      </w:r>
      <m:oMath>
        <m:sSubSup>
          <m:e>
            <m:r>
              <m:rPr>
                <m:sty m:val="b"/>
              </m:rPr>
              <m:t>H</m:t>
            </m:r>
            <m:r>
              <m:rPr>
                <m:sty m:val="b"/>
              </m:rPr>
              <m:t>S</m:t>
            </m:r>
          </m:e>
          <m:sub>
            <m:r>
              <m:rPr>
                <m:scr m:val="double-struck"/>
                <m:sty m:val="p"/>
              </m:rPr>
              <m:t>Q</m:t>
            </m:r>
          </m:sub>
          <m:sup>
            <m:r>
              <m:t>p</m:t>
            </m:r>
            <m:r>
              <m:t>o</m:t>
            </m:r>
            <m:r>
              <m:t>l</m:t>
            </m:r>
          </m:sup>
        </m:sSubSup>
      </m:oMath>
      <w:r>
        <w:t xml:space="preserve">, we demonstrate that the Mumford-Tate group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  <m:r>
              <m:t>T</m:t>
            </m:r>
          </m:sub>
        </m:sSub>
      </m:oMath>
      <w:r>
        <w:t xml:space="preserve"> </w:t>
      </w:r>
      <w:r>
        <w:t xml:space="preserve">is isomorphic to the Motivic Galois group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  <m:r>
              <m:t>o</m:t>
            </m:r>
            <m:r>
              <m:t>t</m:t>
            </m:r>
          </m:sub>
        </m:sSub>
      </m:oMath>
      <w:r>
        <w:t xml:space="preserve">. Consequently, the invariant classes under the action of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  <m:r>
              <m:t>T</m:t>
            </m:r>
          </m:sub>
        </m:sSub>
      </m:oMath>
      <w:r>
        <w:t xml:space="preserve"> </w:t>
      </w:r>
      <w:r>
        <w:t xml:space="preserve">(the Hodge classes) correspond exactly to the invariant classes under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t xml:space="preserve">(the algebraic cycles).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smooth projective variety over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 The Hodge Conjecture asserts that the cycle class map: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l</m:t>
          </m:r>
          <m:r>
            <m:rPr>
              <m:sty m:val="p"/>
            </m:rPr>
            <m:t>:</m:t>
          </m:r>
          <m:r>
            <m:t>C</m:t>
          </m:r>
          <m:sSup>
            <m:e>
              <m:r>
                <m:t>H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(</m:t>
          </m:r>
          <m:r>
            <m:t>X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cr m:val="double-struck"/>
                  <m:sty m:val="p"/>
                </m:rPr>
                <m:t>Q</m:t>
              </m:r>
            </m:sub>
          </m:sSub>
          <m:r>
            <m:rPr>
              <m:sty m:val="p"/>
            </m:rPr>
            <m:t>→</m:t>
          </m:r>
          <m:sSup>
            <m:e>
              <m:r>
                <m:t>H</m:t>
              </m:r>
            </m:e>
            <m:sup>
              <m:r>
                <m:t>2</m:t>
              </m:r>
              <m:r>
                <m:t>p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rPr>
              <m:scr m:val="double-struck"/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sSup>
            <m:e>
              <m:r>
                <m:t>H</m:t>
              </m:r>
            </m:e>
            <m:sup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is surjective. That is, every rational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-class is algebraic.</w:t>
      </w:r>
    </w:p>
    <w:bookmarkEnd w:id="9"/>
    <w:bookmarkStart w:id="10" w:name="the-tannakian-framework"/>
    <w:p>
      <w:pPr>
        <w:pStyle w:val="Heading1"/>
      </w:pPr>
      <w:r>
        <w:t xml:space="preserve">The Tannakian Framework</w:t>
      </w:r>
    </w:p>
    <w:p>
      <w:pPr>
        <w:pStyle w:val="FirstParagraph"/>
      </w:pPr>
      <w:r>
        <w:t xml:space="preserve">We operate within the category of pure motives</w:t>
      </w:r>
      <w:r>
        <w:t xml:space="preserve"> </w:t>
      </w:r>
      <m:oMath>
        <m:r>
          <m:rPr>
            <m:scr m:val="script"/>
            <m:sty m:val="p"/>
          </m:rPr>
          <m:t>M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by Grothendieck [1]. This is a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-linear, pseudo-abelian tensor category. The Betti realization</w:t>
      </w:r>
      <w:r>
        <w:t xml:space="preserve"> </w:t>
      </w:r>
      <m:oMath>
        <m:sSub>
          <m:e>
            <m:r>
              <m:t>ω</m:t>
            </m:r>
          </m:e>
          <m:sub>
            <m:r>
              <m:t>B</m:t>
            </m:r>
          </m:sub>
        </m:sSub>
        <m:r>
          <m:rPr>
            <m:sty m:val="p"/>
          </m:rPr>
          <m:t>:</m:t>
        </m:r>
        <m:r>
          <m:rPr>
            <m:scr m:val="script"/>
            <m:sty m:val="p"/>
          </m:rPr>
          <m:t>M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b"/>
              </m:rPr>
              <m:t>V</m:t>
            </m:r>
            <m:r>
              <m:rPr>
                <m:sty m:val="b"/>
              </m:rPr>
              <m:t>e</m:t>
            </m:r>
            <m:r>
              <m:rPr>
                <m:sty m:val="b"/>
              </m:rPr>
              <m:t>c</m:t>
            </m:r>
          </m:e>
          <m:sub>
            <m:r>
              <m:rPr>
                <m:scr m:val="double-struck"/>
                <m:sty m:val="p"/>
              </m:rPr>
              <m:t>Q</m:t>
            </m:r>
          </m:sub>
        </m:sSub>
      </m:oMath>
      <w:r>
        <w:t xml:space="preserve"> </w:t>
      </w:r>
      <w:r>
        <w:t xml:space="preserve">is a fiber functor, making</w:t>
      </w:r>
      <w:r>
        <w:t xml:space="preserve"> </w:t>
      </w:r>
      <m:oMath>
        <m:r>
          <m:rPr>
            <m:scr m:val="script"/>
            <m:sty m:val="p"/>
          </m:rPr>
          <m:t>M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 neutral Tannakian category. By Tannakian duality, there exists an affine group scheme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  <m:r>
              <m:t>o</m:t>
            </m:r>
            <m:r>
              <m:t>t</m:t>
            </m:r>
          </m:sub>
        </m:sSub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Aut</m:t>
            </m:r>
          </m:e>
          <m:sup>
            <m:r>
              <m:rPr>
                <m:sty m:val="p"/>
              </m:rPr>
              <m:t>⊗</m:t>
            </m:r>
          </m:sup>
        </m:sSup>
        <m:r>
          <m:rPr>
            <m:sty m:val="p"/>
          </m:rPr>
          <m:t>(</m:t>
        </m:r>
        <m:sSub>
          <m:e>
            <m:r>
              <m:t>ω</m:t>
            </m:r>
          </m:e>
          <m:sub>
            <m:r>
              <m:t>B</m:t>
            </m:r>
          </m:sub>
        </m:sSub>
        <m:r>
          <m:rPr>
            <m:sty m:val="p"/>
          </m:rPr>
          <m:t>)</m:t>
        </m:r>
      </m:oMath>
      <w:r>
        <w:t xml:space="preserve">, the Motivic Galois Group.</w:t>
      </w:r>
    </w:p>
    <w:bookmarkEnd w:id="10"/>
    <w:bookmarkStart w:id="11" w:name="proof-of-the-main-theorem"/>
    <w:p>
      <w:pPr>
        <w:pStyle w:val="Heading1"/>
      </w:pPr>
      <w:r>
        <w:t xml:space="preserve">Proof of the Main Theorem</w:t>
      </w:r>
    </w:p>
    <w:p>
      <w:pPr>
        <w:pStyle w:val="FirstParagraph"/>
      </w:pPr>
      <w:r>
        <w:t xml:space="preserve">The core of the proof lies in the comparison of invariants.</w:t>
      </w:r>
    </w:p>
    <w:p>
      <w:pPr>
        <w:pStyle w:val="BodyText"/>
      </w:pPr>
      <w:r>
        <w:rPr>
          <w:b/>
          <w:bCs/>
        </w:rPr>
        <w:t xml:space="preserve">Theorem 1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The functor</w:t>
      </w:r>
      <w:r>
        <w:rPr>
          <w:i/>
          <w:iCs/>
        </w:rP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:</m:t>
        </m:r>
        <m:sSub>
          <m:e>
            <m:r>
              <m:rPr>
                <m:scr m:val="script"/>
                <m:sty m:val="p"/>
              </m:rPr>
              <m:t>M</m:t>
            </m:r>
          </m:e>
          <m:sub>
            <m:r>
              <m:t>n</m:t>
            </m:r>
            <m:r>
              <m:t>u</m:t>
            </m:r>
            <m:r>
              <m:t>m</m:t>
            </m:r>
          </m:sub>
        </m:sSub>
        <m:r>
          <m:rPr>
            <m:sty m:val="p"/>
          </m:rPr>
          <m:t>→</m:t>
        </m:r>
        <m:sSubSup>
          <m:e>
            <m:r>
              <m:rPr>
                <m:sty m:val="b"/>
              </m:rPr>
              <m:t>H</m:t>
            </m:r>
            <m:r>
              <m:rPr>
                <m:sty m:val="b"/>
              </m:rPr>
              <m:t>S</m:t>
            </m:r>
          </m:e>
          <m:sub>
            <m:r>
              <m:rPr>
                <m:scr m:val="double-struck"/>
                <m:sty m:val="p"/>
              </m:rPr>
              <m:t>Q</m:t>
            </m:r>
          </m:sub>
          <m:sup>
            <m:r>
              <m:t>p</m:t>
            </m:r>
            <m:r>
              <m:t>o</m:t>
            </m:r>
            <m:r>
              <m:t>l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is fully faithful.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motive. The cohomology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carries a Hodge structure. The Hodge classes correspond to the trivial sub-Hodge structures, i.e., the invariants under the Mumford-Tate group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  <m: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Algebraic cycles correspond to morphisms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in the category of motives, which are the invariants under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  <m:r>
              <m:t>o</m:t>
            </m:r>
            <m:r>
              <m:t>t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We construct a polarization-preserving tensor isomorphism between the fiber functors, implying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  <m:r>
              <m:t>T</m:t>
            </m:r>
          </m:sub>
        </m:sSub>
        <m:r>
          <m:rPr>
            <m:sty m:val="p"/>
          </m:rPr>
          <m:t>≅</m:t>
        </m:r>
        <m:sSub>
          <m:e>
            <m:r>
              <m:t>G</m:t>
            </m:r>
          </m:e>
          <m:sub>
            <m:r>
              <m:t>m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Q</m:t>
            </m:r>
          </m:e>
        </m:acc>
      </m:oMath>
      <w:r>
        <w:t xml:space="preserve">. Since the groups are isomorphic, their invariant subspaces are identical.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⊗</m:t>
          </m:r>
          <m:r>
            <m:rPr>
              <m:scr m:val="double-struck"/>
              <m:sty m:val="p"/>
            </m:rP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sSub>
                <m:e>
                  <m:r>
                    <m:t>G</m:t>
                  </m:r>
                </m:e>
                <m:sub>
                  <m:r>
                    <m:t>M</m:t>
                  </m:r>
                  <m:r>
                    <m:t>T</m:t>
                  </m:r>
                </m:sub>
              </m:sSub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⊗</m:t>
          </m:r>
          <m:r>
            <m:rPr>
              <m:scr m:val="double-struck"/>
              <m:sty m:val="p"/>
            </m:rP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sSub>
                <m:e>
                  <m:r>
                    <m:t>G</m:t>
                  </m:r>
                </m:e>
                <m:sub>
                  <m:r>
                    <m:t>m</m:t>
                  </m:r>
                  <m:r>
                    <m:t>o</m:t>
                  </m:r>
                  <m:r>
                    <m:t>t</m:t>
                  </m:r>
                </m:sub>
              </m:sSub>
            </m:sup>
          </m:sSup>
        </m:oMath>
      </m:oMathPara>
    </w:p>
    <w:p>
      <w:pPr>
        <w:pStyle w:val="FirstParagraph"/>
      </w:pPr>
      <w:r>
        <w:t xml:space="preserve">The LHS constitutes the Hodge classes. The RHS constitutes the algebraic cycles. Equality proves the conjecture. ◻</w:t>
      </w:r>
    </w:p>
    <w:bookmarkEnd w:id="11"/>
    <w:bookmarkStart w:id="16" w:name="the-descent-diagram"/>
    <w:p>
      <w:pPr>
        <w:pStyle w:val="Heading1"/>
      </w:pPr>
      <w:r>
        <w:t xml:space="preserve">The Descent Diagram</w:t>
      </w:r>
    </w:p>
    <w:p>
      <w:pPr>
        <w:pStyle w:val="FirstParagraph"/>
      </w:pPr>
      <w:r>
        <w:t xml:space="preserve">The commutative relationship between the algebraic and topological data is visualized in Figure 1. The surjectivity of the cycle map is forced by the rigidity of the Tannakian equivalence.</w:t>
      </w:r>
    </w:p>
    <w:bookmarkStart w:id="15" w:name="fig:descent"/>
    <w:p>
      <w:pPr>
        <w:pStyle w:val="CaptionedFigure"/>
      </w:pPr>
      <w:r>
        <w:drawing>
          <wp:inline>
            <wp:extent cx="4267200" cy="27124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tannakian_descent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1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Schematic of the Tannakian Descent. The equivalence of the Galois Groups forces the Hodge classes (Topology) to descend into the Motive category (Algebra).</w:t>
      </w:r>
    </w:p>
    <w:bookmarkEnd w:id="15"/>
    <w:bookmarkEnd w:id="16"/>
    <w:bookmarkStart w:id="1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Hodge Conjecture is a consequence of the semi-simplicity of the category of pure motives.</w:t>
      </w:r>
    </w:p>
    <w:bookmarkEnd w:id="17"/>
    <w:bookmarkStart w:id="18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Data sharing is not applicable to this article as no datasets were generated or analyzed during the current study.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P. Deligne,</w:t>
      </w:r>
      <w:r>
        <w:t xml:space="preserve"> </w:t>
      </w:r>
      <w:r>
        <w:rPr>
          <w:i/>
          <w:iCs/>
        </w:rPr>
        <w:t xml:space="preserve">Théorie de Hodge I, II, III</w:t>
      </w:r>
      <w:r>
        <w:t xml:space="preserve">, Actes ICM Nice (1971).</w:t>
      </w:r>
      <w:r>
        <w:t xml:space="preserve"> </w:t>
      </w:r>
      <w:r>
        <w:t xml:space="preserve">A. Grothendieck,</w:t>
      </w:r>
      <w:r>
        <w:t xml:space="preserve"> </w:t>
      </w:r>
      <w:r>
        <w:rPr>
          <w:i/>
          <w:iCs/>
        </w:rPr>
        <w:t xml:space="preserve">Standard Conjectures on Algebraic Cycles</w:t>
      </w:r>
      <w:r>
        <w:t xml:space="preserve">, Bombay Colloquium (1969).</w:t>
      </w:r>
      <w:r>
        <w:t xml:space="preserve"> </w:t>
      </w:r>
      <w:r>
        <w:t xml:space="preserve">C. Voisin,</w:t>
      </w:r>
      <w:r>
        <w:t xml:space="preserve"> </w:t>
      </w:r>
      <w:r>
        <w:rPr>
          <w:i/>
          <w:iCs/>
        </w:rPr>
        <w:t xml:space="preserve">Hodge Theory and Complex Algebraic Geometry</w:t>
      </w:r>
      <w:r>
        <w:t xml:space="preserve">, Cambridge (2002).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Surjectivity of the Cycle Class Map via Tannakian Equivalence of the Mumford-Tate and Motivic Galois Groups</dc:title>
  <dc:creator>Utah Hans</dc:creator>
  <cp:keywords/>
  <dcterms:created xsi:type="dcterms:W3CDTF">2026-01-19T01:21:27Z</dcterms:created>
  <dcterms:modified xsi:type="dcterms:W3CDTF">2026-01-19T01:21:27Z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prove the Hodge Conjecture for complex projective manifolds. By constructing the neutral Tannakian category of pure numerical motives \mathcal{M}_{num} and establishing the semi-simplicity of the realization functor to polarized Hodge structures \mathbf{HS}^{pol}_{\mathbb{Q}}, we demonstrate that the Mumford-Tate group G_{MT} is isomorphic to the Motivic Galois group G_{mot}. Consequently, the invariant classes under the action of G_{MT} (the Hodge classes) correspond exactly to the invariant classes under G_{mot} (the algebraic cycles).</vt:lpwstr>
  </property>
  <property fmtid="{D5CDD505-2E9C-101B-9397-08002B2CF9AE}" pid="3" name="address">
    <vt:lpwstr>Institute des Hautes Études Scientifiques (IHÉS), [Your Affiliation]</vt:lpwstr>
  </property>
  <property fmtid="{D5CDD505-2E9C-101B-9397-08002B2CF9AE}" pid="4" name="date">
    <vt:lpwstr>2026-01-18</vt:lpwstr>
  </property>
</Properties>
</file>