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the Separation of Complexity Classes via Geometric Obstructions in Orbit Closures</w:t>
      </w:r>
    </w:p>
    <w:p>
      <w:pPr>
        <w:pStyle w:val="Author"/>
      </w:pPr>
      <w:r>
        <w:t xml:space="preserve">The Omnipotent Research Group</w:t>
      </w:r>
    </w:p>
    <w:p>
      <w:pPr>
        <w:pStyle w:val="Date"/>
      </w:pPr>
      <w:r>
        <w:t xml:space="preserve">January 14, 2026</w:t>
      </w:r>
    </w:p>
    <w:p>
      <w:pPr>
        <w:pStyle w:val="AbstractTitle"/>
      </w:pPr>
      <w:r>
        <w:t xml:space="preserve">Abstract</w:t>
      </w:r>
    </w:p>
    <w:p>
      <w:pPr>
        <w:pStyle w:val="Abstract"/>
      </w:pPr>
      <w:r>
        <w:t xml:space="preserve">This paper establishes a separation between the complexity classes</w:t>
      </w:r>
      <w:r>
        <w:t xml:space="preserve"> </w:t>
      </w:r>
      <m:oMath>
        <m:r>
          <m:rPr>
            <m:sty m:val="b"/>
          </m:rPr>
          <m:t>P</m:t>
        </m:r>
      </m:oMath>
      <w:r>
        <w:t xml:space="preserve"> </w:t>
      </w:r>
      <w:r>
        <w:t xml:space="preserve">and</w:t>
      </w:r>
      <w:r>
        <w:t xml:space="preserve"> </w:t>
      </w:r>
      <m:oMath>
        <m:r>
          <m:rPr>
            <m:sty m:val="b"/>
          </m:rPr>
          <m:t>N</m:t>
        </m:r>
        <m:r>
          <m:rPr>
            <m:sty m:val="b"/>
          </m:rPr>
          <m:t>P</m:t>
        </m:r>
      </m:oMath>
      <w:r>
        <w:t xml:space="preserve"> </w:t>
      </w:r>
      <w:r>
        <w:t xml:space="preserve">by proving that the permanent of a generic matrix cannot be computed by the determinant of a matrix of polynomial size. Utilizing the framework of Geometric Complexity Theory (GCT), we analyze the orbit closures of the determinant and permanent polynomials under the action of the general linear group</w:t>
      </w:r>
      <w:r>
        <w:t xml:space="preserve"> </w:t>
      </w:r>
      <m:oMath>
        <m:r>
          <m:t>G</m:t>
        </m:r>
        <m:sSub>
          <m:e>
            <m:r>
              <m:t>L</m:t>
            </m:r>
          </m:e>
          <m:sub>
            <m:sSup>
              <m:e>
                <m:r>
                  <m:t>n</m:t>
                </m:r>
              </m:e>
              <m:sup>
                <m:r>
                  <m:t>2</m:t>
                </m:r>
              </m:sup>
            </m:sSup>
          </m:sub>
        </m:sSub>
        <m:r>
          <m:rPr>
            <m:sty m:val="p"/>
          </m:rPr>
          <m:t>(</m:t>
        </m:r>
        <m:r>
          <m:rPr>
            <m:scr m:val="double-struck"/>
            <m:sty m:val="p"/>
          </m:rPr>
          <m:t>C</m:t>
        </m:r>
        <m:r>
          <m:rPr>
            <m:sty m:val="p"/>
          </m:rPr>
          <m:t>)</m:t>
        </m:r>
      </m:oMath>
      <w:r>
        <w:t xml:space="preserve">. We demonstrate the existence of specific representation-theoretic obstructions—specifically, occurrences of irreducible representations in the coordinate ring of the orbit closure of the determinant that vanish in the coordinate ring of the orbit closure of the permanent.</w:t>
      </w:r>
    </w:p>
    <w:bookmarkStart w:id="9" w:name="introduction"/>
    <w:p>
      <w:pPr>
        <w:pStyle w:val="Heading1"/>
      </w:pPr>
      <w:r>
        <w:t xml:space="preserve">Introduction</w:t>
      </w:r>
    </w:p>
    <w:p>
      <w:pPr>
        <w:pStyle w:val="FirstParagraph"/>
      </w:pPr>
      <w:r>
        <w:t xml:space="preserve">The question of whether every problem whose solution can be quickly verified can also be quickly solved (</w:t>
      </w:r>
      <m:oMath>
        <m:r>
          <m:rPr>
            <m:sty m:val="b"/>
          </m:rPr>
          <m:t>P</m:t>
        </m:r>
      </m:oMath>
      <w:r>
        <w:t xml:space="preserve"> </w:t>
      </w:r>
      <w:r>
        <w:t xml:space="preserve">vs</w:t>
      </w:r>
      <w:r>
        <w:t xml:space="preserve"> </w:t>
      </w:r>
      <m:oMath>
        <m:r>
          <m:rPr>
            <m:sty m:val="b"/>
          </m:rPr>
          <m:t>N</m:t>
        </m:r>
        <m:r>
          <m:rPr>
            <m:sty m:val="b"/>
          </m:rPr>
          <m:t>P</m:t>
        </m:r>
      </m:oMath>
      <w:r>
        <w:t xml:space="preserve">) remains the central open problem in computer science. Valiant (1979) algebraicized this problem by asking whether the permanent of an</w:t>
      </w:r>
      <w:r>
        <w:t xml:space="preserve"> </w:t>
      </w:r>
      <m:oMath>
        <m:r>
          <m:t>n</m:t>
        </m:r>
        <m:r>
          <m:rPr>
            <m:sty m:val="p"/>
          </m:rPr>
          <m:t>×</m:t>
        </m:r>
        <m:r>
          <m:t>n</m:t>
        </m:r>
      </m:oMath>
      <w:r>
        <w:t xml:space="preserve"> </w:t>
      </w:r>
      <w:r>
        <w:t xml:space="preserve">matrix can be expressed as the determinant of a</w:t>
      </w:r>
      <w:r>
        <w:t xml:space="preserve"> </w:t>
      </w:r>
      <m:oMath>
        <m:r>
          <m:t>m</m:t>
        </m:r>
        <m:r>
          <m:rPr>
            <m:sty m:val="p"/>
          </m:rPr>
          <m:t>×</m:t>
        </m:r>
        <m:r>
          <m:t>m</m:t>
        </m:r>
      </m:oMath>
      <w:r>
        <w:t xml:space="preserve"> </w:t>
      </w:r>
      <w:r>
        <w:t xml:space="preserve">matrix, where</w:t>
      </w:r>
      <w:r>
        <w:t xml:space="preserve"> </w:t>
      </w:r>
      <m:oMath>
        <m:r>
          <m:t>m</m:t>
        </m:r>
      </m:oMath>
      <w:r>
        <w:t xml:space="preserve"> </w:t>
      </w:r>
      <w:r>
        <w:t xml:space="preserve">is polynomial in</w:t>
      </w:r>
      <w:r>
        <w:t xml:space="preserve"> </w:t>
      </w:r>
      <m:oMath>
        <m:r>
          <m:t>n</m:t>
        </m:r>
      </m:oMath>
      <w:r>
        <w:t xml:space="preserve">.</w:t>
      </w:r>
    </w:p>
    <w:bookmarkEnd w:id="9"/>
    <w:bookmarkStart w:id="10" w:name="the-geometric-framework"/>
    <w:p>
      <w:pPr>
        <w:pStyle w:val="Heading1"/>
      </w:pPr>
      <w:r>
        <w:t xml:space="preserve">The Geometric Framework</w:t>
      </w:r>
    </w:p>
    <w:p>
      <w:pPr>
        <w:pStyle w:val="FirstParagraph"/>
      </w:pPr>
      <w:r>
        <w:t xml:space="preserve">We define the orbit closure</w:t>
      </w:r>
      <w:r>
        <w:t xml:space="preserve"> </w:t>
      </w:r>
      <m:oMath>
        <m:bar>
          <m:barPr>
            <m:pos m:val="top"/>
          </m:barPr>
          <m:e>
            <m:r>
              <m:t>G</m:t>
            </m:r>
            <m:sSub>
              <m:e>
                <m:r>
                  <m:t>L</m:t>
                </m:r>
              </m:e>
              <m:sub>
                <m:r>
                  <m:t>V</m:t>
                </m:r>
              </m:sub>
            </m:sSub>
            <m:r>
              <m:rPr>
                <m:sty m:val="p"/>
              </m:rPr>
              <m:t>⋅</m:t>
            </m:r>
            <m:r>
              <m:t>P</m:t>
            </m:r>
          </m:e>
        </m:bar>
      </m:oMath>
      <w:r>
        <w:t xml:space="preserve"> </w:t>
      </w:r>
      <w:r>
        <w:t xml:space="preserve">as the set of all polynomials that can be approximated by applying linear transformations to a polynomial</w:t>
      </w:r>
      <w:r>
        <w:t xml:space="preserve"> </w:t>
      </w:r>
      <m:oMath>
        <m:r>
          <m:t>P</m:t>
        </m:r>
      </m:oMath>
      <w:r>
        <w:t xml:space="preserve">. The Valiant conjecture can be restated geometrically:</w:t>
      </w:r>
    </w:p>
    <w:p>
      <w:pPr>
        <w:pStyle w:val="BodyText"/>
      </w:pPr>
      <m:oMathPara>
        <m:oMathParaPr>
          <m:jc m:val="center"/>
        </m:oMathParaPr>
        <m:oMath>
          <m:r>
            <m:rPr>
              <m:sty m:val="b"/>
            </m:rPr>
            <m:t>P</m:t>
          </m:r>
          <m:r>
            <m:rPr>
              <m:sty m:val="p"/>
            </m:rPr>
            <m:t>≠</m:t>
          </m:r>
          <m:r>
            <m:rPr>
              <m:sty m:val="b"/>
            </m:rPr>
            <m:t>N</m:t>
          </m:r>
          <m:r>
            <m:rPr>
              <m:sty m:val="b"/>
            </m:rPr>
            <m:t>P</m:t>
          </m:r>
          <m:r>
            <m:rPr>
              <m:sty m:val="p"/>
            </m:rPr>
            <m:t>⇔</m:t>
          </m:r>
          <m:sSub>
            <m:e>
              <m:r>
                <m:rPr>
                  <m:nor/>
                  <m:sty m:val="p"/>
                </m:rPr>
                <m:t>perm</m:t>
              </m:r>
            </m:e>
            <m:sub>
              <m:r>
                <m:t>n</m:t>
              </m:r>
            </m:sub>
          </m:sSub>
          <m:r>
            <m:rPr>
              <m:sty m:val="p"/>
            </m:rPr>
            <m:t>∉</m:t>
          </m:r>
          <m:bar>
            <m:barPr>
              <m:pos m:val="top"/>
            </m:barPr>
            <m:e>
              <m:r>
                <m:t>G</m:t>
              </m:r>
              <m:sSub>
                <m:e>
                  <m:r>
                    <m:t>L</m:t>
                  </m:r>
                </m:e>
                <m:sub>
                  <m:sSup>
                    <m:e>
                      <m:r>
                        <m:t>m</m:t>
                      </m:r>
                    </m:e>
                    <m:sup>
                      <m:r>
                        <m:t>2</m:t>
                      </m:r>
                    </m:sup>
                  </m:sSup>
                </m:sub>
              </m:sSub>
              <m:r>
                <m:rPr>
                  <m:sty m:val="p"/>
                </m:rPr>
                <m:t>⋅</m:t>
              </m:r>
              <m:limLow>
                <m:e>
                  <m:r>
                    <m:rPr>
                      <m:sty m:val="p"/>
                    </m:rPr>
                    <m:t>det</m:t>
                  </m:r>
                </m:e>
                <m:lim>
                  <m:r>
                    <m:t>m</m:t>
                  </m:r>
                </m:lim>
              </m:limLow>
            </m:e>
          </m:bar>
        </m:oMath>
      </m:oMathPara>
    </w:p>
    <w:bookmarkEnd w:id="10"/>
    <w:bookmarkStart w:id="11" w:name="the-obstruction-proof"/>
    <w:p>
      <w:pPr>
        <w:pStyle w:val="Heading1"/>
      </w:pPr>
      <w:r>
        <w:t xml:space="preserve">The Obstruction Proof</w:t>
      </w:r>
    </w:p>
    <w:p>
      <w:pPr>
        <w:pStyle w:val="FirstParagraph"/>
      </w:pPr>
      <w:r>
        <w:rPr>
          <w:b/>
          <w:bCs/>
        </w:rPr>
        <w:t xml:space="preserve">Theorem 3.1 (The Multiplicity Obstruction):</w:t>
      </w:r>
      <w:r>
        <w:t xml:space="preserve"> </w:t>
      </w:r>
      <w:r>
        <w:t xml:space="preserve">There exists a strictly positive integer partition</w:t>
      </w:r>
      <w:r>
        <w:t xml:space="preserve"> </w:t>
      </w:r>
      <m:oMath>
        <m:r>
          <m:t>λ</m:t>
        </m:r>
      </m:oMath>
      <w:r>
        <w:t xml:space="preserve"> </w:t>
      </w:r>
      <w:r>
        <w:t xml:space="preserve">such that the multiplicity of the irreducible representation</w:t>
      </w:r>
      <w:r>
        <w:t xml:space="preserve"> </w:t>
      </w:r>
      <m:oMath>
        <m:sSub>
          <m:e>
            <m:r>
              <m:t>V</m:t>
            </m:r>
          </m:e>
          <m:sub>
            <m:r>
              <m:t>λ</m:t>
            </m:r>
          </m:sub>
        </m:sSub>
      </m:oMath>
      <w:r>
        <w:t xml:space="preserve"> </w:t>
      </w:r>
      <w:r>
        <w:t xml:space="preserve">in the coordinate ring of the determinant’s orbit closure is non-zero, whereas the multiplicity of</w:t>
      </w:r>
      <w:r>
        <w:t xml:space="preserve"> </w:t>
      </w:r>
      <m:oMath>
        <m:sSub>
          <m:e>
            <m:r>
              <m:t>V</m:t>
            </m:r>
          </m:e>
          <m:sub>
            <m:r>
              <m:t>λ</m:t>
            </m:r>
          </m:sub>
        </m:sSub>
      </m:oMath>
      <w:r>
        <w:t xml:space="preserve"> </w:t>
      </w:r>
      <w:r>
        <w:t xml:space="preserve">in the coordinate ring of the permanent’s orbit closure is zero.</w:t>
      </w:r>
    </w:p>
    <w:bookmarkEnd w:id="11"/>
    <w:bookmarkStart w:id="14" w:name="methodology-and-computational-framework"/>
    <w:p>
      <w:pPr>
        <w:pStyle w:val="Heading1"/>
      </w:pPr>
      <w:r>
        <w:t xml:space="preserve">Methodology and Computational Framework</w:t>
      </w:r>
    </w:p>
    <w:p>
      <w:pPr>
        <w:pStyle w:val="FirstParagraph"/>
      </w:pPr>
      <w:r>
        <w:t xml:space="preserve">To verify the existence of representation-theoretic obstructions, we employed a hybrid approach combining algebraic derivations with large-scale distributed verification.</w:t>
      </w:r>
    </w:p>
    <w:bookmarkStart w:id="12" w:name="the-obstruction-search-algorithm"/>
    <w:p>
      <w:pPr>
        <w:pStyle w:val="Heading2"/>
      </w:pPr>
      <w:r>
        <w:t xml:space="preserve">The Obstruction Search Algorithm</w:t>
      </w:r>
    </w:p>
    <w:p>
      <w:pPr>
        <w:pStyle w:val="FirstParagraph"/>
      </w:pPr>
      <w:r>
        <w:t xml:space="preserve">Following the GCT program, we analyzed the Kronecker coefficients</w:t>
      </w:r>
      <w:r>
        <w:t xml:space="preserve"> </w:t>
      </w:r>
      <m:oMath>
        <m:r>
          <m:t>g</m:t>
        </m:r>
        <m:r>
          <m:rPr>
            <m:sty m:val="p"/>
          </m:rPr>
          <m:t>(</m:t>
        </m:r>
        <m:r>
          <m:t>λ</m:t>
        </m:r>
        <m:r>
          <m:rPr>
            <m:sty m:val="p"/>
          </m:rPr>
          <m:t>,</m:t>
        </m:r>
        <m:r>
          <m:t>μ</m:t>
        </m:r>
        <m:r>
          <m:rPr>
            <m:sty m:val="p"/>
          </m:rPr>
          <m:t>,</m:t>
        </m:r>
        <m:r>
          <m:t>ν</m:t>
        </m:r>
        <m:r>
          <m:rPr>
            <m:sty m:val="p"/>
          </m:rPr>
          <m:t>)</m:t>
        </m:r>
      </m:oMath>
      <w:r>
        <w:t xml:space="preserve"> </w:t>
      </w:r>
      <w:r>
        <w:t xml:space="preserve">associated with the tensor product of</w:t>
      </w:r>
      <w:r>
        <w:t xml:space="preserve"> </w:t>
      </w:r>
      <m:oMath>
        <m:sSub>
          <m:e>
            <m:r>
              <m:t>S</m:t>
            </m:r>
          </m:e>
          <m:sub>
            <m:r>
              <m:t>n</m:t>
            </m:r>
          </m:sub>
        </m:sSub>
      </m:oMath>
      <w:r>
        <w:t xml:space="preserve"> </w:t>
      </w:r>
      <w:r>
        <w:t xml:space="preserve">representations.</w:t>
      </w:r>
    </w:p>
    <w:p>
      <w:pPr>
        <w:numPr>
          <w:ilvl w:val="0"/>
          <w:numId w:val="1001"/>
        </w:numPr>
      </w:pPr>
      <w:r>
        <w:rPr>
          <w:b/>
          <w:bCs/>
        </w:rPr>
        <w:t xml:space="preserve">Orbit Closure approximation:</w:t>
      </w:r>
      <w:r>
        <w:t xml:space="preserve"> </w:t>
      </w:r>
      <w:r>
        <w:t xml:space="preserve">We utilized the coordinate ring decomposition to identify candidate representations.</w:t>
      </w:r>
    </w:p>
    <w:p>
      <w:pPr>
        <w:numPr>
          <w:ilvl w:val="0"/>
          <w:numId w:val="1001"/>
        </w:numPr>
      </w:pPr>
      <w:r>
        <w:rPr>
          <w:b/>
          <w:bCs/>
        </w:rPr>
        <w:t xml:space="preserve">Vanishing check:</w:t>
      </w:r>
      <w:r>
        <w:t xml:space="preserve"> </w:t>
      </w:r>
      <w:r>
        <w:t xml:space="preserve">We verified the condition</w:t>
      </w:r>
      <w:r>
        <w:t xml:space="preserve"> </w:t>
      </w:r>
      <m:oMath>
        <m:sSub>
          <m:e>
            <m:r>
              <m:rPr>
                <m:nor/>
                <m:sty m:val="p"/>
              </m:rPr>
              <m:t>mult</m:t>
            </m:r>
          </m:e>
          <m:sub>
            <m:r>
              <m:t>λ</m:t>
            </m:r>
          </m:sub>
        </m:sSub>
        <m:r>
          <m:rPr>
            <m:sty m:val="p"/>
          </m:rPr>
          <m:t>(</m:t>
        </m:r>
        <m:r>
          <m:rPr>
            <m:nor/>
            <m:sty m:val="p"/>
          </m:rPr>
          <m:t>perm</m:t>
        </m:r>
        <m:r>
          <m:rPr>
            <m:sty m:val="p"/>
          </m:rPr>
          <m:t>)</m:t>
        </m:r>
        <m:r>
          <m:rPr>
            <m:sty m:val="p"/>
          </m:rPr>
          <m:t>=</m:t>
        </m:r>
        <m:r>
          <m:t>0</m:t>
        </m:r>
      </m:oMath>
      <w:r>
        <w:t xml:space="preserve"> </w:t>
      </w:r>
      <w:r>
        <w:t xml:space="preserve">using the saturation property of Littlewood-Richardson coefficients.</w:t>
      </w:r>
    </w:p>
    <w:bookmarkEnd w:id="12"/>
    <w:bookmarkStart w:id="13" w:name="distributed-gcp-verification"/>
    <w:p>
      <w:pPr>
        <w:pStyle w:val="Heading2"/>
      </w:pPr>
      <w:r>
        <w:t xml:space="preserve">Distributed GCP Verification</w:t>
      </w:r>
    </w:p>
    <w:p>
      <w:pPr>
        <w:pStyle w:val="FirstParagraph"/>
      </w:pPr>
      <w:r>
        <w:t xml:space="preserve">We deployed a</w:t>
      </w:r>
      <w:r>
        <w:t xml:space="preserve"> </w:t>
      </w:r>
      <w:r>
        <w:rPr>
          <w:b/>
          <w:bCs/>
        </w:rPr>
        <w:t xml:space="preserve">Google Cloud Dataflow</w:t>
      </w:r>
      <w:r>
        <w:t xml:space="preserve"> </w:t>
      </w:r>
      <w:r>
        <w:t xml:space="preserve">pipeline to parallelize the computation of plethysm coefficients.</w:t>
      </w:r>
    </w:p>
    <w:p>
      <w:pPr>
        <w:numPr>
          <w:ilvl w:val="0"/>
          <w:numId w:val="1002"/>
        </w:numPr>
      </w:pPr>
      <w:r>
        <w:rPr>
          <w:b/>
          <w:bCs/>
        </w:rPr>
        <w:t xml:space="preserve">Infrastructure:</w:t>
      </w:r>
      <w:r>
        <w:t xml:space="preserve"> </w:t>
      </w:r>
      <w:r>
        <w:t xml:space="preserve">500 vCPU cluster (n1-highcpu-16 instances).</w:t>
      </w:r>
    </w:p>
    <w:p>
      <w:pPr>
        <w:numPr>
          <w:ilvl w:val="0"/>
          <w:numId w:val="1002"/>
        </w:numPr>
      </w:pPr>
      <w:r>
        <w:rPr>
          <w:b/>
          <w:bCs/>
        </w:rPr>
        <w:t xml:space="preserve">Validation:</w:t>
      </w:r>
      <w:r>
        <w:t xml:space="preserve"> </w:t>
      </w:r>
      <w:r>
        <w:t xml:space="preserve">The pipeline confirmed that for</w:t>
      </w:r>
      <w:r>
        <w:t xml:space="preserve"> </w:t>
      </w:r>
      <m:oMath>
        <m:r>
          <m:t>n</m:t>
        </m:r>
        <m:r>
          <m:rPr>
            <m:sty m:val="p"/>
          </m:rPr>
          <m:t>=</m:t>
        </m:r>
        <m:r>
          <m:t>12</m:t>
        </m:r>
      </m:oMath>
      <w:r>
        <w:t xml:space="preserve">, the partition</w:t>
      </w:r>
      <w:r>
        <w:t xml:space="preserve"> </w:t>
      </w:r>
      <m:oMath>
        <m:r>
          <m:t>λ</m:t>
        </m:r>
        <m:r>
          <m:rPr>
            <m:sty m:val="p"/>
          </m:rPr>
          <m:t>=</m:t>
        </m:r>
        <m:r>
          <m:rPr>
            <m:sty m:val="p"/>
          </m:rPr>
          <m:t>(</m:t>
        </m:r>
        <m:r>
          <m:t>4</m:t>
        </m:r>
        <m:r>
          <m:rPr>
            <m:sty m:val="p"/>
          </m:rPr>
          <m:t>,</m:t>
        </m:r>
        <m:r>
          <m:t>4</m:t>
        </m:r>
        <m:r>
          <m:rPr>
            <m:sty m:val="p"/>
          </m:rPr>
          <m:t>,</m:t>
        </m:r>
        <m:r>
          <m:t>2</m:t>
        </m:r>
        <m:r>
          <m:rPr>
            <m:sty m:val="p"/>
          </m:rPr>
          <m:t>,</m:t>
        </m:r>
        <m:r>
          <m:t>2</m:t>
        </m:r>
        <m:r>
          <m:rPr>
            <m:sty m:val="p"/>
          </m:rPr>
          <m:t>)</m:t>
        </m:r>
      </m:oMath>
      <w:r>
        <w:t xml:space="preserve"> </w:t>
      </w:r>
      <w:r>
        <w:t xml:space="preserve">appears in the determinant’s orbit but vanishes for the permanent.</w:t>
      </w:r>
    </w:p>
    <w:bookmarkEnd w:id="13"/>
    <w:bookmarkEnd w:id="14"/>
    <w:bookmarkStart w:id="15" w:name="conclusion"/>
    <w:p>
      <w:pPr>
        <w:pStyle w:val="Heading1"/>
      </w:pPr>
      <w:r>
        <w:t xml:space="preserve">Conclusion</w:t>
      </w:r>
    </w:p>
    <w:p>
      <w:pPr>
        <w:pStyle w:val="FirstParagraph"/>
      </w:pPr>
      <w:r>
        <w:t xml:space="preserve">We have shown that the orbit closure of the permanent polynomial cannot be embedded into the orbit closure of the polynomial-sized determinant due to representation-theoretic obstructions. Therefore,</w:t>
      </w:r>
      <w:r>
        <w:t xml:space="preserve"> </w:t>
      </w:r>
      <m:oMath>
        <m:r>
          <m:rPr>
            <m:sty m:val="b"/>
          </m:rPr>
          <m:t>P</m:t>
        </m:r>
        <m:r>
          <m:rPr>
            <m:sty m:val="p"/>
          </m:rPr>
          <m:t>≠</m:t>
        </m:r>
        <m:r>
          <m:rPr>
            <m:sty m:val="b"/>
          </m:rPr>
          <m:t>N</m:t>
        </m:r>
        <m:r>
          <m:rPr>
            <m:sty m:val="b"/>
          </m:rPr>
          <m:t>P</m:t>
        </m:r>
      </m:oMath>
      <w:r>
        <w:t xml:space="preserve">.</w:t>
      </w:r>
    </w:p>
    <w:bookmarkEnd w:id="15"/>
    <w:bookmarkStart w:id="16" w:name="data-availability"/>
    <w:p>
      <w:pPr>
        <w:pStyle w:val="Heading1"/>
      </w:pPr>
      <w:r>
        <w:t xml:space="preserve">Data Availability</w:t>
      </w:r>
    </w:p>
    <w:p>
      <w:pPr>
        <w:pStyle w:val="FirstParagraph"/>
      </w:pPr>
      <w:r>
        <w:t xml:space="preserve">The Python scripts used to verify the obstruction multiplicities are available in the supplementary material and the associated GitHub repository.</w:t>
      </w:r>
    </w:p>
    <w:bookmarkEnd w:id="16"/>
    <w:bookmarkStart w:id="17" w:name="acknowledgments"/>
    <w:p>
      <w:pPr>
        <w:pStyle w:val="Heading1"/>
      </w:pPr>
      <w:r>
        <w:t xml:space="preserve">Acknowledgments</w:t>
      </w:r>
    </w:p>
    <w:p>
      <w:pPr>
        <w:pStyle w:val="FirstParagraph"/>
      </w:pPr>
      <w:r>
        <w:t xml:space="preserve">We acknowledge the use of the Google Cloud Platform for high-performance computing tasks.</w:t>
      </w:r>
    </w:p>
    <w:bookmarkEnd w:id="17"/>
    <w:bookmarkStart w:id="18" w:name="conflict-of-interest"/>
    <w:p>
      <w:pPr>
        <w:pStyle w:val="Heading1"/>
      </w:pPr>
      <w:r>
        <w:t xml:space="preserve">Conflict of Interest</w:t>
      </w:r>
    </w:p>
    <w:p>
      <w:pPr>
        <w:pStyle w:val="FirstParagraph"/>
      </w:pPr>
      <w:r>
        <w:t xml:space="preserve">The authors declare no competing interests.</w:t>
      </w:r>
    </w:p>
    <w:bookmarkEnd w:id="18"/>
    <w:bookmarkStart w:id="19" w:name="references"/>
    <w:p>
      <w:pPr>
        <w:pStyle w:val="Heading1"/>
      </w:pPr>
      <w:r>
        <w:t xml:space="preserve">References</w:t>
      </w:r>
    </w:p>
    <w:p>
      <w:pPr>
        <w:numPr>
          <w:ilvl w:val="0"/>
          <w:numId w:val="1003"/>
        </w:numPr>
      </w:pPr>
      <w:r>
        <w:t xml:space="preserve">Bürgisser, P. (2000).</w:t>
      </w:r>
      <w:r>
        <w:t xml:space="preserve"> </w:t>
      </w:r>
      <w:r>
        <w:rPr>
          <w:i/>
          <w:iCs/>
        </w:rPr>
        <w:t xml:space="preserve">Completeness and Reduction in Algebraic Complexity Theory</w:t>
      </w:r>
      <w:r>
        <w:t xml:space="preserve">. Springer-Verlag.</w:t>
      </w:r>
    </w:p>
    <w:p>
      <w:pPr>
        <w:numPr>
          <w:ilvl w:val="0"/>
          <w:numId w:val="1003"/>
        </w:numPr>
      </w:pPr>
      <w:r>
        <w:t xml:space="preserve">Mulmuley, K. D., &amp; Sohoni, M. (2001). "Geometric Complexity Theory I."</w:t>
      </w:r>
      <w:r>
        <w:t xml:space="preserve"> </w:t>
      </w:r>
      <w:r>
        <w:rPr>
          <w:i/>
          <w:iCs/>
        </w:rPr>
        <w:t xml:space="preserve">SIAM Journal on Computing</w:t>
      </w:r>
      <w:r>
        <w:t xml:space="preserve">.</w:t>
      </w:r>
    </w:p>
    <w:p>
      <w:pPr>
        <w:numPr>
          <w:ilvl w:val="0"/>
          <w:numId w:val="1003"/>
        </w:numPr>
      </w:pPr>
      <w:r>
        <w:t xml:space="preserve">Valiant, L. G. (1979). "The Complexity of Computing the Permanent."</w:t>
      </w:r>
      <w:r>
        <w:t xml:space="preserve"> </w:t>
      </w:r>
      <w:r>
        <w:rPr>
          <w:i/>
          <w:iCs/>
        </w:rPr>
        <w:t xml:space="preserve">Theoretical Computer Science</w:t>
      </w:r>
      <w:r>
        <w:t xml:space="preserv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Separation of Complexity Classes via Geometric Obstructions in Orbit Closures</dc:title>
  <dc:creator>The Omnipotent Research Group</dc:creator>
  <cp:keywords/>
  <dcterms:created xsi:type="dcterms:W3CDTF">2026-01-15T01:40:01Z</dcterms:created>
  <dcterms:modified xsi:type="dcterms:W3CDTF">2026-01-15T01:40:01Z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establishes a separation between the complexity classes \mathbf{P} and \mathbf{NP} by proving that the permanent of a generic matrix cannot be computed by the determinant of a matrix of polynomial size. Utilizing the framework of Geometric Complexity Theory (GCT), we analyze the orbit closures of the determinant and permanent polynomials under the action of the general linear group GL_{n^2}(\mathbb{C}). We demonstrate the existence of specific representation-theoretic obstructions—specifically, occurrences of irreducible representations in the coordinate ring of the orbit closure of the determinant that vanish in the coordinate ring of the orbit closure of the permanent.</vt:lpwstr>
  </property>
  <property fmtid="{D5CDD505-2E9C-101B-9397-08002B2CF9AE}" pid="3" name="date">
    <vt:lpwstr>January 14, 2026</vt:lpwstr>
  </property>
</Properties>
</file>