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 w:line="24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34"/>
          <w:szCs w:val="34"/>
        </w:rPr>
        <w:t xml:space="preserve">Cover letter</w:t>
      </w:r>
    </w:p>
    <w:p>
      <w:pPr>
        <w:spacing w:after="60" w:before="0" w:line="28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Utah Hans · Independent researcher</w:t>
      </w:r>
    </w:p>
    <w:p>
      <w:pPr>
        <w:pBdr>
          <w:bottom w:val="single" w:color="B0B0B0" w:sz="6" w:space="6"/>
        </w:pBdr>
        <w:spacing w:after="200" w:before="120"/>
      </w:pPr>
      <w:r>
        <w:t xml:space="preserve"/>
      </w:r>
    </w:p>
    <w:p>
      <w:pPr>
        <w:spacing w:after="180" w:before="0" w:line="30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Dear Editors,</w:t>
      </w:r>
    </w:p>
    <w:p>
      <w:pPr>
        <w:spacing w:after="180" w:before="0" w:line="30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 am submitting </w:t>
      </w: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"Other Cardiometabolic Health" — Mechanism without outcome: a claim-level audit of AI-generated insulin misinformation in a disease with a 48-hour error budget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for consideration as Original research.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What it reports.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An exhaustive audit of 61 claims in an AI-generated document on insulin therapy, with classification into epistemic strata performed blind to all verdicts, plus five experiments. </w:t>
      </w: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No therapeutic-outcome claim was supported (0/8) and no quantitative specification was (0/9), under any analysis.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Mechanism claims scored substantially better; an exact ordinal permutation test on the verdict scale gives </w:t>
      </w:r>
      <w:r>
        <w:rPr>
          <w:rFonts w:ascii="Cambria" w:cs="Cambria" w:eastAsia="Cambria" w:hAnsi="Cambria"/>
          <w:b w:val="false"/>
          <w:bCs w:val="false"/>
          <w:i/>
          <w:iCs/>
          <w:color w:val="000000"/>
          <w:sz w:val="24"/>
          <w:szCs w:val="24"/>
        </w:rPr>
        <w:t xml:space="preserve">p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= 4.5 × 10⁻⁴. Every false outcome claim corresponded to a development programme that had already failed — C-peptide replacement, glucose-responsive insulin, hepato-preferential insulin, oral insulin, alpha-to-beta transdifferentiation.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Why it matters clinically.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Type 1 diabetes gives this an unusually short error budget: ketoacidosis follows insulin cessation within 12 to 48 hours, so the interval between believing a false claim and requiring emergency care is measured in hours rather than years. The practical observation is that a patient presenting such material will typically be right about the mechanism and wrong about the outcome, which makes wholesale dismissal both inaccurate and, I argue, counterproductive in a consultation.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What I would ask you to weigh most, because it is why the paper looks as it does.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Five separate analyses in this work damaged its own claims, and all five are reported:</w:t>
      </w:r>
    </w:p>
    <w:p>
      <w:pPr>
        <w:pStyle w:val="ListParagraph"/>
        <w:numPr>
          <w:ilvl w:val="0"/>
          <w:numId w:val="2"/>
        </w:numPr>
        <w:spacing w:after="100" w:before="0" w:line="36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Blinded classification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revealed that an earlier unblinded pass had over-assigned the outcome category specifically to claims already scored false, cutting the effect from 93%/0% to 79%/0%.</w:t>
      </w:r>
    </w:p>
    <w:p>
      <w:pPr>
        <w:pStyle w:val="ListParagraph"/>
        <w:numPr>
          <w:ilvl w:val="0"/>
          <w:numId w:val="2"/>
        </w:numPr>
        <w:spacing w:after="100" w:before="0" w:line="36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A replication falsified the explanatory hypothesis I had proposed.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I predicted the dissociation would persist under neutral prompting because it arose from corpus publication bias. It did not persist in any of six probes.</w:t>
      </w:r>
    </w:p>
    <w:p>
      <w:pPr>
        <w:pStyle w:val="ListParagraph"/>
        <w:numPr>
          <w:ilvl w:val="0"/>
          <w:numId w:val="2"/>
        </w:numPr>
        <w:spacing w:after="100" w:before="0" w:line="36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One experimental arm was discarded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for demand characteristics after four of six subjects inferred the hypothesis from passive context in their environment.</w:t>
      </w:r>
    </w:p>
    <w:p>
      <w:pPr>
        <w:pStyle w:val="ListParagraph"/>
        <w:numPr>
          <w:ilvl w:val="0"/>
          <w:numId w:val="2"/>
        </w:numPr>
        <w:spacing w:after="100" w:before="0" w:line="36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Pre-submission peer review showed the headline statistic was not robust.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The dichotomisation had been chosen silently; under the strict coding </w:t>
      </w:r>
      <w:r>
        <w:rPr>
          <w:rFonts w:ascii="Cambria" w:cs="Cambria" w:eastAsia="Cambria" w:hAnsi="Cambria"/>
          <w:b w:val="false"/>
          <w:bCs w:val="false"/>
          <w:i/>
          <w:iCs/>
          <w:color w:val="000000"/>
          <w:sz w:val="24"/>
          <w:szCs w:val="24"/>
        </w:rPr>
        <w:t xml:space="preserve">p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= 0.068, which is not significant. The paper now reports both codings, makes the cut-free ordinal test primary, and leads its Limitations with the problem rather than closing with it.</w:t>
      </w:r>
    </w:p>
    <w:p>
      <w:pPr>
        <w:pStyle w:val="ListParagraph"/>
        <w:numPr>
          <w:ilvl w:val="0"/>
          <w:numId w:val="2"/>
        </w:numPr>
        <w:spacing w:after="100" w:before="0" w:line="36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Two independent blinded extractors found 258 and 237 claims where I found 61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agreeing with each other to 8.5%. My counts therefore do not reproduce, and the abstract says so.</w:t>
      </w:r>
    </w:p>
    <w:p>
      <w:pPr>
        <w:spacing w:after="180" w:before="0" w:line="30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sixth arm was pre-registered and then </w:t>
      </w: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abandoned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when its isolation check failed; the abandonment is published rather than omitted.</w:t>
      </w:r>
    </w:p>
    <w:p>
      <w:pPr>
        <w:spacing w:after="180" w:before="0" w:line="30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 would rather submit a paper with a smaller claim and a visible audit trail than a larger claim and a fragile one.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Disclosure.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I generated the audited document myself, under a persona prompt I wrote. It was never disseminated. This is declared as a competing interest, not merely as provenance, because authoring the stimulus of a study is an interest in its result — and because it bounds the conclusion: the pattern may be a property of language models or of this prompt, and this design cannot separate them.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Dual use.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The source document contains construction and programming detail for the transdermal device it presents as a replacement for injected insulin. That material is reproduced nowhere. </w:t>
      </w: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The source document is retained but not published, and is available to you and to reviewers on request, in full and unredacted.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Its SHA-256 is published so any copy supplied can be verified as the one audited.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Use of AI, in five roles.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Google Gemini generated the audited document, under a persona prompt I wrote. Claude Opus 5 served as experimental subject in three arms, as a blinded measurement instrument for the classification and for the two independent re-extractions, and as a research assistant for the literature verification. It was also used, through Claude Code, to draft manuscript prose under my direction and to write the analysis scripts and build pipelines — every commit in the public repository records that, and I would rather declare it than leave it to be found. </w:t>
      </w: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No AI system is an author.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The circularity all this creates is treated as a limitation, including that both raters were sessions of one model, so κ measures stability under resampling and not inter-rater reliability. §7.8 gives the full breakdown, and the verbatim prompts and raw outputs are available to you on request.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Open materials.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The complete claim inventory, the canonical verdict file, both raters' classifications, both independent re-extractions, all five analysis scripts, four pre-registrations with commit timestamps, and a public corrections log with eleven entries are at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github.com/utahisnotastate/ufwwarforinsulin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The complete analysis output is also reproduced verbatim in the supplementary material.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Reporting guideline.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No EQUATOR-registered guideline covers this design. The submitted checklist uses STROBE as the closest available frame and states plainly where it does not fit, rather than stretching items to appear compliant.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Prior publication, stated in full.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The manuscript, its data, its analysis scripts and its corrections log are </w:t>
      </w: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already publicly available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in an open repository at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github.com/utahisnotastate/ufwwarforinsulin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and have been since the work was done. The repository is the mechanism by which this work is auditable, and taking it down would defeat the paper's central claim, so I have not done so.</w:t>
      </w:r>
    </w:p>
    <w:p>
      <w:pPr>
        <w:spacing w:after="180" w:before="0" w:line="30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 take this to fall under BMJ's preprint policy rather than to constitute prior publication, since it is an author-posted version that has not been peer reviewed or published by any journal. </w:t>
      </w: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I am flagging it explicitly rather than letting you discover it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because the required declaration asks whether the manuscript duplicates already-published material and I would rather you rule on that than have me assume the answer. A version will also be posted to medRxiv at submission.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It has not been submitted to, accepted by, or is under consideration at any other journal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and The BMJ is the only journal considering it.</w:t>
      </w:r>
    </w:p>
    <w:p>
      <w:pPr>
        <w:spacing w:after="180" w:before="0" w:line="30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This work received no funding and I have no financial competing interests.</w:t>
      </w:r>
    </w:p>
    <w:p>
      <w:pPr>
        <w:spacing w:after="180" w:before="0" w:line="30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Yours faithfully,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Utah Hans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Independent researcher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Cambria" w:hAnsi="Cambria"/>
        <w:sz w:val="20"/>
        <w:szCs w:val="20"/>
      </w:rPr>
      <w:fldChar w:fldCharType="begin"/>
    </w:r>
    <w:r>
      <w:rPr>
        <w:rFonts w:ascii="Cambria" w:cs="Cambria" w:eastAsia="Cambria" w:hAnsi="Cambria"/>
        <w:sz w:val="20"/>
        <w:szCs w:val="20"/>
      </w:rPr>
      <w:instrText xml:space="preserve">PAGE</w:instrText>
    </w:r>
    <w:r>
      <w:rPr>
        <w:rFonts w:ascii="Cambria" w:cs="Cambria" w:eastAsia="Cambria" w:hAnsi="Cambria"/>
        <w:sz w:val="20"/>
        <w:szCs w:val="20"/>
      </w:rPr>
      <w:fldChar w:fldCharType="separate"/>
    </w:r>
    <w:r>
      <w:rPr>
        <w:rFonts w:ascii="Cambria" w:cs="Cambria" w:eastAsia="Cambria" w:hAnsi="Cambria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76" w:hanging="316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76" w:hanging="316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Mechanism without outcome</dc:title>
  <dc:creator>Utah Hans</dc:creator>
  <dc:description>A claim-level audit of AI-generated insulin misinformation</dc:description>
  <cp:lastModifiedBy>Un-named</cp:lastModifiedBy>
  <cp:revision>1</cp:revision>
  <dcterms:created xsi:type="dcterms:W3CDTF">2026-10-29T22:20:25.943Z</dcterms:created>
  <dcterms:modified xsi:type="dcterms:W3CDTF">2026-10-29T22:20:25.944Z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