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0" w:line="240"/>
        <w:jc w:val="center"/>
      </w:pPr>
      <w:r>
        <w:rPr>
          <w:rFonts w:ascii="Cambria" w:cs="Cambria" w:eastAsia="Cambria" w:hAnsi="Cambria"/>
          <w:b/>
          <w:bCs/>
          <w:i w:val="false"/>
          <w:iCs w:val="false"/>
          <w:color w:val="000000"/>
          <w:sz w:val="34"/>
          <w:szCs w:val="34"/>
        </w:rPr>
        <w:t xml:space="preserve">Cover letter</w:t>
      </w:r>
    </w:p>
    <w:p>
      <w:pPr>
        <w:spacing w:after="60" w:before="0" w:line="280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Utah Hans · Independent researcher</w:t>
      </w:r>
    </w:p>
    <w:p>
      <w:pPr>
        <w:pBdr>
          <w:bottom w:val="single" w:color="B0B0B0" w:sz="6" w:space="6"/>
        </w:pBdr>
        <w:spacing w:after="200" w:before="120"/>
      </w:pPr>
      <w:r>
        <w:t xml:space="preserve"/>
      </w:r>
    </w:p>
    <w:p>
      <w:pPr>
        <w:spacing w:after="180" w:before="0" w:line="300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Dear Editors,</w:t>
      </w:r>
    </w:p>
    <w:p>
      <w:pPr>
        <w:spacing w:after="180" w:before="0" w:line="300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I am submitting </w:t>
      </w:r>
      <w:r>
        <w:rPr>
          <w:rFonts w:ascii="Cambria" w:cs="Cambria" w:eastAsia="Cambria" w:hAnsi="Cambria"/>
          <w:b/>
          <w:bCs/>
          <w:i w:val="false"/>
          <w:iCs w:val="false"/>
          <w:color w:val="000000"/>
          <w:sz w:val="24"/>
          <w:szCs w:val="24"/>
        </w:rPr>
        <w:t xml:space="preserve">"Other Cardiometabolic Health" — Mechanism without outcome: a claim-level audit of AI-generated insulin misinformation in a disease with a 48-hour error budget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for consideration as Original research.</w:t>
      </w:r>
    </w:p>
    <w:p>
      <w:pPr>
        <w:spacing w:after="180" w:before="0" w:line="300"/>
      </w:pPr>
      <w:r>
        <w:rPr>
          <w:rFonts w:ascii="Cambria" w:cs="Cambria" w:eastAsia="Cambria" w:hAnsi="Cambria"/>
          <w:b/>
          <w:bCs/>
          <w:i w:val="false"/>
          <w:iCs w:val="false"/>
          <w:color w:val="000000"/>
          <w:sz w:val="24"/>
          <w:szCs w:val="24"/>
        </w:rPr>
        <w:t xml:space="preserve">What it reports.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An exhaustive audit of 61 claims in an AI-generated document on insulin therapy, with classification into epistemic strata performed blind to all verdicts, plus five experiments. </w:t>
      </w:r>
      <w:r>
        <w:rPr>
          <w:rFonts w:ascii="Cambria" w:cs="Cambria" w:eastAsia="Cambria" w:hAnsi="Cambria"/>
          <w:b/>
          <w:bCs/>
          <w:i w:val="false"/>
          <w:iCs w:val="false"/>
          <w:color w:val="000000"/>
          <w:sz w:val="24"/>
          <w:szCs w:val="24"/>
        </w:rPr>
        <w:t xml:space="preserve">No therapeutic-outcome claim was supported (0/8) and no quantitative specification was (0/9), under any analysis.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Mechanism claims scored substantially better; an exact ordinal permutation test on the verdict scale gives </w:t>
      </w:r>
      <w:r>
        <w:rPr>
          <w:rFonts w:ascii="Cambria" w:cs="Cambria" w:eastAsia="Cambria" w:hAnsi="Cambria"/>
          <w:b w:val="false"/>
          <w:bCs w:val="false"/>
          <w:i/>
          <w:iCs/>
          <w:color w:val="000000"/>
          <w:sz w:val="24"/>
          <w:szCs w:val="24"/>
        </w:rPr>
        <w:t xml:space="preserve">p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= 4.5 × 10⁻⁴. Every false outcome claim corresponded to a development programme that had already failed — C-peptide replacement, glucose-responsive insulin, hepato-preferential insulin, oral insulin, alpha-to-beta transdifferentiation.</w:t>
      </w:r>
    </w:p>
    <w:p>
      <w:pPr>
        <w:spacing w:after="180" w:before="0" w:line="300"/>
      </w:pPr>
      <w:r>
        <w:rPr>
          <w:rFonts w:ascii="Cambria" w:cs="Cambria" w:eastAsia="Cambria" w:hAnsi="Cambria"/>
          <w:b/>
          <w:bCs/>
          <w:i w:val="false"/>
          <w:iCs w:val="false"/>
          <w:color w:val="000000"/>
          <w:sz w:val="24"/>
          <w:szCs w:val="24"/>
        </w:rPr>
        <w:t xml:space="preserve">Why it matters clinically.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Type 1 diabetes gives this an unusually short error budget: ketoacidosis follows insulin cessation within 12 to 48 hours, so the interval between believing a false claim and requiring emergency care is measured in hours rather than years. The practical observation is that a patient presenting such material will typically be right about the mechanism and wrong about the outcome, which makes wholesale dismissal both inaccurate and, I argue, counterproductive in a consultation.</w:t>
      </w:r>
    </w:p>
    <w:p>
      <w:pPr>
        <w:spacing w:after="180" w:before="0" w:line="300"/>
      </w:pPr>
      <w:r>
        <w:rPr>
          <w:rFonts w:ascii="Cambria" w:cs="Cambria" w:eastAsia="Cambria" w:hAnsi="Cambria"/>
          <w:b/>
          <w:bCs/>
          <w:i w:val="false"/>
          <w:iCs w:val="false"/>
          <w:color w:val="000000"/>
          <w:sz w:val="24"/>
          <w:szCs w:val="24"/>
        </w:rPr>
        <w:t xml:space="preserve">What I would ask you to weigh most, because it is why the paper looks as it does.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Five separate analyses in this work damaged its own claims, and all five are reported:</w:t>
      </w:r>
    </w:p>
    <w:p>
      <w:pPr>
        <w:pStyle w:val="ListParagraph"/>
        <w:numPr>
          <w:ilvl w:val="0"/>
          <w:numId w:val="2"/>
        </w:numPr>
        <w:spacing w:after="100" w:before="0" w:line="360"/>
      </w:pPr>
      <w:r>
        <w:rPr>
          <w:rFonts w:ascii="Cambria" w:cs="Cambria" w:eastAsia="Cambria" w:hAnsi="Cambria"/>
          <w:b/>
          <w:bCs/>
          <w:i w:val="false"/>
          <w:iCs w:val="false"/>
          <w:color w:val="000000"/>
          <w:sz w:val="24"/>
          <w:szCs w:val="24"/>
        </w:rPr>
        <w:t xml:space="preserve">Blinded classification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revealed that an earlier unblinded pass had over-assigned the outcome category specifically to claims already scored false, cutting the effect from 93%/0% to 79%/0%.</w:t>
      </w:r>
    </w:p>
    <w:p>
      <w:pPr>
        <w:pStyle w:val="ListParagraph"/>
        <w:numPr>
          <w:ilvl w:val="0"/>
          <w:numId w:val="2"/>
        </w:numPr>
        <w:spacing w:after="100" w:before="0" w:line="360"/>
      </w:pPr>
      <w:r>
        <w:rPr>
          <w:rFonts w:ascii="Cambria" w:cs="Cambria" w:eastAsia="Cambria" w:hAnsi="Cambria"/>
          <w:b/>
          <w:bCs/>
          <w:i w:val="false"/>
          <w:iCs w:val="false"/>
          <w:color w:val="000000"/>
          <w:sz w:val="24"/>
          <w:szCs w:val="24"/>
        </w:rPr>
        <w:t xml:space="preserve">A replication falsified the explanatory hypothesis I had proposed.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I predicted the dissociation would persist under neutral prompting because it arose from corpus publication bias. It did not persist in any of six probes.</w:t>
      </w:r>
    </w:p>
    <w:p>
      <w:pPr>
        <w:pStyle w:val="ListParagraph"/>
        <w:numPr>
          <w:ilvl w:val="0"/>
          <w:numId w:val="2"/>
        </w:numPr>
        <w:spacing w:after="100" w:before="0" w:line="360"/>
      </w:pPr>
      <w:r>
        <w:rPr>
          <w:rFonts w:ascii="Cambria" w:cs="Cambria" w:eastAsia="Cambria" w:hAnsi="Cambria"/>
          <w:b/>
          <w:bCs/>
          <w:i w:val="false"/>
          <w:iCs w:val="false"/>
          <w:color w:val="000000"/>
          <w:sz w:val="24"/>
          <w:szCs w:val="24"/>
        </w:rPr>
        <w:t xml:space="preserve">One experimental arm was discarded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for demand characteristics after four of six subjects inferred the hypothesis from passive context in their environment.</w:t>
      </w:r>
    </w:p>
    <w:p>
      <w:pPr>
        <w:pStyle w:val="ListParagraph"/>
        <w:numPr>
          <w:ilvl w:val="0"/>
          <w:numId w:val="2"/>
        </w:numPr>
        <w:spacing w:after="100" w:before="0" w:line="360"/>
      </w:pPr>
      <w:r>
        <w:rPr>
          <w:rFonts w:ascii="Cambria" w:cs="Cambria" w:eastAsia="Cambria" w:hAnsi="Cambria"/>
          <w:b/>
          <w:bCs/>
          <w:i w:val="false"/>
          <w:iCs w:val="false"/>
          <w:color w:val="000000"/>
          <w:sz w:val="24"/>
          <w:szCs w:val="24"/>
        </w:rPr>
        <w:t xml:space="preserve">Pre-submission peer review showed the headline statistic was not robust.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The dichotomisation had been chosen silently; under the strict coding </w:t>
      </w:r>
      <w:r>
        <w:rPr>
          <w:rFonts w:ascii="Cambria" w:cs="Cambria" w:eastAsia="Cambria" w:hAnsi="Cambria"/>
          <w:b w:val="false"/>
          <w:bCs w:val="false"/>
          <w:i/>
          <w:iCs/>
          <w:color w:val="000000"/>
          <w:sz w:val="24"/>
          <w:szCs w:val="24"/>
        </w:rPr>
        <w:t xml:space="preserve">p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= 0.068, which is not significant. The paper now reports both codings, makes the cut-free ordinal test primary, and leads its Limitations with the problem rather than closing with it.</w:t>
      </w:r>
    </w:p>
    <w:p>
      <w:pPr>
        <w:pStyle w:val="ListParagraph"/>
        <w:numPr>
          <w:ilvl w:val="0"/>
          <w:numId w:val="2"/>
        </w:numPr>
        <w:spacing w:after="100" w:before="0" w:line="360"/>
      </w:pPr>
      <w:r>
        <w:rPr>
          <w:rFonts w:ascii="Cambria" w:cs="Cambria" w:eastAsia="Cambria" w:hAnsi="Cambria"/>
          <w:b/>
          <w:bCs/>
          <w:i w:val="false"/>
          <w:iCs w:val="false"/>
          <w:color w:val="000000"/>
          <w:sz w:val="24"/>
          <w:szCs w:val="24"/>
        </w:rPr>
        <w:t xml:space="preserve">Two independent blinded extractors found 258 and 237 claims where I found 61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, agreeing with each other to 8.5%. My counts therefore do not reproduce, and the abstract says so.</w:t>
      </w:r>
    </w:p>
    <w:p>
      <w:pPr>
        <w:spacing w:after="180" w:before="0" w:line="300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 sixth arm was pre-registered and then </w:t>
      </w:r>
      <w:r>
        <w:rPr>
          <w:rFonts w:ascii="Cambria" w:cs="Cambria" w:eastAsia="Cambria" w:hAnsi="Cambria"/>
          <w:b/>
          <w:bCs/>
          <w:i w:val="false"/>
          <w:iCs w:val="false"/>
          <w:color w:val="000000"/>
          <w:sz w:val="24"/>
          <w:szCs w:val="24"/>
        </w:rPr>
        <w:t xml:space="preserve">abandoned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when its isolation check failed; the abandonment is published rather than omitted.</w:t>
      </w:r>
    </w:p>
    <w:p>
      <w:pPr>
        <w:spacing w:after="180" w:before="0" w:line="300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I would rather submit a paper with a smaller claim and a visible audit trail than a larger claim and a fragile one.</w:t>
      </w:r>
    </w:p>
    <w:p>
      <w:pPr>
        <w:spacing w:after="180" w:before="0" w:line="300"/>
      </w:pPr>
      <w:r>
        <w:rPr>
          <w:rFonts w:ascii="Cambria" w:cs="Cambria" w:eastAsia="Cambria" w:hAnsi="Cambria"/>
          <w:b/>
          <w:bCs/>
          <w:i w:val="false"/>
          <w:iCs w:val="false"/>
          <w:color w:val="000000"/>
          <w:sz w:val="24"/>
          <w:szCs w:val="24"/>
        </w:rPr>
        <w:t xml:space="preserve">Disclosure.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I generated the audited document myself, under a persona prompt I wrote. It was never disseminated. This is declared as a competing interest, not merely as provenance, because authoring the stimulus of a study is an interest in its result — and because it bounds the conclusion: the pattern may be a property of language models or of this prompt, and this design cannot separate them.</w:t>
      </w:r>
    </w:p>
    <w:p>
      <w:pPr>
        <w:spacing w:after="180" w:before="0" w:line="300"/>
      </w:pPr>
      <w:r>
        <w:rPr>
          <w:rFonts w:ascii="Cambria" w:cs="Cambria" w:eastAsia="Cambria" w:hAnsi="Cambria"/>
          <w:b/>
          <w:bCs/>
          <w:i w:val="false"/>
          <w:iCs w:val="false"/>
          <w:color w:val="000000"/>
          <w:sz w:val="24"/>
          <w:szCs w:val="24"/>
        </w:rPr>
        <w:t xml:space="preserve">Dual use.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The source document contains construction and programming detail for the transdermal device it presents as a replacement for injected insulin. That material is reproduced nowhere. </w:t>
      </w:r>
      <w:r>
        <w:rPr>
          <w:rFonts w:ascii="Cambria" w:cs="Cambria" w:eastAsia="Cambria" w:hAnsi="Cambria"/>
          <w:b/>
          <w:bCs/>
          <w:i w:val="false"/>
          <w:iCs w:val="false"/>
          <w:color w:val="000000"/>
          <w:sz w:val="24"/>
          <w:szCs w:val="24"/>
        </w:rPr>
        <w:t xml:space="preserve">The source document is retained but not published, and is available to you and to reviewers on request, in full and unredacted.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Its SHA-256 is published so any copy supplied can be verified as the one audited.</w:t>
      </w:r>
    </w:p>
    <w:p>
      <w:pPr>
        <w:spacing w:after="180" w:before="0" w:line="300"/>
      </w:pPr>
      <w:r>
        <w:rPr>
          <w:rFonts w:ascii="Cambria" w:cs="Cambria" w:eastAsia="Cambria" w:hAnsi="Cambria"/>
          <w:b/>
          <w:bCs/>
          <w:i w:val="false"/>
          <w:iCs w:val="false"/>
          <w:color w:val="000000"/>
          <w:sz w:val="24"/>
          <w:szCs w:val="24"/>
        </w:rPr>
        <w:t xml:space="preserve">Use of AI.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AI systems were used for literature search, verification, blinded classification, and as experimental subjects. No AI system is an author. The circularity this creates is treated as a limitation, including that both raters were sessions of one model, so κ measures stability under resampling and not inter-rater reliability.</w:t>
      </w:r>
    </w:p>
    <w:p>
      <w:pPr>
        <w:spacing w:after="180" w:before="0" w:line="300"/>
      </w:pPr>
      <w:r>
        <w:rPr>
          <w:rFonts w:ascii="Cambria" w:cs="Cambria" w:eastAsia="Cambria" w:hAnsi="Cambria"/>
          <w:b/>
          <w:bCs/>
          <w:i w:val="false"/>
          <w:iCs w:val="false"/>
          <w:color w:val="000000"/>
          <w:sz w:val="24"/>
          <w:szCs w:val="24"/>
        </w:rPr>
        <w:t xml:space="preserve">Open materials.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The complete claim inventory, the canonical verdict file, both raters' classifications, both independent re-extractions, all five analysis scripts, four pre-registrations with commit timestamps, and a public corrections log with eleven entries are at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00000"/>
          <w:sz w:val="21"/>
          <w:szCs w:val="21"/>
        </w:rPr>
        <w:t xml:space="preserve">github.com/utahisnotastate/ufwwarforinsulin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. The complete analysis output is also reproduced verbatim in the supplementary material.</w:t>
      </w:r>
    </w:p>
    <w:p>
      <w:pPr>
        <w:spacing w:after="180" w:before="0" w:line="300"/>
      </w:pPr>
      <w:r>
        <w:rPr>
          <w:rFonts w:ascii="Cambria" w:cs="Cambria" w:eastAsia="Cambria" w:hAnsi="Cambria"/>
          <w:b/>
          <w:bCs/>
          <w:i w:val="false"/>
          <w:iCs w:val="false"/>
          <w:color w:val="000000"/>
          <w:sz w:val="24"/>
          <w:szCs w:val="24"/>
        </w:rPr>
        <w:t xml:space="preserve">Reporting guideline.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No EQUATOR-registered guideline covers this design. The submitted checklist uses STROBE as the closest available frame and states plainly where it does not fit, rather than stretching items to appear compliant.</w:t>
      </w:r>
    </w:p>
    <w:p>
      <w:pPr>
        <w:spacing w:after="180" w:before="0" w:line="300"/>
      </w:pPr>
      <w:r>
        <w:rPr>
          <w:rFonts w:ascii="Cambria" w:cs="Cambria" w:eastAsia="Cambria" w:hAnsi="Cambria"/>
          <w:b/>
          <w:bCs/>
          <w:i w:val="false"/>
          <w:iCs w:val="false"/>
          <w:color w:val="000000"/>
          <w:sz w:val="24"/>
          <w:szCs w:val="24"/>
        </w:rPr>
        <w:t xml:space="preserve">Prior publication.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A version will be posted to medRxiv at submission. No part has been published elsewhere, and the manuscript is not under consideration by another journal.</w:t>
      </w:r>
    </w:p>
    <w:p>
      <w:pPr>
        <w:spacing w:after="180" w:before="0" w:line="300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This work received no funding and I have no financial competing interests.</w:t>
      </w:r>
    </w:p>
    <w:p>
      <w:pPr>
        <w:spacing w:after="180" w:before="0" w:line="300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Yours faithfully,</w:t>
      </w:r>
    </w:p>
    <w:p>
      <w:pPr>
        <w:spacing w:after="180" w:before="0" w:line="300"/>
      </w:pPr>
      <w:r>
        <w:rPr>
          <w:rFonts w:ascii="Cambria" w:cs="Cambria" w:eastAsia="Cambria" w:hAnsi="Cambria"/>
          <w:b/>
          <w:bCs/>
          <w:i w:val="false"/>
          <w:iCs w:val="false"/>
          <w:color w:val="000000"/>
          <w:sz w:val="24"/>
          <w:szCs w:val="24"/>
        </w:rPr>
        <w:t xml:space="preserve">Utah Hans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Independent researcher</w:t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mbria" w:cs="Cambria" w:eastAsia="Cambria" w:hAnsi="Cambria"/>
        <w:sz w:val="20"/>
        <w:szCs w:val="20"/>
      </w:rPr>
      <w:fldChar w:fldCharType="begin"/>
    </w:r>
    <w:r>
      <w:rPr>
        <w:rFonts w:ascii="Cambria" w:cs="Cambria" w:eastAsia="Cambria" w:hAnsi="Cambria"/>
        <w:sz w:val="20"/>
        <w:szCs w:val="20"/>
      </w:rPr>
      <w:instrText xml:space="preserve">PAGE</w:instrText>
    </w:r>
    <w:r>
      <w:rPr>
        <w:rFonts w:ascii="Cambria" w:cs="Cambria" w:eastAsia="Cambria" w:hAnsi="Cambria"/>
        <w:sz w:val="20"/>
        <w:szCs w:val="20"/>
      </w:rPr>
      <w:fldChar w:fldCharType="separate"/>
    </w:r>
    <w:r>
      <w:rPr>
        <w:rFonts w:ascii="Cambria" w:cs="Cambria" w:eastAsia="Cambria" w:hAnsi="Cambria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76" w:hanging="316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76" w:hanging="316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Mechanism without outcome</dc:title>
  <dc:creator>Utah Hans</dc:creator>
  <dc:description>A claim-level audit of AI-generated insulin misinformation</dc:description>
  <cp:lastModifiedBy>Un-named</cp:lastModifiedBy>
  <cp:revision>1</cp:revision>
  <dcterms:created xsi:type="dcterms:W3CDTF">2026-10-29T15:30:06.459Z</dcterms:created>
  <dcterms:modified xsi:type="dcterms:W3CDTF">2026-10-29T15:30:06.460Z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