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Cambria" w:cs="Cambria" w:eastAsia="Cambria" w:hAnsi="Cambria"/>
          <w:b/>
          <w:bCs/>
          <w:i w:val="false"/>
          <w:iCs w:val="false"/>
          <w:color w:val="000000"/>
          <w:sz w:val="34"/>
          <w:szCs w:val="34"/>
        </w:rPr>
        <w:t xml:space="preserve">Disclosure of interest</w:t>
      </w:r>
    </w:p>
    <w:p>
      <w:pPr>
        <w:spacing w:after="60" w:before="0" w:line="280"/>
      </w:pPr>
      <w:r>
        <w:rPr>
          <w:rFonts w:ascii="Cambria" w:cs="Cambria" w:eastAsia="Cambria" w:hAnsi="Cambria"/>
          <w:b/>
          <w:bCs/>
          <w:i w:val="false"/>
          <w:iCs w:val="false"/>
          <w:color w:val="000000"/>
          <w:sz w:val="22"/>
          <w:szCs w:val="22"/>
        </w:rPr>
        <w:t xml:space="preserve">"Other Cardiometabolic Health" — Mechanism without outcome: a claim-level audit of AI-generated insulin misinformation in a disease with a 48-hour error budget</w:t>
      </w:r>
    </w:p>
    <w:p>
      <w:pPr>
        <w:spacing w:after="60" w:before="0" w:line="280"/>
      </w:pPr>
      <w:r>
        <w:rPr>
          <w:rFonts w:ascii="Cambria" w:cs="Cambria" w:eastAsia="Cambria" w:hAnsi="Cambria"/>
          <w:b w:val="false"/>
          <w:bCs w:val="false"/>
          <w:i w:val="false"/>
          <w:iCs w:val="false"/>
          <w:color w:val="000000"/>
          <w:sz w:val="22"/>
          <w:szCs w:val="22"/>
        </w:rPr>
        <w:t xml:space="preserve">Utah Hans · Independent researcher · Sole author and guarantor</w:t>
      </w:r>
    </w:p>
    <w:p>
      <w:pPr>
        <w:pBdr>
          <w:bottom w:val="single" w:color="B0B0B0" w:sz="6" w:space="6"/>
        </w:pBdr>
        <w:spacing w:after="200" w:before="120"/>
      </w:pPr>
      <w:r>
        <w:t xml:space="preserve"/>
      </w:r>
    </w:p>
    <w:p>
      <w:pPr>
        <w:pBdr>
          <w:left w:val="single" w:color="9A9A9A" w:sz="12" w:space="8"/>
        </w:pBdr>
        <w:shd w:fill="F4F4F4" w:val="clear"/>
        <w:spacing w:after="160" w:before="160" w:line="360"/>
        <w:ind w:left="576" w:right="360"/>
      </w:pPr>
      <w:r>
        <w:rPr>
          <w:rFonts w:ascii="Cambria" w:cs="Cambria" w:eastAsia="Cambria" w:hAnsi="Cambria"/>
          <w:b/>
          <w:bCs/>
          <w:i w:val="false"/>
          <w:iCs w:val="false"/>
          <w:color w:val="000000"/>
          <w:sz w:val="22"/>
          <w:szCs w:val="22"/>
        </w:rPr>
        <w:t xml:space="preserve">How to use this document.</w:t>
      </w:r>
      <w:r>
        <w:rPr>
          <w:rFonts w:ascii="Cambria" w:cs="Cambria" w:eastAsia="Cambria" w:hAnsi="Cambria"/>
          <w:b w:val="false"/>
          <w:bCs w:val="false"/>
          <w:i w:val="false"/>
          <w:iCs w:val="false"/>
          <w:color w:val="000000"/>
          <w:sz w:val="22"/>
          <w:szCs w:val="22"/>
        </w:rPr>
        <w:t xml:space="preserve"> The ICMJE disclosure form is completed by each author through the ICMJE online tool at </w:t>
      </w:r>
      <w:r>
        <w:rPr>
          <w:rFonts w:ascii="Consolas" w:cs="Consolas" w:eastAsia="Consolas" w:hAnsi="Consolas"/>
          <w:b w:val="false"/>
          <w:bCs w:val="false"/>
          <w:i w:val="false"/>
          <w:iCs w:val="false"/>
          <w:color w:val="000000"/>
          <w:sz w:val="19"/>
          <w:szCs w:val="19"/>
        </w:rPr>
        <w:t xml:space="preserve">icmje.org/disclosure-of-interest/</w:t>
      </w:r>
      <w:r>
        <w:rPr>
          <w:rFonts w:ascii="Cambria" w:cs="Cambria" w:eastAsia="Cambria" w:hAnsi="Cambria"/>
          <w:b w:val="false"/>
          <w:bCs w:val="false"/>
          <w:i w:val="false"/>
          <w:iCs w:val="false"/>
          <w:color w:val="000000"/>
          <w:sz w:val="22"/>
          <w:szCs w:val="22"/>
        </w:rPr>
        <w:t xml:space="preserve">, which generates a PDF for upload. This page is </w:t>
      </w:r>
      <w:r>
        <w:rPr>
          <w:rFonts w:ascii="Cambria" w:cs="Cambria" w:eastAsia="Cambria" w:hAnsi="Cambria"/>
          <w:b/>
          <w:bCs/>
          <w:i w:val="false"/>
          <w:iCs w:val="false"/>
          <w:color w:val="000000"/>
          <w:sz w:val="22"/>
          <w:szCs w:val="22"/>
        </w:rPr>
        <w:t xml:space="preserve">not</w:t>
      </w:r>
      <w:r>
        <w:rPr>
          <w:rFonts w:ascii="Cambria" w:cs="Cambria" w:eastAsia="Cambria" w:hAnsi="Cambria"/>
          <w:b w:val="false"/>
          <w:bCs w:val="false"/>
          <w:i w:val="false"/>
          <w:iCs w:val="false"/>
          <w:color w:val="000000"/>
          <w:sz w:val="22"/>
          <w:szCs w:val="22"/>
        </w:rPr>
        <w:t xml:space="preserve"> a substitute for that form. It is the content to enter into it, written out so the answers are consistent, and so the one declarable interest in this study is not buried in a tick-box.</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The answer that matters</w:t>
      </w:r>
    </w:p>
    <w:p>
      <w:pPr>
        <w:spacing w:after="180" w:before="0" w:line="300"/>
      </w:pPr>
      <w:r>
        <w:rPr>
          <w:rFonts w:ascii="Cambria" w:cs="Cambria" w:eastAsia="Cambria" w:hAnsi="Cambria"/>
          <w:b/>
          <w:bCs/>
          <w:i w:val="false"/>
          <w:iCs w:val="false"/>
          <w:color w:val="000000"/>
          <w:sz w:val="24"/>
          <w:szCs w:val="24"/>
        </w:rPr>
        <w:t xml:space="preserve">I generated the document this paper audits.</w:t>
      </w:r>
    </w:p>
    <w:p>
      <w:pPr>
        <w:spacing w:after="180" w:before="0" w:line="300"/>
      </w:pPr>
      <w:r>
        <w:rPr>
          <w:rFonts w:ascii="Cambria" w:cs="Cambria" w:eastAsia="Cambria" w:hAnsi="Cambria"/>
          <w:b w:val="false"/>
          <w:bCs w:val="false"/>
          <w:i w:val="false"/>
          <w:iCs w:val="false"/>
          <w:color w:val="000000"/>
          <w:sz w:val="24"/>
          <w:szCs w:val="24"/>
        </w:rPr>
        <w:t xml:space="preserve">It was produced in a private session with Google Gemini, on my own account, under a persona configuration I wrote for the purpose, and I retain that configuration. It was never published, shared, or shown to any patient.</w:t>
      </w:r>
    </w:p>
    <w:p>
      <w:pPr>
        <w:spacing w:after="180" w:before="0" w:line="300"/>
      </w:pPr>
      <w:r>
        <w:rPr>
          <w:rFonts w:ascii="Cambria" w:cs="Cambria" w:eastAsia="Cambria" w:hAnsi="Cambria"/>
          <w:b/>
          <w:bCs/>
          <w:i w:val="false"/>
          <w:iCs w:val="false"/>
          <w:color w:val="000000"/>
          <w:sz w:val="24"/>
          <w:szCs w:val="24"/>
        </w:rPr>
        <w:t xml:space="preserve">This is declared as a competing interest rather than only as provenance, because authoring the stimulus of a study is an interest in its result.</w:t>
      </w:r>
      <w:r>
        <w:rPr>
          <w:rFonts w:ascii="Cambria" w:cs="Cambria" w:eastAsia="Cambria" w:hAnsi="Cambria"/>
          <w:b w:val="false"/>
          <w:bCs w:val="false"/>
          <w:i w:val="false"/>
          <w:iCs w:val="false"/>
          <w:color w:val="000000"/>
          <w:sz w:val="24"/>
          <w:szCs w:val="24"/>
        </w:rPr>
        <w:t xml:space="preserve"> It also bounds what the result can mean: the pattern reported may be a property of large language models or a property of this one prompt, and the study cannot distinguish them. That limitation is stated in the abstract, in §2.1, in §5.8 and in §7.2 of the manuscript.</w:t>
      </w:r>
    </w:p>
    <w:p>
      <w:pPr>
        <w:spacing w:after="180" w:before="0" w:line="300"/>
      </w:pPr>
      <w:r>
        <w:rPr>
          <w:rFonts w:ascii="Cambria" w:cs="Cambria" w:eastAsia="Cambria" w:hAnsi="Cambria"/>
          <w:b w:val="false"/>
          <w:bCs w:val="false"/>
          <w:i w:val="false"/>
          <w:iCs w:val="false"/>
          <w:color w:val="000000"/>
          <w:sz w:val="24"/>
          <w:szCs w:val="24"/>
        </w:rPr>
        <w:t xml:space="preserve">An earlier framing described this as a </w:t>
      </w:r>
      <w:r>
        <w:rPr>
          <w:rFonts w:ascii="Cambria" w:cs="Cambria" w:eastAsia="Cambria" w:hAnsi="Cambria"/>
          <w:b w:val="false"/>
          <w:bCs w:val="false"/>
          <w:i/>
          <w:iCs/>
          <w:color w:val="000000"/>
          <w:sz w:val="24"/>
          <w:szCs w:val="24"/>
        </w:rPr>
        <w:t xml:space="preserve">selection effect</w:t>
      </w:r>
      <w:r>
        <w:rPr>
          <w:rFonts w:ascii="Cambria" w:cs="Cambria" w:eastAsia="Cambria" w:hAnsi="Cambria"/>
          <w:b w:val="false"/>
          <w:bCs w:val="false"/>
          <w:i w:val="false"/>
          <w:iCs w:val="false"/>
          <w:color w:val="000000"/>
          <w:sz w:val="24"/>
          <w:szCs w:val="24"/>
        </w:rPr>
        <w:t xml:space="preserve">. That was wrong. A commissioned artifact is not a selection effect; it is construction, and it is corrected in the manuscript.</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ICMJE form, section by section</w:t>
      </w:r>
    </w:p>
    <w:p>
      <w:pPr>
        <w:pStyle w:val="Heading2"/>
        <w:keepNext/>
        <w:spacing w:after="140" w:before="280" w:line="240"/>
      </w:pPr>
      <w:r>
        <w:rPr>
          <w:rFonts w:ascii="Cambria" w:cs="Cambria" w:eastAsia="Cambria" w:hAnsi="Cambria"/>
          <w:b/>
          <w:bCs/>
          <w:i w:val="false"/>
          <w:iCs w:val="false"/>
          <w:color w:val="000000"/>
          <w:sz w:val="25"/>
          <w:szCs w:val="25"/>
        </w:rPr>
        <w:t xml:space="preserve">Section 1 — Author details</w:t>
      </w:r>
    </w:p>
    <w:p>
      <w:pPr>
        <w:spacing w:after="180" w:before="0" w:line="300"/>
      </w:pPr>
      <w:r>
        <w:rPr>
          <w:rFonts w:ascii="Cambria" w:cs="Cambria" w:eastAsia="Cambria" w:hAnsi="Cambria"/>
          <w:b w:val="false"/>
          <w:bCs w:val="false"/>
          <w:i w:val="false"/>
          <w:iCs w:val="false"/>
          <w:color w:val="000000"/>
          <w:sz w:val="24"/>
          <w:szCs w:val="24"/>
        </w:rPr>
        <w:t xml:space="preserve">Utah Hans. Independent researcher, no institutional affiliation. Sole author, and the guarantor for the work.</w:t>
      </w:r>
    </w:p>
    <w:p>
      <w:pPr>
        <w:pStyle w:val="Heading2"/>
        <w:keepNext/>
        <w:spacing w:after="140" w:before="280" w:line="240"/>
      </w:pPr>
      <w:r>
        <w:rPr>
          <w:rFonts w:ascii="Cambria" w:cs="Cambria" w:eastAsia="Cambria" w:hAnsi="Cambria"/>
          <w:b/>
          <w:bCs/>
          <w:i w:val="false"/>
          <w:iCs w:val="false"/>
          <w:color w:val="000000"/>
          <w:sz w:val="25"/>
          <w:szCs w:val="25"/>
        </w:rPr>
        <w:t xml:space="preserve">Section 2 — The work under consideration for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1"/>
        <w:gridCol w:w="1599"/>
      </w:tblGrid>
      <w:tr>
        <w:trPr>
          <w:tblHeader/>
        </w:trPr>
        <w:tc>
          <w:tcPr>
            <w:tcW w:type="dxa" w:w="776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Question</w:t>
            </w:r>
          </w:p>
        </w:tc>
        <w:tc>
          <w:tcPr>
            <w:tcW w:type="dxa" w:w="159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Answer</w:t>
            </w:r>
          </w:p>
        </w:tc>
      </w:tr>
      <w:tr>
        <w:tc>
          <w:tcPr>
            <w:tcW w:type="dxa" w:w="776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Grants or contracts for this work</w:t>
            </w:r>
          </w:p>
        </w:tc>
        <w:tc>
          <w:tcPr>
            <w:tcW w:type="dxa" w:w="15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76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Consulting fees</w:t>
            </w:r>
          </w:p>
        </w:tc>
        <w:tc>
          <w:tcPr>
            <w:tcW w:type="dxa" w:w="15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76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Payment for lectures, presentations, manuscript writing</w:t>
            </w:r>
          </w:p>
        </w:tc>
        <w:tc>
          <w:tcPr>
            <w:tcW w:type="dxa" w:w="15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76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Support for attending meetings or travel</w:t>
            </w:r>
          </w:p>
        </w:tc>
        <w:tc>
          <w:tcPr>
            <w:tcW w:type="dxa" w:w="15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76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Equipment, materials, drugs, writing assistance, gifts or other services</w:t>
            </w:r>
          </w:p>
        </w:tc>
        <w:tc>
          <w:tcPr>
            <w:tcW w:type="dxa" w:w="15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76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Any other financial or material support</w:t>
            </w:r>
          </w:p>
        </w:tc>
        <w:tc>
          <w:tcPr>
            <w:tcW w:type="dxa" w:w="159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No funding of any kind was received for this work.</w:t>
      </w:r>
      <w:r>
        <w:rPr>
          <w:rFonts w:ascii="Cambria" w:cs="Cambria" w:eastAsia="Cambria" w:hAnsi="Cambria"/>
          <w:b w:val="false"/>
          <w:bCs w:val="false"/>
          <w:i w:val="false"/>
          <w:iCs w:val="false"/>
          <w:color w:val="000000"/>
          <w:sz w:val="24"/>
          <w:szCs w:val="24"/>
        </w:rPr>
        <w:t xml:space="preserve"> No funder had any role in design, conduct, analysis, interpretation, writing, or the decision to submit, because there was no funder.</w:t>
      </w:r>
    </w:p>
    <w:p>
      <w:pPr>
        <w:pStyle w:val="Heading2"/>
        <w:keepNext/>
        <w:spacing w:after="140" w:before="280" w:line="240"/>
      </w:pPr>
      <w:r>
        <w:rPr>
          <w:rFonts w:ascii="Cambria" w:cs="Cambria" w:eastAsia="Cambria" w:hAnsi="Cambria"/>
          <w:b/>
          <w:bCs/>
          <w:i w:val="false"/>
          <w:iCs w:val="false"/>
          <w:color w:val="000000"/>
          <w:sz w:val="25"/>
          <w:szCs w:val="25"/>
        </w:rPr>
        <w:t xml:space="preserve">Section 3 — Financial relationships outside the submitted work, past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80"/>
        <w:gridCol w:w="1380"/>
      </w:tblGrid>
      <w:tr>
        <w:trPr>
          <w:tblHeader/>
        </w:trPr>
        <w:tc>
          <w:tcPr>
            <w:tcW w:type="dxa" w:w="798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Entity type</w:t>
            </w:r>
          </w:p>
        </w:tc>
        <w:tc>
          <w:tcPr>
            <w:tcW w:type="dxa" w:w="138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Relationship</w:t>
            </w:r>
          </w:p>
        </w:tc>
      </w:tr>
      <w:tr>
        <w:tc>
          <w:tcPr>
            <w:tcW w:type="dxa" w:w="79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Pharmaceutical companies, including </w:t>
            </w:r>
            <w:r>
              <w:rPr>
                <w:rFonts w:ascii="Cambria" w:cs="Cambria" w:eastAsia="Cambria" w:hAnsi="Cambria"/>
                <w:b/>
                <w:bCs/>
                <w:i w:val="false"/>
                <w:iCs w:val="false"/>
                <w:color w:val="000000"/>
                <w:sz w:val="19"/>
                <w:szCs w:val="19"/>
              </w:rPr>
              <w:t xml:space="preserve">Eli Lilly, Novo Nordisk and Sanofi</w:t>
            </w:r>
          </w:p>
        </w:tc>
        <w:tc>
          <w:tcPr>
            <w:tcW w:type="dxa" w:w="13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9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Developers of the AI systems studied or used, including </w:t>
            </w:r>
            <w:r>
              <w:rPr>
                <w:rFonts w:ascii="Cambria" w:cs="Cambria" w:eastAsia="Cambria" w:hAnsi="Cambria"/>
                <w:b/>
                <w:bCs/>
                <w:i w:val="false"/>
                <w:iCs w:val="false"/>
                <w:color w:val="000000"/>
                <w:sz w:val="19"/>
                <w:szCs w:val="19"/>
              </w:rPr>
              <w:t xml:space="preserve">Google</w:t>
            </w:r>
            <w:r>
              <w:rPr>
                <w:rFonts w:ascii="Cambria" w:cs="Cambria" w:eastAsia="Cambria" w:hAnsi="Cambria"/>
                <w:b w:val="false"/>
                <w:bCs w:val="false"/>
                <w:i w:val="false"/>
                <w:iCs w:val="false"/>
                <w:color w:val="000000"/>
                <w:sz w:val="19"/>
                <w:szCs w:val="19"/>
              </w:rPr>
              <w:t xml:space="preserve"> and </w:t>
            </w:r>
            <w:r>
              <w:rPr>
                <w:rFonts w:ascii="Cambria" w:cs="Cambria" w:eastAsia="Cambria" w:hAnsi="Cambria"/>
                <w:b/>
                <w:bCs/>
                <w:i w:val="false"/>
                <w:iCs w:val="false"/>
                <w:color w:val="000000"/>
                <w:sz w:val="19"/>
                <w:szCs w:val="19"/>
              </w:rPr>
              <w:t xml:space="preserve">Anthropic</w:t>
            </w:r>
          </w:p>
        </w:tc>
        <w:tc>
          <w:tcPr>
            <w:tcW w:type="dxa" w:w="13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9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Medical device manufacturers</w:t>
            </w:r>
          </w:p>
        </w:tc>
        <w:tc>
          <w:tcPr>
            <w:tcW w:type="dxa" w:w="13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9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Diabetes-related organisations, charities, or patient groups</w:t>
            </w:r>
          </w:p>
        </w:tc>
        <w:tc>
          <w:tcPr>
            <w:tcW w:type="dxa" w:w="13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9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Expert testimony, patents, royalties, stock, stock options</w:t>
            </w:r>
          </w:p>
        </w:tc>
        <w:tc>
          <w:tcPr>
            <w:tcW w:type="dxa" w:w="13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r>
        <w:tc>
          <w:tcPr>
            <w:tcW w:type="dxa" w:w="798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Any other financial relationship</w:t>
            </w:r>
          </w:p>
        </w:tc>
        <w:tc>
          <w:tcPr>
            <w:tcW w:type="dxa" w:w="138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None</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This matters for one section in particular. §4.4 of the manuscript discusses Eli Lilly's revenue disclosure, and the paper's title is drawn from a line item in that company's Form 10-K. </w:t>
      </w:r>
      <w:r>
        <w:rPr>
          <w:rFonts w:ascii="Cambria" w:cs="Cambria" w:eastAsia="Cambria" w:hAnsi="Cambria"/>
          <w:b/>
          <w:bCs/>
          <w:i w:val="false"/>
          <w:iCs w:val="false"/>
          <w:color w:val="000000"/>
          <w:sz w:val="24"/>
          <w:szCs w:val="24"/>
        </w:rPr>
        <w:t xml:space="preserve">I have no financial relationship with Eli Lilly of any kind, and no position, long or short, in its securities or those of any other pharmaceutical company.</w:t>
      </w:r>
    </w:p>
    <w:p>
      <w:pPr>
        <w:pStyle w:val="Heading2"/>
        <w:keepNext/>
        <w:spacing w:after="140" w:before="280" w:line="240"/>
      </w:pPr>
      <w:r>
        <w:rPr>
          <w:rFonts w:ascii="Cambria" w:cs="Cambria" w:eastAsia="Cambria" w:hAnsi="Cambria"/>
          <w:b/>
          <w:bCs/>
          <w:i w:val="false"/>
          <w:iCs w:val="false"/>
          <w:color w:val="000000"/>
          <w:sz w:val="25"/>
          <w:szCs w:val="25"/>
        </w:rPr>
        <w:t xml:space="preserve">Section 4 — Intellectual property</w:t>
      </w:r>
    </w:p>
    <w:p>
      <w:pPr>
        <w:spacing w:after="180" w:before="0" w:line="300"/>
      </w:pPr>
      <w:r>
        <w:rPr>
          <w:rFonts w:ascii="Cambria" w:cs="Cambria" w:eastAsia="Cambria" w:hAnsi="Cambria"/>
          <w:b w:val="false"/>
          <w:bCs w:val="false"/>
          <w:i w:val="false"/>
          <w:iCs w:val="false"/>
          <w:color w:val="000000"/>
          <w:sz w:val="24"/>
          <w:szCs w:val="24"/>
        </w:rPr>
        <w:t xml:space="preserve">No patents, applications, or intellectual property relating to this work or to anything it discusses.</w:t>
      </w:r>
    </w:p>
    <w:p>
      <w:pPr>
        <w:pStyle w:val="Heading2"/>
        <w:keepNext/>
        <w:spacing w:after="140" w:before="280" w:line="240"/>
      </w:pPr>
      <w:r>
        <w:rPr>
          <w:rFonts w:ascii="Cambria" w:cs="Cambria" w:eastAsia="Cambria" w:hAnsi="Cambria"/>
          <w:b/>
          <w:bCs/>
          <w:i w:val="false"/>
          <w:iCs w:val="false"/>
          <w:color w:val="000000"/>
          <w:sz w:val="25"/>
          <w:szCs w:val="25"/>
        </w:rPr>
        <w:t xml:space="preserve">Section 5 — Relationships not covered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rPr>
          <w:tblHeader/>
        </w:trPr>
        <w:tc>
          <w:tcPr>
            <w:tcW w:type="dxa" w:w="668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268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6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Authorship of the study stimulus</w:t>
            </w:r>
          </w:p>
        </w:tc>
        <w:tc>
          <w:tcPr>
            <w:tcW w:type="dxa" w:w="2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 — see above.</w:t>
            </w:r>
            <w:r>
              <w:rPr>
                <w:rFonts w:ascii="Cambria" w:cs="Cambria" w:eastAsia="Cambria" w:hAnsi="Cambria"/>
                <w:b w:val="false"/>
                <w:bCs w:val="false"/>
                <w:i w:val="false"/>
                <w:iCs w:val="false"/>
                <w:color w:val="000000"/>
                <w:sz w:val="19"/>
                <w:szCs w:val="19"/>
              </w:rPr>
              <w:t xml:space="preserve"> I generated the audited document</w:t>
            </w:r>
          </w:p>
        </w:tc>
      </w:tr>
      <w:tr>
        <w:tc>
          <w:tcPr>
            <w:tcW w:type="dxa" w:w="6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Unpaid memberships, advisory roles, advocacy positions</w:t>
            </w:r>
          </w:p>
        </w:tc>
        <w:tc>
          <w:tcPr>
            <w:tcW w:type="dxa" w:w="2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None</w:t>
            </w:r>
          </w:p>
        </w:tc>
      </w:tr>
      <w:tr>
        <w:tc>
          <w:tcPr>
            <w:tcW w:type="dxa" w:w="6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Leadership or fiduciary roles</w:t>
            </w:r>
          </w:p>
        </w:tc>
        <w:tc>
          <w:tcPr>
            <w:tcW w:type="dxa" w:w="268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None</w:t>
            </w:r>
          </w:p>
        </w:tc>
      </w:tr>
      <w:tr>
        <w:tc>
          <w:tcPr>
            <w:tcW w:type="dxa" w:w="668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Personal relationships influencing the work</w:t>
            </w:r>
          </w:p>
        </w:tc>
        <w:tc>
          <w:tcPr>
            <w:tcW w:type="dxa" w:w="268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None</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Section 6 — Other</w:t>
      </w:r>
    </w:p>
    <w:p>
      <w:pPr>
        <w:spacing w:after="180" w:before="0" w:line="300"/>
      </w:pPr>
      <w:r>
        <w:rPr>
          <w:rFonts w:ascii="Cambria" w:cs="Cambria" w:eastAsia="Cambria" w:hAnsi="Cambria"/>
          <w:b w:val="false"/>
          <w:bCs w:val="false"/>
          <w:i w:val="false"/>
          <w:iCs w:val="false"/>
          <w:color w:val="000000"/>
          <w:sz w:val="24"/>
          <w:szCs w:val="24"/>
        </w:rPr>
        <w:t xml:space="preserve">All materials are published openly under an MIT licence at </w:t>
      </w:r>
      <w:r>
        <w:rPr>
          <w:rFonts w:ascii="Consolas" w:cs="Consolas" w:eastAsia="Consolas" w:hAnsi="Consolas"/>
          <w:b w:val="false"/>
          <w:bCs w:val="false"/>
          <w:i w:val="false"/>
          <w:iCs w:val="false"/>
          <w:color w:val="000000"/>
          <w:sz w:val="21"/>
          <w:szCs w:val="21"/>
        </w:rPr>
        <w:t xml:space="preserve">github.com/utahisnotastate/ufwwarforinsulin</w:t>
      </w:r>
      <w:r>
        <w:rPr>
          <w:rFonts w:ascii="Cambria" w:cs="Cambria" w:eastAsia="Cambria" w:hAnsi="Cambria"/>
          <w:b w:val="false"/>
          <w:bCs w:val="false"/>
          <w:i w:val="false"/>
          <w:iCs w:val="false"/>
          <w:color w:val="000000"/>
          <w:sz w:val="24"/>
          <w:szCs w:val="24"/>
        </w:rPr>
        <w:t xml:space="preserve">, with no commercial interest in the repository or in anything derived from it.</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Related declarations in the manuscript</w:t>
      </w:r>
    </w:p>
    <w:p>
      <w:pPr>
        <w:spacing w:after="180" w:before="0" w:line="300"/>
      </w:pPr>
      <w:r>
        <w:rPr>
          <w:rFonts w:ascii="Cambria" w:cs="Cambria" w:eastAsia="Cambria" w:hAnsi="Cambria"/>
          <w:b w:val="false"/>
          <w:bCs w:val="false"/>
          <w:i w:val="false"/>
          <w:iCs w:val="false"/>
          <w:color w:val="000000"/>
          <w:sz w:val="24"/>
          <w:szCs w:val="24"/>
        </w:rPr>
        <w:t xml:space="preserve">The ICMJE form covers interests. Three further declarations are specific to this study and are in the manuscript rather than here.</w:t>
      </w:r>
    </w:p>
    <w:p>
      <w:pPr>
        <w:spacing w:after="180" w:before="0" w:line="300"/>
      </w:pPr>
      <w:r>
        <w:rPr>
          <w:rFonts w:ascii="Cambria" w:cs="Cambria" w:eastAsia="Cambria" w:hAnsi="Cambria"/>
          <w:b/>
          <w:bCs/>
          <w:i w:val="false"/>
          <w:iCs w:val="false"/>
          <w:color w:val="000000"/>
          <w:sz w:val="24"/>
          <w:szCs w:val="24"/>
        </w:rPr>
        <w:t xml:space="preserve">Use of AI (§7.8).</w:t>
      </w:r>
      <w:r>
        <w:rPr>
          <w:rFonts w:ascii="Cambria" w:cs="Cambria" w:eastAsia="Cambria" w:hAnsi="Cambria"/>
          <w:b w:val="false"/>
          <w:bCs w:val="false"/>
          <w:i w:val="false"/>
          <w:iCs w:val="false"/>
          <w:color w:val="000000"/>
          <w:sz w:val="24"/>
          <w:szCs w:val="24"/>
        </w:rPr>
        <w:t xml:space="preserve"> AI systems were used for literature search, claim verification, blinded classification, and </w:t>
      </w:r>
      <w:r>
        <w:rPr>
          <w:rFonts w:ascii="Cambria" w:cs="Cambria" w:eastAsia="Cambria" w:hAnsi="Cambria"/>
          <w:b/>
          <w:bCs/>
          <w:i w:val="false"/>
          <w:iCs w:val="false"/>
          <w:color w:val="000000"/>
          <w:sz w:val="24"/>
          <w:szCs w:val="24"/>
        </w:rPr>
        <w:t xml:space="preserve">as experimental subjects</w:t>
      </w:r>
      <w:r>
        <w:rPr>
          <w:rFonts w:ascii="Cambria" w:cs="Cambria" w:eastAsia="Cambria" w:hAnsi="Cambria"/>
          <w:b w:val="false"/>
          <w:bCs w:val="false"/>
          <w:i w:val="false"/>
          <w:iCs w:val="false"/>
          <w:color w:val="000000"/>
          <w:sz w:val="24"/>
          <w:szCs w:val="24"/>
        </w:rPr>
        <w:t xml:space="preserve">. No AI system is an author, consistent with ICMJE guidance, and the author takes full responsibility for all content. The circularity this creates — verification and subjects drawn from the same model family — is treated as a limitation in §5.9, not as a footnote.</w:t>
      </w:r>
    </w:p>
    <w:p>
      <w:pPr>
        <w:spacing w:after="180" w:before="0" w:line="300"/>
      </w:pPr>
      <w:r>
        <w:rPr>
          <w:rFonts w:ascii="Cambria" w:cs="Cambria" w:eastAsia="Cambria" w:hAnsi="Cambria"/>
          <w:b/>
          <w:bCs/>
          <w:i w:val="false"/>
          <w:iCs w:val="false"/>
          <w:color w:val="000000"/>
          <w:sz w:val="24"/>
          <w:szCs w:val="24"/>
        </w:rPr>
        <w:t xml:space="preserve">Dual-use (§7.3).</w:t>
      </w:r>
      <w:r>
        <w:rPr>
          <w:rFonts w:ascii="Cambria" w:cs="Cambria" w:eastAsia="Cambria" w:hAnsi="Cambria"/>
          <w:b w:val="false"/>
          <w:bCs w:val="false"/>
          <w:i w:val="false"/>
          <w:iCs w:val="false"/>
          <w:color w:val="000000"/>
          <w:sz w:val="24"/>
          <w:szCs w:val="24"/>
        </w:rPr>
        <w:t xml:space="preserve"> The source document contains construction and programming detail for a device it presents as a replacement for injected insulin. That material is reproduced nowhere, and the source document is retained but not published. It is available to the editors and to peer reviewers on request, in full, and its SHA-256 is published so any copy supplied can be verified.</w:t>
      </w:r>
    </w:p>
    <w:p>
      <w:pPr>
        <w:spacing w:after="180" w:before="0" w:line="300"/>
      </w:pPr>
      <w:r>
        <w:rPr>
          <w:rFonts w:ascii="Cambria" w:cs="Cambria" w:eastAsia="Cambria" w:hAnsi="Cambria"/>
          <w:b/>
          <w:bCs/>
          <w:i w:val="false"/>
          <w:iCs w:val="false"/>
          <w:color w:val="000000"/>
          <w:sz w:val="24"/>
          <w:szCs w:val="24"/>
        </w:rPr>
        <w:t xml:space="preserve">Corrections during preparation (§7.10).</w:t>
      </w:r>
      <w:r>
        <w:rPr>
          <w:rFonts w:ascii="Cambria" w:cs="Cambria" w:eastAsia="Cambria" w:hAnsi="Cambria"/>
          <w:b w:val="false"/>
          <w:bCs w:val="false"/>
          <w:i w:val="false"/>
          <w:iCs w:val="false"/>
          <w:color w:val="000000"/>
          <w:sz w:val="24"/>
          <w:szCs w:val="24"/>
        </w:rPr>
        <w:t xml:space="preserve"> Eleven errors in this work were found and logged publicly before submission, with the original wording preserved rather than overwritten. Two changed what the paper claims. They are listed in the manuscript and in full in supplementary material S7.</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Statement for the manuscript</w:t>
      </w:r>
    </w:p>
    <w:p>
      <w:pPr>
        <w:pBdr>
          <w:left w:val="single" w:color="9A9A9A" w:sz="12" w:space="8"/>
        </w:pBdr>
        <w:shd w:fill="F4F4F4" w:val="clear"/>
        <w:spacing w:after="160" w:before="160" w:line="360"/>
        <w:ind w:left="576" w:right="360"/>
      </w:pPr>
      <w:r>
        <w:rPr>
          <w:rFonts w:ascii="Cambria" w:cs="Cambria" w:eastAsia="Cambria" w:hAnsi="Cambria"/>
          <w:b w:val="false"/>
          <w:bCs w:val="false"/>
          <w:i w:val="false"/>
          <w:iCs w:val="false"/>
          <w:color w:val="000000"/>
          <w:sz w:val="22"/>
          <w:szCs w:val="22"/>
        </w:rPr>
        <w:t xml:space="preserve">The author has completed the ICMJE uniform disclosure form and declares: </w:t>
      </w:r>
      <w:r>
        <w:rPr>
          <w:rFonts w:ascii="Cambria" w:cs="Cambria" w:eastAsia="Cambria" w:hAnsi="Cambria"/>
          <w:b/>
          <w:bCs/>
          <w:i w:val="false"/>
          <w:iCs w:val="false"/>
          <w:color w:val="000000"/>
          <w:sz w:val="22"/>
          <w:szCs w:val="22"/>
        </w:rPr>
        <w:t xml:space="preserve">no financial support for the submitted work; no financial relationships with any organisation that might have an interest in the submitted work in the previous three years.</w:t>
      </w:r>
      <w:r>
        <w:rPr>
          <w:rFonts w:ascii="Cambria" w:cs="Cambria" w:eastAsia="Cambria" w:hAnsi="Cambria"/>
          <w:b w:val="false"/>
          <w:bCs w:val="false"/>
          <w:i w:val="false"/>
          <w:iCs w:val="false"/>
          <w:color w:val="000000"/>
          <w:sz w:val="22"/>
          <w:szCs w:val="22"/>
        </w:rPr>
        <w:t xml:space="preserve"> One non-financial interest is declared: </w:t>
      </w:r>
      <w:r>
        <w:rPr>
          <w:rFonts w:ascii="Cambria" w:cs="Cambria" w:eastAsia="Cambria" w:hAnsi="Cambria"/>
          <w:b/>
          <w:bCs/>
          <w:i w:val="false"/>
          <w:iCs w:val="false"/>
          <w:color w:val="000000"/>
          <w:sz w:val="22"/>
          <w:szCs w:val="22"/>
        </w:rPr>
        <w:t xml:space="preserve">the author generated the document that this study audits</w:t>
      </w:r>
      <w:r>
        <w:rPr>
          <w:rFonts w:ascii="Cambria" w:cs="Cambria" w:eastAsia="Cambria" w:hAnsi="Cambria"/>
          <w:b w:val="false"/>
          <w:bCs w:val="false"/>
          <w:i w:val="false"/>
          <w:iCs w:val="false"/>
          <w:color w:val="000000"/>
          <w:sz w:val="22"/>
          <w:szCs w:val="22"/>
        </w:rPr>
        <w:t xml:space="preserve">, under a persona configuration of the author's own writing. The document was never disseminated. This is disclosed in the abstract, in the methods, and in the competing-interests statement, because it bounds what the results can mean.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r>
    <w:r>
      <w:rPr>
        <w:rFonts w:ascii="Cambria" w:cs="Cambria" w:eastAsia="Cambria" w:hAnsi="Cambria"/>
        <w:sz w:val="20"/>
        <w:szCs w:val="20"/>
      </w:rPr>
      <w:instrText xml:space="preserve">PAGE</w:instrText>
    </w:r>
    <w:r>
      <w:rPr>
        <w:rFonts w:ascii="Cambria" w:cs="Cambria" w:eastAsia="Cambria" w:hAnsi="Cambria"/>
        <w:sz w:val="20"/>
        <w:szCs w:val="20"/>
      </w:rPr>
      <w:fldChar w:fldCharType="separate"/>
    </w:r>
    <w:r>
      <w:rPr>
        <w:rFonts w:ascii="Cambria" w:cs="Cambria" w:eastAsia="Cambria" w:hAnsi="Cambria"/>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 without outcome</dc:title>
  <dc:creator>Utah Hans</dc:creator>
  <dc:description>A claim-level audit of AI-generated insulin misinformation</dc:description>
  <cp:lastModifiedBy>Un-named</cp:lastModifiedBy>
  <cp:revision>1</cp:revision>
  <dcterms:created xsi:type="dcterms:W3CDTF">2026-10-29T15:28:24.823Z</dcterms:created>
  <dcterms:modified xsi:type="dcterms:W3CDTF">2026-10-29T15:28:24.824Z</dcterms:modified>
</cp:coreProperties>
</file>

<file path=docProps/custom.xml><?xml version="1.0" encoding="utf-8"?>
<Properties xmlns="http://schemas.openxmlformats.org/officeDocument/2006/custom-properties" xmlns:vt="http://schemas.openxmlformats.org/officeDocument/2006/docPropsVTypes"/>
</file>