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40"/>
        <w:jc w:val="center"/>
      </w:pPr>
      <w:r>
        <w:rPr>
          <w:rFonts w:ascii="Cambria" w:cs="Cambria" w:eastAsia="Cambria" w:hAnsi="Cambria"/>
          <w:b/>
          <w:bCs/>
          <w:i w:val="false"/>
          <w:iCs w:val="false"/>
          <w:color w:val="000000"/>
          <w:sz w:val="34"/>
          <w:szCs w:val="34"/>
        </w:rPr>
        <w:t xml:space="preserve">Statistical analysis plan</w:t>
      </w:r>
    </w:p>
    <w:p>
      <w:pPr>
        <w:spacing w:after="60" w:before="0" w:line="280"/>
      </w:pPr>
      <w:r>
        <w:rPr>
          <w:rFonts w:ascii="Cambria" w:cs="Cambria" w:eastAsia="Cambria" w:hAnsi="Cambria"/>
          <w:b/>
          <w:bCs/>
          <w:i w:val="false"/>
          <w:iCs w:val="false"/>
          <w:color w:val="000000"/>
          <w:sz w:val="22"/>
          <w:szCs w:val="22"/>
        </w:rPr>
        <w:t xml:space="preserve">"Other Cardiometabolic Health" — Mechanism without outcome: a claim-level audit of AI-generated insulin misinformation in a disease with a 48-hour error budget</w:t>
      </w:r>
    </w:p>
    <w:p>
      <w:pPr>
        <w:spacing w:after="60" w:before="0" w:line="280"/>
      </w:pPr>
      <w:r>
        <w:rPr>
          <w:rFonts w:ascii="Cambria" w:cs="Cambria" w:eastAsia="Cambria" w:hAnsi="Cambria"/>
          <w:b w:val="false"/>
          <w:bCs w:val="false"/>
          <w:i w:val="false"/>
          <w:iCs w:val="false"/>
          <w:color w:val="000000"/>
          <w:sz w:val="22"/>
          <w:szCs w:val="22"/>
        </w:rPr>
        <w:t xml:space="preserve">Utah Hans · Independent researcher</w:t>
      </w:r>
    </w:p>
    <w:p>
      <w:pPr>
        <w:pBdr>
          <w:bottom w:val="single" w:color="B0B0B0" w:sz="6" w:space="6"/>
        </w:pBdr>
        <w:spacing w:after="200" w:before="120"/>
      </w:pPr>
      <w:r>
        <w:t xml:space="preserve"/>
      </w:r>
    </w:p>
    <w:p>
      <w:pPr>
        <w:pStyle w:val="Heading1"/>
        <w:keepNext/>
        <w:spacing w:after="140" w:before="360" w:line="240"/>
      </w:pPr>
      <w:r>
        <w:rPr>
          <w:rFonts w:ascii="Cambria" w:cs="Cambria" w:eastAsia="Cambria" w:hAnsi="Cambria"/>
          <w:b/>
          <w:bCs/>
          <w:i w:val="false"/>
          <w:iCs w:val="false"/>
          <w:color w:val="000000"/>
          <w:sz w:val="28"/>
          <w:szCs w:val="28"/>
        </w:rPr>
        <w:t xml:space="preserve">An honest preamble about what was pre-specified</w:t>
      </w:r>
    </w:p>
    <w:p>
      <w:pPr>
        <w:spacing w:after="180" w:before="0" w:line="300"/>
      </w:pPr>
      <w:r>
        <w:rPr>
          <w:rFonts w:ascii="Cambria" w:cs="Cambria" w:eastAsia="Cambria" w:hAnsi="Cambria"/>
          <w:b w:val="false"/>
          <w:bCs w:val="false"/>
          <w:i w:val="false"/>
          <w:iCs w:val="false"/>
          <w:color w:val="000000"/>
          <w:sz w:val="24"/>
          <w:szCs w:val="24"/>
        </w:rPr>
        <w:t xml:space="preserve">This study did not begin as a study. It began as a verification exercise on a single AI-generated document, and the hypothesis emerged from the completed verdict table rather than preceding it. </w:t>
      </w:r>
      <w:r>
        <w:rPr>
          <w:rFonts w:ascii="Cambria" w:cs="Cambria" w:eastAsia="Cambria" w:hAnsi="Cambria"/>
          <w:b/>
          <w:bCs/>
          <w:i w:val="false"/>
          <w:iCs w:val="false"/>
          <w:color w:val="000000"/>
          <w:sz w:val="24"/>
          <w:szCs w:val="24"/>
        </w:rPr>
        <w:t xml:space="preserve">The core analysis is therefore not pre-registered, and this plan does not claim otherwise.</w:t>
      </w:r>
    </w:p>
    <w:p>
      <w:pPr>
        <w:spacing w:after="180" w:before="0" w:line="300"/>
      </w:pPr>
      <w:r>
        <w:rPr>
          <w:rFonts w:ascii="Cambria" w:cs="Cambria" w:eastAsia="Cambria" w:hAnsi="Cambria"/>
          <w:b w:val="false"/>
          <w:bCs w:val="false"/>
          <w:i w:val="false"/>
          <w:iCs w:val="false"/>
          <w:color w:val="000000"/>
          <w:sz w:val="24"/>
          <w:szCs w:val="24"/>
        </w:rPr>
        <w:t xml:space="preserve">What </w:t>
      </w:r>
      <w:r>
        <w:rPr>
          <w:rFonts w:ascii="Cambria" w:cs="Cambria" w:eastAsia="Cambria" w:hAnsi="Cambria"/>
          <w:b w:val="false"/>
          <w:bCs w:val="false"/>
          <w:i/>
          <w:iCs/>
          <w:color w:val="000000"/>
          <w:sz w:val="24"/>
          <w:szCs w:val="24"/>
        </w:rPr>
        <w:t xml:space="preserve">was</w:t>
      </w:r>
      <w:r>
        <w:rPr>
          <w:rFonts w:ascii="Cambria" w:cs="Cambria" w:eastAsia="Cambria" w:hAnsi="Cambria"/>
          <w:b w:val="false"/>
          <w:bCs w:val="false"/>
          <w:i w:val="false"/>
          <w:iCs w:val="false"/>
          <w:color w:val="000000"/>
          <w:sz w:val="24"/>
          <w:szCs w:val="24"/>
        </w:rPr>
        <w:t xml:space="preserve"> pre-registered, each committed to a public repository before the corresponding work ran, is set out in §4. Every analysis in the manuscript is labelled below as </w:t>
      </w:r>
      <w:r>
        <w:rPr>
          <w:rFonts w:ascii="Cambria" w:cs="Cambria" w:eastAsia="Cambria" w:hAnsi="Cambria"/>
          <w:b/>
          <w:bCs/>
          <w:i w:val="false"/>
          <w:iCs w:val="false"/>
          <w:color w:val="000000"/>
          <w:sz w:val="24"/>
          <w:szCs w:val="24"/>
        </w:rPr>
        <w:t xml:space="preserve">pre-specified</w:t>
      </w:r>
      <w:r>
        <w:rPr>
          <w:rFonts w:ascii="Cambria" w:cs="Cambria" w:eastAsia="Cambria" w:hAnsi="Cambria"/>
          <w:b w:val="false"/>
          <w:bCs w:val="false"/>
          <w:i w:val="false"/>
          <w:iCs w:val="false"/>
          <w:color w:val="000000"/>
          <w:sz w:val="24"/>
          <w:szCs w:val="24"/>
        </w:rPr>
        <w:t xml:space="preserve">, </w:t>
      </w:r>
      <w:r>
        <w:rPr>
          <w:rFonts w:ascii="Cambria" w:cs="Cambria" w:eastAsia="Cambria" w:hAnsi="Cambria"/>
          <w:b/>
          <w:bCs/>
          <w:i w:val="false"/>
          <w:iCs w:val="false"/>
          <w:color w:val="000000"/>
          <w:sz w:val="24"/>
          <w:szCs w:val="24"/>
        </w:rPr>
        <w:t xml:space="preserve">post-hoc</w:t>
      </w:r>
      <w:r>
        <w:rPr>
          <w:rFonts w:ascii="Cambria" w:cs="Cambria" w:eastAsia="Cambria" w:hAnsi="Cambria"/>
          <w:b w:val="false"/>
          <w:bCs w:val="false"/>
          <w:i w:val="false"/>
          <w:iCs w:val="false"/>
          <w:color w:val="000000"/>
          <w:sz w:val="24"/>
          <w:szCs w:val="24"/>
        </w:rPr>
        <w:t xml:space="preserve">, or </w:t>
      </w:r>
      <w:r>
        <w:rPr>
          <w:rFonts w:ascii="Cambria" w:cs="Cambria" w:eastAsia="Cambria" w:hAnsi="Cambria"/>
          <w:b/>
          <w:bCs/>
          <w:i w:val="false"/>
          <w:iCs w:val="false"/>
          <w:color w:val="000000"/>
          <w:sz w:val="24"/>
          <w:szCs w:val="24"/>
        </w:rPr>
        <w:t xml:space="preserve">added after peer review</w:t>
      </w:r>
      <w:r>
        <w:rPr>
          <w:rFonts w:ascii="Cambria" w:cs="Cambria" w:eastAsia="Cambria" w:hAnsi="Cambria"/>
          <w:b w:val="false"/>
          <w:bCs w:val="false"/>
          <w:i w:val="false"/>
          <w:iCs w:val="false"/>
          <w:color w:val="000000"/>
          <w:sz w:val="24"/>
          <w:szCs w:val="24"/>
        </w:rPr>
        <w:t xml:space="preserve">, and the manuscript carries the same labels.</w:t>
      </w:r>
    </w:p>
    <w:p>
      <w:pPr>
        <w:spacing w:after="180" w:before="0" w:line="300"/>
      </w:pPr>
      <w:r>
        <w:rPr>
          <w:rFonts w:ascii="Cambria" w:cs="Cambria" w:eastAsia="Cambria" w:hAnsi="Cambria"/>
          <w:b w:val="false"/>
          <w:bCs w:val="false"/>
          <w:i w:val="false"/>
          <w:iCs w:val="false"/>
          <w:color w:val="000000"/>
          <w:sz w:val="24"/>
          <w:szCs w:val="24"/>
        </w:rPr>
        <w:t xml:space="preserve">A reader who treats only the pre-registered items as confirmatory, and everything else as exploratory, will be reading this paper correctly.</w:t>
      </w:r>
    </w:p>
    <w:p>
      <w:pPr>
        <w:pBdr>
          <w:bottom w:val="single" w:color="B0B0B0" w:sz="6" w:space="6"/>
        </w:pBdr>
        <w:spacing w:after="200" w:before="120"/>
      </w:pPr>
      <w:r>
        <w:t xml:space="preserve"/>
      </w:r>
    </w:p>
    <w:p>
      <w:pPr>
        <w:pStyle w:val="Heading1"/>
        <w:keepNext/>
        <w:spacing w:after="140" w:before="360" w:line="240"/>
      </w:pPr>
      <w:r>
        <w:rPr>
          <w:rFonts w:ascii="Cambria" w:cs="Cambria" w:eastAsia="Cambria" w:hAnsi="Cambria"/>
          <w:b/>
          <w:bCs/>
          <w:i w:val="false"/>
          <w:iCs w:val="false"/>
          <w:color w:val="000000"/>
          <w:sz w:val="28"/>
          <w:szCs w:val="28"/>
        </w:rPr>
        <w:t xml:space="preserve">1. Design and unit of analysis</w:t>
      </w:r>
    </w:p>
    <w:p>
      <w:pPr>
        <w:spacing w:after="180" w:before="0" w:line="300"/>
      </w:pPr>
      <w:r>
        <w:rPr>
          <w:rFonts w:ascii="Cambria" w:cs="Cambria" w:eastAsia="Cambria" w:hAnsi="Cambria"/>
          <w:b/>
          <w:bCs/>
          <w:i w:val="false"/>
          <w:iCs w:val="false"/>
          <w:color w:val="000000"/>
          <w:sz w:val="24"/>
          <w:szCs w:val="24"/>
        </w:rPr>
        <w:t xml:space="preserve">Design.</w:t>
      </w:r>
      <w:r>
        <w:rPr>
          <w:rFonts w:ascii="Cambria" w:cs="Cambria" w:eastAsia="Cambria" w:hAnsi="Cambria"/>
          <w:b w:val="false"/>
          <w:bCs w:val="false"/>
          <w:i w:val="false"/>
          <w:iCs w:val="false"/>
          <w:color w:val="000000"/>
          <w:sz w:val="24"/>
          <w:szCs w:val="24"/>
        </w:rPr>
        <w:t xml:space="preserve"> Exhaustive claim-level audit of one AI-generated document, with blinded classification into epistemic strata, followed by four experiments using language models as subjects.</w:t>
      </w:r>
    </w:p>
    <w:p>
      <w:pPr>
        <w:spacing w:after="180" w:before="0" w:line="300"/>
      </w:pPr>
      <w:r>
        <w:rPr>
          <w:rFonts w:ascii="Cambria" w:cs="Cambria" w:eastAsia="Cambria" w:hAnsi="Cambria"/>
          <w:b/>
          <w:bCs/>
          <w:i w:val="false"/>
          <w:iCs w:val="false"/>
          <w:color w:val="000000"/>
          <w:sz w:val="24"/>
          <w:szCs w:val="24"/>
        </w:rPr>
        <w:t xml:space="preserve">Unit of analysis.</w:t>
      </w:r>
      <w:r>
        <w:rPr>
          <w:rFonts w:ascii="Cambria" w:cs="Cambria" w:eastAsia="Cambria" w:hAnsi="Cambria"/>
          <w:b w:val="false"/>
          <w:bCs w:val="false"/>
          <w:i w:val="false"/>
          <w:iCs w:val="false"/>
          <w:color w:val="000000"/>
          <w:sz w:val="24"/>
          <w:szCs w:val="24"/>
        </w:rPr>
        <w:t xml:space="preserve"> The claim. Two audit entries each cover two claim identifiers under one shared verdict (B4/B5, D4/D5); a shared verdict is counted once for each claim it covers, so 61 claims carry 59 distinct verdict determinations.</w:t>
      </w:r>
    </w:p>
    <w:p>
      <w:pPr>
        <w:spacing w:after="180" w:before="0" w:line="300"/>
      </w:pPr>
      <w:r>
        <w:rPr>
          <w:rFonts w:ascii="Cambria" w:cs="Cambria" w:eastAsia="Cambria" w:hAnsi="Cambria"/>
          <w:b/>
          <w:bCs/>
          <w:i w:val="false"/>
          <w:iCs w:val="false"/>
          <w:color w:val="000000"/>
          <w:sz w:val="24"/>
          <w:szCs w:val="24"/>
        </w:rPr>
        <w:t xml:space="preserve">No sample size calculation was performed, and none was possible.</w:t>
      </w:r>
      <w:r>
        <w:rPr>
          <w:rFonts w:ascii="Cambria" w:cs="Cambria" w:eastAsia="Cambria" w:hAnsi="Cambria"/>
          <w:b w:val="false"/>
          <w:bCs w:val="false"/>
          <w:i w:val="false"/>
          <w:iCs w:val="false"/>
          <w:color w:val="000000"/>
          <w:sz w:val="24"/>
          <w:szCs w:val="24"/>
        </w:rPr>
        <w:t xml:space="preserve"> The denominator is the number of substantive claims in one document. The study is powered by whatever that number turned out to be.</w:t>
      </w:r>
    </w:p>
    <w:p>
      <w:pPr>
        <w:pBdr>
          <w:bottom w:val="single" w:color="B0B0B0" w:sz="6" w:space="6"/>
        </w:pBdr>
        <w:spacing w:after="200" w:before="120"/>
      </w:pPr>
      <w:r>
        <w:t xml:space="preserve"/>
      </w:r>
    </w:p>
    <w:p>
      <w:pPr>
        <w:pStyle w:val="Heading1"/>
        <w:keepNext/>
        <w:spacing w:after="140" w:before="360" w:line="240"/>
      </w:pPr>
      <w:r>
        <w:rPr>
          <w:rFonts w:ascii="Cambria" w:cs="Cambria" w:eastAsia="Cambria" w:hAnsi="Cambria"/>
          <w:b/>
          <w:bCs/>
          <w:i w:val="false"/>
          <w:iCs w:val="false"/>
          <w:color w:val="000000"/>
          <w:sz w:val="28"/>
          <w:szCs w:val="28"/>
        </w:rPr>
        <w:t xml:space="preserve">2. Outcome definitions</w:t>
      </w:r>
    </w:p>
    <w:p>
      <w:pPr>
        <w:pStyle w:val="Heading2"/>
        <w:keepNext/>
        <w:spacing w:after="140" w:before="280" w:line="240"/>
      </w:pPr>
      <w:r>
        <w:rPr>
          <w:rFonts w:ascii="Cambria" w:cs="Cambria" w:eastAsia="Cambria" w:hAnsi="Cambria"/>
          <w:b/>
          <w:bCs/>
          <w:i w:val="false"/>
          <w:iCs w:val="false"/>
          <w:color w:val="000000"/>
          <w:sz w:val="25"/>
          <w:szCs w:val="25"/>
        </w:rPr>
        <w:t xml:space="preserve">2.1 Verdict (the dependent variable)</w:t>
      </w:r>
    </w:p>
    <w:p>
      <w:pPr>
        <w:spacing w:after="180" w:before="0" w:line="300"/>
      </w:pPr>
      <w:r>
        <w:rPr>
          <w:rFonts w:ascii="Cambria" w:cs="Cambria" w:eastAsia="Cambria" w:hAnsi="Cambria"/>
          <w:b w:val="false"/>
          <w:bCs w:val="false"/>
          <w:i w:val="false"/>
          <w:iCs w:val="false"/>
          <w:color w:val="000000"/>
          <w:sz w:val="24"/>
          <w:szCs w:val="24"/>
        </w:rPr>
        <w:t xml:space="preserve">Each claim was assigned exactly one of five verdicts against primary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40"/>
        <w:gridCol w:w="7420"/>
      </w:tblGrid>
      <w:tr>
        <w:trPr>
          <w:tblHeader/>
        </w:trPr>
        <w:tc>
          <w:tcPr>
            <w:tcW w:type="dxa" w:w="1940"/>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Verdict</w:t>
            </w:r>
          </w:p>
        </w:tc>
        <w:tc>
          <w:tcPr>
            <w:tcW w:type="dxa" w:w="7420"/>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Definition</w:t>
            </w:r>
          </w:p>
        </w:tc>
      </w:tr>
      <w:tr>
        <w:tc>
          <w:tcPr>
            <w:tcW w:type="dxa" w:w="194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Verified</w:t>
            </w:r>
          </w:p>
        </w:tc>
        <w:tc>
          <w:tcPr>
            <w:tcW w:type="dxa" w:w="742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Supported as stated</w:t>
            </w:r>
          </w:p>
        </w:tc>
      </w:tr>
      <w:tr>
        <w:tc>
          <w:tcPr>
            <w:tcW w:type="dxa" w:w="194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Partly true</w:t>
            </w:r>
          </w:p>
        </w:tc>
        <w:tc>
          <w:tcPr>
            <w:tcW w:type="dxa" w:w="742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Real science, overstated, misattributed or out of date</w:t>
            </w:r>
          </w:p>
        </w:tc>
      </w:tr>
      <w:tr>
        <w:tc>
          <w:tcPr>
            <w:tcW w:type="dxa" w:w="194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Open</w:t>
            </w:r>
          </w:p>
        </w:tc>
        <w:tc>
          <w:tcPr>
            <w:tcW w:type="dxa" w:w="742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Plausible, under genuine investigation</w:t>
            </w:r>
          </w:p>
        </w:tc>
      </w:tr>
      <w:tr>
        <w:tc>
          <w:tcPr>
            <w:tcW w:type="dxa" w:w="194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Not true</w:t>
            </w:r>
          </w:p>
        </w:tc>
        <w:tc>
          <w:tcPr>
            <w:tcW w:type="dxa" w:w="742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Contradicted by evidence, or asserting what no study supports</w:t>
            </w:r>
          </w:p>
        </w:tc>
      </w:tr>
      <w:tr>
        <w:tc>
          <w:tcPr>
            <w:tcW w:type="dxa" w:w="1940"/>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 scientific basis</w:t>
            </w:r>
          </w:p>
        </w:tc>
        <w:tc>
          <w:tcPr>
            <w:tcW w:type="dxa" w:w="7420"/>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No mechanism; not testable as framed</w:t>
            </w:r>
          </w:p>
        </w:tc>
      </w:tr>
    </w:tbl>
    <w:p>
      <w:pPr>
        <w:spacing w:after="220" w:before="0"/>
      </w:pPr>
      <w:r>
        <w:t xml:space="preserve"/>
      </w:r>
    </w:p>
    <w:p>
      <w:pPr>
        <w:spacing w:after="180" w:before="0" w:line="300"/>
      </w:pPr>
      <w:r>
        <w:rPr>
          <w:rFonts w:ascii="Cambria" w:cs="Cambria" w:eastAsia="Cambria" w:hAnsi="Cambria"/>
          <w:b/>
          <w:bCs/>
          <w:i w:val="false"/>
          <w:iCs w:val="false"/>
          <w:color w:val="000000"/>
          <w:sz w:val="24"/>
          <w:szCs w:val="24"/>
        </w:rPr>
        <w:t xml:space="preserve">Verdict assignment was not blinded</w:t>
      </w:r>
      <w:r>
        <w:rPr>
          <w:rFonts w:ascii="Cambria" w:cs="Cambria" w:eastAsia="Cambria" w:hAnsi="Cambria"/>
          <w:b w:val="false"/>
          <w:bCs w:val="false"/>
          <w:i w:val="false"/>
          <w:iCs w:val="false"/>
          <w:color w:val="000000"/>
          <w:sz w:val="24"/>
          <w:szCs w:val="24"/>
        </w:rPr>
        <w:t xml:space="preserve">, and was performed by the author. This is the study's principal methodological weakness and is stated as such in the manuscript.</w:t>
      </w:r>
    </w:p>
    <w:p>
      <w:pPr>
        <w:pStyle w:val="Heading2"/>
        <w:keepNext/>
        <w:spacing w:after="140" w:before="280" w:line="240"/>
      </w:pPr>
      <w:r>
        <w:rPr>
          <w:rFonts w:ascii="Cambria" w:cs="Cambria" w:eastAsia="Cambria" w:hAnsi="Cambria"/>
          <w:b/>
          <w:bCs/>
          <w:i w:val="false"/>
          <w:iCs w:val="false"/>
          <w:color w:val="000000"/>
          <w:sz w:val="25"/>
          <w:szCs w:val="25"/>
        </w:rPr>
        <w:t xml:space="preserve">2.2 Stratum (the independent variable)</w:t>
      </w:r>
    </w:p>
    <w:p>
      <w:pPr>
        <w:spacing w:after="180" w:before="0" w:line="300"/>
      </w:pPr>
      <w:r>
        <w:rPr>
          <w:rFonts w:ascii="Cambria" w:cs="Cambria" w:eastAsia="Cambria" w:hAnsi="Cambria"/>
          <w:b w:val="false"/>
          <w:bCs w:val="false"/>
          <w:i w:val="false"/>
          <w:iCs w:val="false"/>
          <w:color w:val="000000"/>
          <w:sz w:val="24"/>
          <w:szCs w:val="24"/>
        </w:rPr>
        <w:t xml:space="preserve">Four strata, applied by two raters blinded to all verdicts against a rubric fixed before they saw the claims: </w:t>
      </w:r>
      <w:r>
        <w:rPr>
          <w:rFonts w:ascii="Cambria" w:cs="Cambria" w:eastAsia="Cambria" w:hAnsi="Cambria"/>
          <w:b/>
          <w:bCs/>
          <w:i w:val="false"/>
          <w:iCs w:val="false"/>
          <w:color w:val="000000"/>
          <w:sz w:val="24"/>
          <w:szCs w:val="24"/>
        </w:rPr>
        <w:t xml:space="preserve">mechanism</w:t>
      </w:r>
      <w:r>
        <w:rPr>
          <w:rFonts w:ascii="Cambria" w:cs="Cambria" w:eastAsia="Cambria" w:hAnsi="Cambria"/>
          <w:b w:val="false"/>
          <w:bCs w:val="false"/>
          <w:i w:val="false"/>
          <w:iCs w:val="false"/>
          <w:color w:val="000000"/>
          <w:sz w:val="24"/>
          <w:szCs w:val="24"/>
        </w:rPr>
        <w:t xml:space="preserve">, </w:t>
      </w:r>
      <w:r>
        <w:rPr>
          <w:rFonts w:ascii="Cambria" w:cs="Cambria" w:eastAsia="Cambria" w:hAnsi="Cambria"/>
          <w:b/>
          <w:bCs/>
          <w:i w:val="false"/>
          <w:iCs w:val="false"/>
          <w:color w:val="000000"/>
          <w:sz w:val="24"/>
          <w:szCs w:val="24"/>
        </w:rPr>
        <w:t xml:space="preserve">therapeutic outcome</w:t>
      </w:r>
      <w:r>
        <w:rPr>
          <w:rFonts w:ascii="Cambria" w:cs="Cambria" w:eastAsia="Cambria" w:hAnsi="Cambria"/>
          <w:b w:val="false"/>
          <w:bCs w:val="false"/>
          <w:i w:val="false"/>
          <w:iCs w:val="false"/>
          <w:color w:val="000000"/>
          <w:sz w:val="24"/>
          <w:szCs w:val="24"/>
        </w:rPr>
        <w:t xml:space="preserve">, </w:t>
      </w:r>
      <w:r>
        <w:rPr>
          <w:rFonts w:ascii="Cambria" w:cs="Cambria" w:eastAsia="Cambria" w:hAnsi="Cambria"/>
          <w:b/>
          <w:bCs/>
          <w:i w:val="false"/>
          <w:iCs w:val="false"/>
          <w:color w:val="000000"/>
          <w:sz w:val="24"/>
          <w:szCs w:val="24"/>
        </w:rPr>
        <w:t xml:space="preserve">specification</w:t>
      </w:r>
      <w:r>
        <w:rPr>
          <w:rFonts w:ascii="Cambria" w:cs="Cambria" w:eastAsia="Cambria" w:hAnsi="Cambria"/>
          <w:b w:val="false"/>
          <w:bCs w:val="false"/>
          <w:i w:val="false"/>
          <w:iCs w:val="false"/>
          <w:color w:val="000000"/>
          <w:sz w:val="24"/>
          <w:szCs w:val="24"/>
        </w:rPr>
        <w:t xml:space="preserve">, </w:t>
      </w:r>
      <w:r>
        <w:rPr>
          <w:rFonts w:ascii="Cambria" w:cs="Cambria" w:eastAsia="Cambria" w:hAnsi="Cambria"/>
          <w:b/>
          <w:bCs/>
          <w:i w:val="false"/>
          <w:iCs w:val="false"/>
          <w:color w:val="000000"/>
          <w:sz w:val="24"/>
          <w:szCs w:val="24"/>
        </w:rPr>
        <w:t xml:space="preserve">physical theory</w:t>
      </w:r>
      <w:r>
        <w:rPr>
          <w:rFonts w:ascii="Cambria" w:cs="Cambria" w:eastAsia="Cambria" w:hAnsi="Cambria"/>
          <w:b w:val="false"/>
          <w:bCs w:val="false"/>
          <w:i w:val="false"/>
          <w:iCs w:val="false"/>
          <w:color w:val="000000"/>
          <w:sz w:val="24"/>
          <w:szCs w:val="24"/>
        </w:rPr>
        <w:t xml:space="preserve">. The rubric is reproduced in the supplementary material, S2.1.</w:t>
      </w:r>
    </w:p>
    <w:p>
      <w:pPr>
        <w:pStyle w:val="Heading2"/>
        <w:keepNext/>
        <w:spacing w:after="140" w:before="280" w:line="240"/>
      </w:pPr>
      <w:r>
        <w:rPr>
          <w:rFonts w:ascii="Cambria" w:cs="Cambria" w:eastAsia="Cambria" w:hAnsi="Cambria"/>
          <w:b/>
          <w:bCs/>
          <w:i w:val="false"/>
          <w:iCs w:val="false"/>
          <w:color w:val="000000"/>
          <w:sz w:val="25"/>
          <w:szCs w:val="25"/>
        </w:rPr>
        <w:t xml:space="preserve">2.3 "Supported" — the definition that was not stated, and should have been</w:t>
      </w:r>
    </w:p>
    <w:p>
      <w:pPr>
        <w:spacing w:after="180" w:before="0" w:line="300"/>
      </w:pPr>
      <w:r>
        <w:rPr>
          <w:rFonts w:ascii="Cambria" w:cs="Cambria" w:eastAsia="Cambria" w:hAnsi="Cambria"/>
          <w:b w:val="false"/>
          <w:bCs w:val="false"/>
          <w:i w:val="false"/>
          <w:iCs w:val="false"/>
          <w:color w:val="000000"/>
          <w:sz w:val="24"/>
          <w:szCs w:val="24"/>
        </w:rPr>
        <w:t xml:space="preserve">Where claims are dichotomised, "supported" admits two readings:</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Lenient</w:t>
      </w:r>
      <w:r>
        <w:rPr>
          <w:rFonts w:ascii="Cambria" w:cs="Cambria" w:eastAsia="Cambria" w:hAnsi="Cambria"/>
          <w:b w:val="false"/>
          <w:bCs w:val="false"/>
          <w:i w:val="false"/>
          <w:iCs w:val="false"/>
          <w:color w:val="000000"/>
          <w:sz w:val="24"/>
          <w:szCs w:val="24"/>
        </w:rPr>
        <w:t xml:space="preserve"> — verified </w:t>
      </w:r>
      <w:r>
        <w:rPr>
          <w:rFonts w:ascii="Cambria" w:cs="Cambria" w:eastAsia="Cambria" w:hAnsi="Cambria"/>
          <w:b w:val="false"/>
          <w:bCs w:val="false"/>
          <w:i/>
          <w:iCs/>
          <w:color w:val="000000"/>
          <w:sz w:val="24"/>
          <w:szCs w:val="24"/>
        </w:rPr>
        <w:t xml:space="preserve">or</w:t>
      </w:r>
      <w:r>
        <w:rPr>
          <w:rFonts w:ascii="Cambria" w:cs="Cambria" w:eastAsia="Cambria" w:hAnsi="Cambria"/>
          <w:b w:val="false"/>
          <w:bCs w:val="false"/>
          <w:i w:val="false"/>
          <w:iCs w:val="false"/>
          <w:color w:val="000000"/>
          <w:sz w:val="24"/>
          <w:szCs w:val="24"/>
        </w:rPr>
        <w:t xml:space="preserve"> partly true.</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Strict</w:t>
      </w:r>
      <w:r>
        <w:rPr>
          <w:rFonts w:ascii="Cambria" w:cs="Cambria" w:eastAsia="Cambria" w:hAnsi="Cambria"/>
          <w:b w:val="false"/>
          <w:bCs w:val="false"/>
          <w:i w:val="false"/>
          <w:iCs w:val="false"/>
          <w:color w:val="000000"/>
          <w:sz w:val="24"/>
          <w:szCs w:val="24"/>
        </w:rPr>
        <w:t xml:space="preserve"> — verified only.</w:t>
      </w:r>
    </w:p>
    <w:p>
      <w:pPr>
        <w:spacing w:after="180" w:before="0" w:line="300"/>
      </w:pPr>
      <w:r>
        <w:rPr>
          <w:rFonts w:ascii="Cambria" w:cs="Cambria" w:eastAsia="Cambria" w:hAnsi="Cambria"/>
          <w:b/>
          <w:bCs/>
          <w:i w:val="false"/>
          <w:iCs w:val="false"/>
          <w:color w:val="000000"/>
          <w:sz w:val="24"/>
          <w:szCs w:val="24"/>
        </w:rPr>
        <w:t xml:space="preserve">The original analysis used the lenient coding, did not state it, and did not test it.</w:t>
      </w:r>
      <w:r>
        <w:rPr>
          <w:rFonts w:ascii="Cambria" w:cs="Cambria" w:eastAsia="Cambria" w:hAnsi="Cambria"/>
          <w:b w:val="false"/>
          <w:bCs w:val="false"/>
          <w:i w:val="false"/>
          <w:iCs w:val="false"/>
          <w:color w:val="000000"/>
          <w:sz w:val="24"/>
          <w:szCs w:val="24"/>
        </w:rPr>
        <w:t xml:space="preserve"> An external reviewer identified this before submission. It is an undisclosed analytic degree of freedom and it mattered: under the strict coding the central comparison is not statistically significant. Both codings are now reported everywhere, and the primary analysis avoids the choice entirely.</w:t>
      </w:r>
    </w:p>
    <w:p>
      <w:pPr>
        <w:pBdr>
          <w:bottom w:val="single" w:color="B0B0B0" w:sz="6" w:space="6"/>
        </w:pBdr>
        <w:spacing w:after="200" w:before="120"/>
      </w:pPr>
      <w:r>
        <w:t xml:space="preserve"/>
      </w:r>
    </w:p>
    <w:p>
      <w:pPr>
        <w:pStyle w:val="Heading1"/>
        <w:keepNext/>
        <w:spacing w:after="140" w:before="360" w:line="240"/>
      </w:pPr>
      <w:r>
        <w:rPr>
          <w:rFonts w:ascii="Cambria" w:cs="Cambria" w:eastAsia="Cambria" w:hAnsi="Cambria"/>
          <w:b/>
          <w:bCs/>
          <w:i w:val="false"/>
          <w:iCs w:val="false"/>
          <w:color w:val="000000"/>
          <w:sz w:val="28"/>
          <w:szCs w:val="28"/>
        </w:rPr>
        <w:t xml:space="preserve">3. Analyses</w:t>
      </w:r>
    </w:p>
    <w:p>
      <w:pPr>
        <w:pStyle w:val="Heading2"/>
        <w:keepNext/>
        <w:spacing w:after="140" w:before="280" w:line="240"/>
      </w:pPr>
      <w:r>
        <w:rPr>
          <w:rFonts w:ascii="Cambria" w:cs="Cambria" w:eastAsia="Cambria" w:hAnsi="Cambria"/>
          <w:b/>
          <w:bCs/>
          <w:i w:val="false"/>
          <w:iCs w:val="false"/>
          <w:color w:val="000000"/>
          <w:sz w:val="25"/>
          <w:szCs w:val="25"/>
        </w:rPr>
        <w:t xml:space="preserve">3.1 Primary analysis — ordinal, cut-free · </w:t>
      </w:r>
      <w:r>
        <w:rPr>
          <w:rFonts w:ascii="Cambria" w:cs="Cambria" w:eastAsia="Cambria" w:hAnsi="Cambria"/>
          <w:b/>
          <w:bCs/>
          <w:i/>
          <w:iCs/>
          <w:color w:val="000000"/>
          <w:sz w:val="25"/>
          <w:szCs w:val="25"/>
        </w:rPr>
        <w:t xml:space="preserve">added after peer review</w:t>
      </w:r>
    </w:p>
    <w:p>
      <w:pPr>
        <w:spacing w:after="180" w:before="0" w:line="300"/>
      </w:pPr>
      <w:r>
        <w:rPr>
          <w:rFonts w:ascii="Cambria" w:cs="Cambria" w:eastAsia="Cambria" w:hAnsi="Cambria"/>
          <w:b w:val="false"/>
          <w:bCs w:val="false"/>
          <w:i w:val="false"/>
          <w:iCs w:val="false"/>
          <w:color w:val="000000"/>
          <w:sz w:val="24"/>
          <w:szCs w:val="24"/>
        </w:rPr>
        <w:t xml:space="preserve">Verdicts form an ordered scale: verified (2) &gt; partly true (1) &gt; not true or no scientific basis (0). The mechanism and outcome strata are compared by </w:t>
      </w:r>
      <w:r>
        <w:rPr>
          <w:rFonts w:ascii="Cambria" w:cs="Cambria" w:eastAsia="Cambria" w:hAnsi="Cambria"/>
          <w:b/>
          <w:bCs/>
          <w:i w:val="false"/>
          <w:iCs w:val="false"/>
          <w:color w:val="000000"/>
          <w:sz w:val="24"/>
          <w:szCs w:val="24"/>
        </w:rPr>
        <w:t xml:space="preserve">exact permutation test</w:t>
      </w:r>
      <w:r>
        <w:rPr>
          <w:rFonts w:ascii="Cambria" w:cs="Cambria" w:eastAsia="Cambria" w:hAnsi="Cambria"/>
          <w:b w:val="false"/>
          <w:bCs w:val="false"/>
          <w:i w:val="false"/>
          <w:iCs w:val="false"/>
          <w:color w:val="000000"/>
          <w:sz w:val="24"/>
          <w:szCs w:val="24"/>
        </w:rPr>
        <w:t xml:space="preserve"> on that scale, enumerating all 2,220,075 assignments.</w:t>
      </w:r>
    </w:p>
    <w:p>
      <w:pPr>
        <w:spacing w:after="180" w:before="0" w:line="300"/>
      </w:pPr>
      <w:r>
        <w:rPr>
          <w:rFonts w:ascii="Cambria" w:cs="Cambria" w:eastAsia="Cambria" w:hAnsi="Cambria"/>
          <w:b/>
          <w:bCs/>
          <w:i w:val="false"/>
          <w:iCs w:val="false"/>
          <w:color w:val="000000"/>
          <w:sz w:val="24"/>
          <w:szCs w:val="24"/>
        </w:rPr>
        <w:t xml:space="preserve">Rationale.</w:t>
      </w:r>
      <w:r>
        <w:rPr>
          <w:rFonts w:ascii="Cambria" w:cs="Cambria" w:eastAsia="Cambria" w:hAnsi="Cambria"/>
          <w:b w:val="false"/>
          <w:bCs w:val="false"/>
          <w:i w:val="false"/>
          <w:iCs w:val="false"/>
          <w:color w:val="000000"/>
          <w:sz w:val="24"/>
          <w:szCs w:val="24"/>
        </w:rPr>
        <w:t xml:space="preserve"> The dichotomous result is sensitive to where the cut is placed, and choosing a cut post hoc is precisely the degree of freedom an unblinded analyst should not exercise. An ordinal test uses all the information and chooses no cut.</w:t>
      </w:r>
    </w:p>
    <w:p>
      <w:pPr>
        <w:spacing w:after="180" w:before="0" w:line="300"/>
      </w:pPr>
      <w:r>
        <w:rPr>
          <w:rFonts w:ascii="Cambria" w:cs="Cambria" w:eastAsia="Cambria" w:hAnsi="Cambria"/>
          <w:b w:val="false"/>
          <w:bCs w:val="false"/>
          <w:i w:val="false"/>
          <w:iCs w:val="false"/>
          <w:color w:val="000000"/>
          <w:sz w:val="24"/>
          <w:szCs w:val="24"/>
        </w:rPr>
        <w:t xml:space="preserve">Open claims are excluded from all contingency analyses.</w:t>
      </w:r>
    </w:p>
    <w:p>
      <w:pPr>
        <w:pStyle w:val="Heading2"/>
        <w:keepNext/>
        <w:spacing w:after="140" w:before="280" w:line="240"/>
      </w:pPr>
      <w:r>
        <w:rPr>
          <w:rFonts w:ascii="Cambria" w:cs="Cambria" w:eastAsia="Cambria" w:hAnsi="Cambria"/>
          <w:b/>
          <w:bCs/>
          <w:i w:val="false"/>
          <w:iCs w:val="false"/>
          <w:color w:val="000000"/>
          <w:sz w:val="25"/>
          <w:szCs w:val="25"/>
        </w:rPr>
        <w:t xml:space="preserve">3.2 Secondary — dichotomous contingency · </w:t>
      </w:r>
      <w:r>
        <w:rPr>
          <w:rFonts w:ascii="Cambria" w:cs="Cambria" w:eastAsia="Cambria" w:hAnsi="Cambria"/>
          <w:b/>
          <w:bCs/>
          <w:i/>
          <w:iCs/>
          <w:color w:val="000000"/>
          <w:sz w:val="25"/>
          <w:szCs w:val="25"/>
        </w:rPr>
        <w:t xml:space="preserve">post-hoc, reported under both codings</w:t>
      </w:r>
    </w:p>
    <w:p>
      <w:pPr>
        <w:spacing w:after="180" w:before="0" w:line="300"/>
      </w:pPr>
      <w:r>
        <w:rPr>
          <w:rFonts w:ascii="Cambria" w:cs="Cambria" w:eastAsia="Cambria" w:hAnsi="Cambria"/>
          <w:b w:val="false"/>
          <w:bCs w:val="false"/>
          <w:i w:val="false"/>
          <w:iCs w:val="false"/>
          <w:color w:val="000000"/>
          <w:sz w:val="24"/>
          <w:szCs w:val="24"/>
        </w:rPr>
        <w:t xml:space="preserve">Fisher's exact test, two-sided, on the mechanism-versus-outcome 2 × 2, reported separately under the lenient and strict definitions, with:</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Wilson score intervals</w:t>
      </w:r>
      <w:r>
        <w:rPr>
          <w:rFonts w:ascii="Cambria" w:cs="Cambria" w:eastAsia="Cambria" w:hAnsi="Cambria"/>
          <w:b w:val="false"/>
          <w:bCs w:val="false"/>
          <w:i w:val="false"/>
          <w:iCs w:val="false"/>
          <w:color w:val="000000"/>
          <w:sz w:val="24"/>
          <w:szCs w:val="24"/>
        </w:rPr>
        <w:t xml:space="preserve"> on each proportion</w:t>
      </w:r>
    </w:p>
    <w:p>
      <w:pPr>
        <w:pStyle w:val="ListParagraph"/>
        <w:numPr>
          <w:ilvl w:val="0"/>
          <w:numId w:val="2"/>
        </w:numPr>
        <w:spacing w:after="100" w:before="0" w:line="360"/>
      </w:pPr>
      <w:r>
        <w:rPr>
          <w:rFonts w:ascii="Cambria" w:cs="Cambria" w:eastAsia="Cambria" w:hAnsi="Cambria"/>
          <w:b w:val="false"/>
          <w:bCs w:val="false"/>
          <w:i w:val="false"/>
          <w:iCs w:val="false"/>
          <w:color w:val="000000"/>
          <w:sz w:val="24"/>
          <w:szCs w:val="24"/>
        </w:rPr>
        <w:t xml:space="preserve">the </w:t>
      </w:r>
      <w:r>
        <w:rPr>
          <w:rFonts w:ascii="Cambria" w:cs="Cambria" w:eastAsia="Cambria" w:hAnsi="Cambria"/>
          <w:b/>
          <w:bCs/>
          <w:i w:val="false"/>
          <w:iCs w:val="false"/>
          <w:color w:val="000000"/>
          <w:sz w:val="24"/>
          <w:szCs w:val="24"/>
        </w:rPr>
        <w:t xml:space="preserve">one-sided 95% lower bound of the conditional odds ratio</w:t>
      </w:r>
      <w:r>
        <w:rPr>
          <w:rFonts w:ascii="Cambria" w:cs="Cambria" w:eastAsia="Cambria" w:hAnsi="Cambria"/>
          <w:b w:val="false"/>
          <w:bCs w:val="false"/>
          <w:i w:val="false"/>
          <w:iCs w:val="false"/>
          <w:color w:val="000000"/>
          <w:sz w:val="24"/>
          <w:szCs w:val="24"/>
        </w:rPr>
        <w:t xml:space="preserve">, because the point estimate is infinite wherever a cell is zero</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Bonferroni adjustment</w:t>
      </w:r>
      <w:r>
        <w:rPr>
          <w:rFonts w:ascii="Cambria" w:cs="Cambria" w:eastAsia="Cambria" w:hAnsi="Cambria"/>
          <w:b w:val="false"/>
          <w:bCs w:val="false"/>
          <w:i w:val="false"/>
          <w:iCs w:val="false"/>
          <w:color w:val="000000"/>
          <w:sz w:val="24"/>
          <w:szCs w:val="24"/>
        </w:rPr>
        <w:t xml:space="preserve"> across the six pairwise comparisons possible among four strata</w:t>
      </w:r>
    </w:p>
    <w:p>
      <w:pPr>
        <w:pStyle w:val="Heading2"/>
        <w:keepNext/>
        <w:spacing w:after="140" w:before="280" w:line="240"/>
      </w:pPr>
      <w:r>
        <w:rPr>
          <w:rFonts w:ascii="Cambria" w:cs="Cambria" w:eastAsia="Cambria" w:hAnsi="Cambria"/>
          <w:b/>
          <w:bCs/>
          <w:i w:val="false"/>
          <w:iCs w:val="false"/>
          <w:color w:val="000000"/>
          <w:sz w:val="25"/>
          <w:szCs w:val="25"/>
        </w:rPr>
        <w:t xml:space="preserve">3.3 Clustering sensitivity · </w:t>
      </w:r>
      <w:r>
        <w:rPr>
          <w:rFonts w:ascii="Cambria" w:cs="Cambria" w:eastAsia="Cambria" w:hAnsi="Cambria"/>
          <w:b/>
          <w:bCs/>
          <w:i/>
          <w:iCs/>
          <w:color w:val="000000"/>
          <w:sz w:val="25"/>
          <w:szCs w:val="25"/>
        </w:rPr>
        <w:t xml:space="preserve">post-hoc</w:t>
      </w:r>
    </w:p>
    <w:p>
      <w:pPr>
        <w:spacing w:after="180" w:before="0" w:line="300"/>
      </w:pPr>
      <w:r>
        <w:rPr>
          <w:rFonts w:ascii="Cambria" w:cs="Cambria" w:eastAsia="Cambria" w:hAnsi="Cambria"/>
          <w:b w:val="false"/>
          <w:bCs w:val="false"/>
          <w:i w:val="false"/>
          <w:iCs w:val="false"/>
          <w:color w:val="000000"/>
          <w:sz w:val="24"/>
          <w:szCs w:val="24"/>
        </w:rPr>
        <w:t xml:space="preserve">Outcome claims cluster within a smaller number of underlying development programmes, so a sensitivity analysis aggregates to programme level (7 versus 7). </w:t>
      </w:r>
      <w:r>
        <w:rPr>
          <w:rFonts w:ascii="Cambria" w:cs="Cambria" w:eastAsia="Cambria" w:hAnsi="Cambria"/>
          <w:b/>
          <w:bCs/>
          <w:i w:val="false"/>
          <w:iCs w:val="false"/>
          <w:color w:val="000000"/>
          <w:sz w:val="24"/>
          <w:szCs w:val="24"/>
        </w:rPr>
        <w:t xml:space="preserve">This is a different and much smaller table, not a variance correction</w:t>
      </w:r>
      <w:r>
        <w:rPr>
          <w:rFonts w:ascii="Cambria" w:cs="Cambria" w:eastAsia="Cambria" w:hAnsi="Cambria"/>
          <w:b w:val="false"/>
          <w:bCs w:val="false"/>
          <w:i w:val="false"/>
          <w:iCs w:val="false"/>
          <w:color w:val="000000"/>
          <w:sz w:val="24"/>
          <w:szCs w:val="24"/>
        </w:rPr>
        <w:t xml:space="preserve">, and is labelled as such. At that dimension the smallest achievable </w:t>
      </w:r>
      <w:r>
        <w:rPr>
          <w:rFonts w:ascii="Cambria" w:cs="Cambria" w:eastAsia="Cambria" w:hAnsi="Cambria"/>
          <w:b w:val="false"/>
          <w:bCs w:val="false"/>
          <w:i/>
          <w:iCs/>
          <w:color w:val="000000"/>
          <w:sz w:val="24"/>
          <w:szCs w:val="24"/>
        </w:rPr>
        <w:t xml:space="preserve">p</w:t>
      </w:r>
      <w:r>
        <w:rPr>
          <w:rFonts w:ascii="Cambria" w:cs="Cambria" w:eastAsia="Cambria" w:hAnsi="Cambria"/>
          <w:b w:val="false"/>
          <w:bCs w:val="false"/>
          <w:i w:val="false"/>
          <w:iCs w:val="false"/>
          <w:color w:val="000000"/>
          <w:sz w:val="24"/>
          <w:szCs w:val="24"/>
        </w:rPr>
        <w:t xml:space="preserve"> is 2/C(14,7), so the figure encodes perfect separation and nothing more.</w:t>
      </w:r>
    </w:p>
    <w:p>
      <w:pPr>
        <w:pStyle w:val="Heading2"/>
        <w:keepNext/>
        <w:spacing w:after="140" w:before="280" w:line="240"/>
      </w:pPr>
      <w:r>
        <w:rPr>
          <w:rFonts w:ascii="Cambria" w:cs="Cambria" w:eastAsia="Cambria" w:hAnsi="Cambria"/>
          <w:b/>
          <w:bCs/>
          <w:i w:val="false"/>
          <w:iCs w:val="false"/>
          <w:color w:val="000000"/>
          <w:sz w:val="25"/>
          <w:szCs w:val="25"/>
        </w:rPr>
        <w:t xml:space="preserve">3.4 Confounding by position in the source document · </w:t>
      </w:r>
      <w:r>
        <w:rPr>
          <w:rFonts w:ascii="Cambria" w:cs="Cambria" w:eastAsia="Cambria" w:hAnsi="Cambria"/>
          <w:b/>
          <w:bCs/>
          <w:i/>
          <w:iCs/>
          <w:color w:val="000000"/>
          <w:sz w:val="25"/>
          <w:szCs w:val="25"/>
        </w:rPr>
        <w:t xml:space="preserve">added after peer review</w:t>
      </w:r>
    </w:p>
    <w:p>
      <w:pPr>
        <w:spacing w:after="180" w:before="0" w:line="300"/>
      </w:pPr>
      <w:r>
        <w:rPr>
          <w:rFonts w:ascii="Cambria" w:cs="Cambria" w:eastAsia="Cambria" w:hAnsi="Cambria"/>
          <w:b w:val="false"/>
          <w:bCs w:val="false"/>
          <w:i w:val="false"/>
          <w:iCs w:val="false"/>
          <w:color w:val="000000"/>
          <w:sz w:val="24"/>
          <w:szCs w:val="24"/>
        </w:rPr>
        <w:t xml:space="preserve">Block membership predicts stratum almost perfectly, so "accuracy falls where claims assert results" is hard to separate from "the document is accurate where it recites and invents where it argues." A </w:t>
      </w:r>
      <w:r>
        <w:rPr>
          <w:rFonts w:ascii="Cambria" w:cs="Cambria" w:eastAsia="Cambria" w:hAnsi="Cambria"/>
          <w:b/>
          <w:bCs/>
          <w:i w:val="false"/>
          <w:iCs w:val="false"/>
          <w:color w:val="000000"/>
          <w:sz w:val="24"/>
          <w:szCs w:val="24"/>
        </w:rPr>
        <w:t xml:space="preserve">Cochran–Mantel–Haenszel test stratified by document block</w:t>
      </w:r>
      <w:r>
        <w:rPr>
          <w:rFonts w:ascii="Cambria" w:cs="Cambria" w:eastAsia="Cambria" w:hAnsi="Cambria"/>
          <w:b w:val="false"/>
          <w:bCs w:val="false"/>
          <w:i w:val="false"/>
          <w:iCs w:val="false"/>
          <w:color w:val="000000"/>
          <w:sz w:val="24"/>
          <w:szCs w:val="24"/>
        </w:rPr>
        <w:t xml:space="preserve"> addresses this, reported under both codings.</w:t>
      </w:r>
    </w:p>
    <w:p>
      <w:pPr>
        <w:pStyle w:val="Heading2"/>
        <w:keepNext/>
        <w:spacing w:after="140" w:before="280" w:line="240"/>
      </w:pPr>
      <w:r>
        <w:rPr>
          <w:rFonts w:ascii="Cambria" w:cs="Cambria" w:eastAsia="Cambria" w:hAnsi="Cambria"/>
          <w:b/>
          <w:bCs/>
          <w:i w:val="false"/>
          <w:iCs w:val="false"/>
          <w:color w:val="000000"/>
          <w:sz w:val="25"/>
          <w:szCs w:val="25"/>
        </w:rPr>
        <w:t xml:space="preserve">3.5 Sub-claim aggregation · </w:t>
      </w:r>
      <w:r>
        <w:rPr>
          <w:rFonts w:ascii="Cambria" w:cs="Cambria" w:eastAsia="Cambria" w:hAnsi="Cambria"/>
          <w:b/>
          <w:bCs/>
          <w:i/>
          <w:iCs/>
          <w:color w:val="000000"/>
          <w:sz w:val="25"/>
          <w:szCs w:val="25"/>
        </w:rPr>
        <w:t xml:space="preserve">rule reconstructed retrospectively</w:t>
      </w:r>
    </w:p>
    <w:p>
      <w:pPr>
        <w:spacing w:after="180" w:before="0" w:line="300"/>
      </w:pPr>
      <w:r>
        <w:rPr>
          <w:rFonts w:ascii="Cambria" w:cs="Cambria" w:eastAsia="Cambria" w:hAnsi="Cambria"/>
          <w:b w:val="false"/>
          <w:bCs w:val="false"/>
          <w:i w:val="false"/>
          <w:iCs w:val="false"/>
          <w:color w:val="000000"/>
          <w:sz w:val="24"/>
          <w:szCs w:val="24"/>
        </w:rPr>
        <w:t xml:space="preserve">Several extracted claims bundle more than one assertion. The rule applied is </w:t>
      </w:r>
      <w:r>
        <w:rPr>
          <w:rFonts w:ascii="Cambria" w:cs="Cambria" w:eastAsia="Cambria" w:hAnsi="Cambria"/>
          <w:b/>
          <w:bCs/>
          <w:i w:val="false"/>
          <w:iCs w:val="false"/>
          <w:color w:val="000000"/>
          <w:sz w:val="24"/>
          <w:szCs w:val="24"/>
        </w:rPr>
        <w:t xml:space="preserve">worst-sub-claim-governs</w:t>
      </w:r>
      <w:r>
        <w:rPr>
          <w:rFonts w:ascii="Cambria" w:cs="Cambria" w:eastAsia="Cambria" w:hAnsi="Cambria"/>
          <w:b w:val="false"/>
          <w:bCs w:val="false"/>
          <w:i w:val="false"/>
          <w:iCs w:val="false"/>
          <w:color w:val="000000"/>
          <w:sz w:val="24"/>
          <w:szCs w:val="24"/>
        </w:rPr>
        <w:t xml:space="preserve">: a compound claim is scored on its weakest component, because a reader acting on the claim acts on all of it.</w:t>
      </w:r>
    </w:p>
    <w:p>
      <w:pPr>
        <w:spacing w:after="180" w:before="0" w:line="300"/>
      </w:pPr>
      <w:r>
        <w:rPr>
          <w:rFonts w:ascii="Cambria" w:cs="Cambria" w:eastAsia="Cambria" w:hAnsi="Cambria"/>
          <w:b/>
          <w:bCs/>
          <w:i w:val="false"/>
          <w:iCs w:val="false"/>
          <w:color w:val="000000"/>
          <w:sz w:val="24"/>
          <w:szCs w:val="24"/>
        </w:rPr>
        <w:t xml:space="preserve">This rule was not stated in the original analysis and was reconstructed afterwards.</w:t>
      </w:r>
      <w:r>
        <w:rPr>
          <w:rFonts w:ascii="Cambria" w:cs="Cambria" w:eastAsia="Cambria" w:hAnsi="Cambria"/>
          <w:b w:val="false"/>
          <w:bCs w:val="false"/>
          <w:i w:val="false"/>
          <w:iCs w:val="false"/>
          <w:color w:val="000000"/>
          <w:sz w:val="24"/>
          <w:szCs w:val="24"/>
        </w:rPr>
        <w:t xml:space="preserve"> One claim (B6) was found to violate it and is recoded from partly true to not true; that change weakens the result, from 15/19 to 14/19 mechanism claims supported. Every figure is reported both as originally coded and with B6 corrected.</w:t>
      </w:r>
    </w:p>
    <w:p>
      <w:pPr>
        <w:pStyle w:val="Heading2"/>
        <w:keepNext/>
        <w:spacing w:after="140" w:before="280" w:line="240"/>
      </w:pPr>
      <w:r>
        <w:rPr>
          <w:rFonts w:ascii="Cambria" w:cs="Cambria" w:eastAsia="Cambria" w:hAnsi="Cambria"/>
          <w:b/>
          <w:bCs/>
          <w:i w:val="false"/>
          <w:iCs w:val="false"/>
          <w:color w:val="000000"/>
          <w:sz w:val="25"/>
          <w:szCs w:val="25"/>
        </w:rPr>
        <w:t xml:space="preserve">3.6 Decomposition sensitivity · </w:t>
      </w:r>
      <w:r>
        <w:rPr>
          <w:rFonts w:ascii="Cambria" w:cs="Cambria" w:eastAsia="Cambria" w:hAnsi="Cambria"/>
          <w:b/>
          <w:bCs/>
          <w:i/>
          <w:iCs/>
          <w:color w:val="000000"/>
          <w:sz w:val="25"/>
          <w:szCs w:val="25"/>
        </w:rPr>
        <w:t xml:space="preserve">added after peer review</w:t>
      </w:r>
    </w:p>
    <w:p>
      <w:pPr>
        <w:spacing w:after="180" w:before="0" w:line="300"/>
      </w:pPr>
      <w:r>
        <w:rPr>
          <w:rFonts w:ascii="Cambria" w:cs="Cambria" w:eastAsia="Cambria" w:hAnsi="Cambria"/>
          <w:b w:val="false"/>
          <w:bCs w:val="false"/>
          <w:i w:val="false"/>
          <w:iCs w:val="false"/>
          <w:color w:val="000000"/>
          <w:sz w:val="24"/>
          <w:szCs w:val="24"/>
        </w:rPr>
        <w:t xml:space="preserve">The compound claim A3 is decomposed as two independent blinded extractors decomposed it, and the ordinal test re-run under four variants including two built to break the result: a maximally hostile assignment of all five components to the outcome stratum, and the reviewer's own proposed split.</w:t>
      </w:r>
    </w:p>
    <w:p>
      <w:pPr>
        <w:pStyle w:val="Heading2"/>
        <w:keepNext/>
        <w:spacing w:after="140" w:before="280" w:line="240"/>
      </w:pPr>
      <w:r>
        <w:rPr>
          <w:rFonts w:ascii="Cambria" w:cs="Cambria" w:eastAsia="Cambria" w:hAnsi="Cambria"/>
          <w:b/>
          <w:bCs/>
          <w:i w:val="false"/>
          <w:iCs w:val="false"/>
          <w:color w:val="000000"/>
          <w:sz w:val="25"/>
          <w:szCs w:val="25"/>
        </w:rPr>
        <w:t xml:space="preserve">3.7 Agreement</w:t>
      </w:r>
    </w:p>
    <w:p>
      <w:pPr>
        <w:spacing w:after="180" w:before="0" w:line="300"/>
      </w:pPr>
      <w:r>
        <w:rPr>
          <w:rFonts w:ascii="Cambria" w:cs="Cambria" w:eastAsia="Cambria" w:hAnsi="Cambria"/>
          <w:b w:val="false"/>
          <w:bCs w:val="false"/>
          <w:i w:val="false"/>
          <w:iCs w:val="false"/>
          <w:color w:val="000000"/>
          <w:sz w:val="24"/>
          <w:szCs w:val="24"/>
        </w:rPr>
        <w:t xml:space="preserve">Cohen's κ between the two blinded raters, reported twice:</w:t>
      </w:r>
    </w:p>
    <w:p>
      <w:pPr>
        <w:pStyle w:val="ListParagraph"/>
        <w:numPr>
          <w:ilvl w:val="0"/>
          <w:numId w:val="2"/>
        </w:numPr>
        <w:spacing w:after="100" w:before="0" w:line="360"/>
      </w:pPr>
      <w:r>
        <w:rPr>
          <w:rFonts w:ascii="Cambria" w:cs="Cambria" w:eastAsia="Cambria" w:hAnsi="Cambria"/>
          <w:b w:val="false"/>
          <w:bCs w:val="false"/>
          <w:i w:val="false"/>
          <w:iCs w:val="false"/>
          <w:color w:val="000000"/>
          <w:sz w:val="24"/>
          <w:szCs w:val="24"/>
        </w:rPr>
        <w:t xml:space="preserve">across all 61 claims, and</w:t>
      </w:r>
    </w:p>
    <w:p>
      <w:pPr>
        <w:pStyle w:val="ListParagraph"/>
        <w:numPr>
          <w:ilvl w:val="0"/>
          <w:numId w:val="2"/>
        </w:numPr>
        <w:spacing w:after="100" w:before="0" w:line="360"/>
      </w:pPr>
      <w:r>
        <w:rPr>
          <w:rFonts w:ascii="Cambria" w:cs="Cambria" w:eastAsia="Cambria" w:hAnsi="Cambria"/>
          <w:b/>
          <w:bCs/>
          <w:i w:val="false"/>
          <w:iCs w:val="false"/>
          <w:color w:val="000000"/>
          <w:sz w:val="24"/>
          <w:szCs w:val="24"/>
        </w:rPr>
        <w:t xml:space="preserve">restricted to the 31 claims whose identifier prefix does not predict the answer</w:t>
      </w:r>
      <w:r>
        <w:rPr>
          <w:rFonts w:ascii="Cambria" w:cs="Cambria" w:eastAsia="Cambria" w:hAnsi="Cambria"/>
          <w:b w:val="false"/>
          <w:bCs w:val="false"/>
          <w:i w:val="false"/>
          <w:iCs w:val="false"/>
          <w:color w:val="000000"/>
          <w:sz w:val="24"/>
          <w:szCs w:val="24"/>
        </w:rPr>
        <w:t xml:space="preserve"> — 30 of 61 classifications were derivable from the block prefix without reading the claim, so </w:t>
      </w:r>
      <w:r>
        <w:rPr>
          <w:rFonts w:ascii="Cambria" w:cs="Cambria" w:eastAsia="Cambria" w:hAnsi="Cambria"/>
          <w:b/>
          <w:bCs/>
          <w:i w:val="false"/>
          <w:iCs w:val="false"/>
          <w:color w:val="000000"/>
          <w:sz w:val="24"/>
          <w:szCs w:val="24"/>
        </w:rPr>
        <w:t xml:space="preserve">the restricted figure is the one to use.</w:t>
      </w:r>
    </w:p>
    <w:p>
      <w:pPr>
        <w:spacing w:after="180" w:before="0" w:line="300"/>
      </w:pPr>
      <w:r>
        <w:rPr>
          <w:rFonts w:ascii="Cambria" w:cs="Cambria" w:eastAsia="Cambria" w:hAnsi="Cambria"/>
          <w:b w:val="false"/>
          <w:bCs w:val="false"/>
          <w:i w:val="false"/>
          <w:iCs w:val="false"/>
          <w:color w:val="000000"/>
          <w:sz w:val="24"/>
          <w:szCs w:val="24"/>
        </w:rPr>
        <w:t xml:space="preserve">Both measure stability of one model under resampling, not inter-rater reliability between independent judges. Neither has been validated by a human rater.</w:t>
      </w:r>
    </w:p>
    <w:p>
      <w:pPr>
        <w:pStyle w:val="Heading2"/>
        <w:keepNext/>
        <w:spacing w:after="140" w:before="280" w:line="240"/>
      </w:pPr>
      <w:r>
        <w:rPr>
          <w:rFonts w:ascii="Cambria" w:cs="Cambria" w:eastAsia="Cambria" w:hAnsi="Cambria"/>
          <w:b/>
          <w:bCs/>
          <w:i w:val="false"/>
          <w:iCs w:val="false"/>
          <w:color w:val="000000"/>
          <w:sz w:val="25"/>
          <w:szCs w:val="25"/>
        </w:rPr>
        <w:t xml:space="preserve">3.8 Experimental arms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7"/>
        <w:gridCol w:w="3766"/>
        <w:gridCol w:w="4137"/>
      </w:tblGrid>
      <w:tr>
        <w:trPr>
          <w:tblHeader/>
        </w:trPr>
        <w:tc>
          <w:tcPr>
            <w:tcW w:type="dxa" w:w="1457"/>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Arm</w:t>
            </w:r>
          </w:p>
        </w:tc>
        <w:tc>
          <w:tcPr>
            <w:tcW w:type="dxa" w:w="3766"/>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Measure</w:t>
            </w:r>
          </w:p>
        </w:tc>
        <w:tc>
          <w:tcPr>
            <w:tcW w:type="dxa" w:w="4137"/>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Status</w:t>
            </w:r>
          </w:p>
        </w:tc>
      </w:tr>
      <w:tr>
        <w:tc>
          <w:tcPr>
            <w:tcW w:type="dxa" w:w="145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Neutral re-query</w:t>
            </w:r>
          </w:p>
        </w:tc>
        <w:tc>
          <w:tcPr>
            <w:tcW w:type="dxa" w:w="376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Proportion of outcome questions answered correctly</w:t>
            </w:r>
          </w:p>
        </w:tc>
        <w:tc>
          <w:tcPr>
            <w:tcW w:type="dxa" w:w="41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Exploratory; hypothesis falsified</w:t>
            </w:r>
          </w:p>
        </w:tc>
      </w:tr>
      <w:tr>
        <w:tc>
          <w:tcPr>
            <w:tcW w:type="dxa" w:w="145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Persona re-query</w:t>
            </w:r>
          </w:p>
        </w:tc>
        <w:tc>
          <w:tcPr>
            <w:tcW w:type="dxa" w:w="376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Persona adoption; outcome accuracy</w:t>
            </w:r>
          </w:p>
        </w:tc>
        <w:tc>
          <w:tcPr>
            <w:tcW w:type="dxa" w:w="41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Pre-registered</w:t>
            </w:r>
            <w:r>
              <w:rPr>
                <w:rFonts w:ascii="Cambria" w:cs="Cambria" w:eastAsia="Cambria" w:hAnsi="Cambria"/>
                <w:b w:val="false"/>
                <w:bCs w:val="false"/>
                <w:i w:val="false"/>
                <w:iCs w:val="false"/>
                <w:color w:val="000000"/>
                <w:sz w:val="19"/>
                <w:szCs w:val="19"/>
              </w:rPr>
              <w:t xml:space="preserve">; manipulation never delivered (0/6), so uninformative</w:t>
            </w:r>
          </w:p>
        </w:tc>
      </w:tr>
      <w:tr>
        <w:tc>
          <w:tcPr>
            <w:tcW w:type="dxa" w:w="145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Positive controls</w:t>
            </w:r>
          </w:p>
        </w:tc>
        <w:tc>
          <w:tcPr>
            <w:tcW w:type="dxa" w:w="376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Specificity, with Fisher's exact against the negative probes</w:t>
            </w:r>
          </w:p>
        </w:tc>
        <w:tc>
          <w:tcPr>
            <w:tcW w:type="dxa" w:w="41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Pre-registered</w:t>
            </w:r>
            <w:r>
              <w:rPr>
                <w:rFonts w:ascii="Cambria" w:cs="Cambria" w:eastAsia="Cambria" w:hAnsi="Cambria"/>
                <w:b w:val="false"/>
                <w:bCs w:val="false"/>
                <w:i w:val="false"/>
                <w:iCs w:val="false"/>
                <w:color w:val="000000"/>
                <w:sz w:val="19"/>
                <w:szCs w:val="19"/>
              </w:rPr>
              <w:t xml:space="preserve"> including the decision rule</w:t>
            </w:r>
          </w:p>
        </w:tc>
      </w:tr>
      <w:tr>
        <w:tc>
          <w:tcPr>
            <w:tcW w:type="dxa" w:w="145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Re-extraction</w:t>
            </w:r>
          </w:p>
        </w:tc>
        <w:tc>
          <w:tcPr>
            <w:tcW w:type="dxa" w:w="3766"/>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Claim count, boundary concordance, ordinal test on the decomposition</w:t>
            </w:r>
          </w:p>
        </w:tc>
        <w:tc>
          <w:tcPr>
            <w:tcW w:type="dxa" w:w="41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Pre-registered</w:t>
            </w:r>
            <w:r>
              <w:rPr>
                <w:rFonts w:ascii="Cambria" w:cs="Cambria" w:eastAsia="Cambria" w:hAnsi="Cambria"/>
                <w:b w:val="false"/>
                <w:bCs w:val="false"/>
                <w:i w:val="false"/>
                <w:iCs w:val="false"/>
                <w:color w:val="000000"/>
                <w:sz w:val="19"/>
                <w:szCs w:val="19"/>
              </w:rPr>
              <w:t xml:space="preserve"> including the decision rule</w:t>
            </w:r>
          </w:p>
        </w:tc>
      </w:tr>
      <w:tr>
        <w:tc>
          <w:tcPr>
            <w:tcW w:type="dxa" w:w="1457"/>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De-prefixed re-classification</w:t>
            </w:r>
          </w:p>
        </w:tc>
        <w:tc>
          <w:tcPr>
            <w:tcW w:type="dxa" w:w="3766"/>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κ without the label leak</w:t>
            </w:r>
          </w:p>
        </w:tc>
        <w:tc>
          <w:tcPr>
            <w:tcW w:type="dxa" w:w="4137"/>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Pre-registered and NOT RUN</w:t>
            </w:r>
            <w:r>
              <w:rPr>
                <w:rFonts w:ascii="Cambria" w:cs="Cambria" w:eastAsia="Cambria" w:hAnsi="Cambria"/>
                <w:b w:val="false"/>
                <w:bCs w:val="false"/>
                <w:i w:val="false"/>
                <w:iCs w:val="false"/>
                <w:color w:val="000000"/>
                <w:sz w:val="19"/>
                <w:szCs w:val="19"/>
              </w:rPr>
              <w:t xml:space="preserve"> — isolation could not be achieved</w:t>
            </w:r>
          </w:p>
        </w:tc>
      </w:tr>
    </w:tbl>
    <w:p>
      <w:pPr>
        <w:spacing w:after="220" w:before="0"/>
      </w:pPr>
      <w:r>
        <w:t xml:space="preserve"/>
      </w:r>
    </w:p>
    <w:p>
      <w:pPr>
        <w:pBdr>
          <w:bottom w:val="single" w:color="B0B0B0" w:sz="6" w:space="6"/>
        </w:pBdr>
        <w:spacing w:after="200" w:before="120"/>
      </w:pPr>
      <w:r>
        <w:t xml:space="preserve"/>
      </w:r>
    </w:p>
    <w:p>
      <w:pPr>
        <w:pStyle w:val="Heading1"/>
        <w:keepNext/>
        <w:spacing w:after="140" w:before="360" w:line="240"/>
      </w:pPr>
      <w:r>
        <w:rPr>
          <w:rFonts w:ascii="Cambria" w:cs="Cambria" w:eastAsia="Cambria" w:hAnsi="Cambria"/>
          <w:b/>
          <w:bCs/>
          <w:i w:val="false"/>
          <w:iCs w:val="false"/>
          <w:color w:val="000000"/>
          <w:sz w:val="28"/>
          <w:szCs w:val="28"/>
        </w:rPr>
        <w:t xml:space="preserve">4. What was pre-registered, and when</w:t>
      </w:r>
    </w:p>
    <w:p>
      <w:pPr>
        <w:spacing w:after="180" w:before="0" w:line="300"/>
      </w:pPr>
      <w:r>
        <w:rPr>
          <w:rFonts w:ascii="Cambria" w:cs="Cambria" w:eastAsia="Cambria" w:hAnsi="Cambria"/>
          <w:b w:val="false"/>
          <w:bCs w:val="false"/>
          <w:i w:val="false"/>
          <w:iCs w:val="false"/>
          <w:color w:val="000000"/>
          <w:sz w:val="24"/>
          <w:szCs w:val="24"/>
        </w:rPr>
        <w:t xml:space="preserve">Each was committed to the public repository before the corresponding work ran, so the timestamp is in version control and cannot be revised afterwards. Full texts are in supplementary material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10"/>
        <w:gridCol w:w="4468"/>
        <w:gridCol w:w="3082"/>
      </w:tblGrid>
      <w:tr>
        <w:trPr>
          <w:tblHeader/>
        </w:trPr>
        <w:tc>
          <w:tcPr>
            <w:tcW w:type="dxa" w:w="1810"/>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Arm</w:t>
            </w:r>
          </w:p>
        </w:tc>
        <w:tc>
          <w:tcPr>
            <w:tcW w:type="dxa" w:w="4468"/>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Pre-registration</w:t>
            </w:r>
          </w:p>
        </w:tc>
        <w:tc>
          <w:tcPr>
            <w:tcW w:type="dxa" w:w="3082"/>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Committed</w:t>
            </w:r>
          </w:p>
        </w:tc>
      </w:tr>
      <w:tr>
        <w:tc>
          <w:tcPr>
            <w:tcW w:type="dxa" w:w="1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Persona re-run</w:t>
            </w:r>
          </w:p>
        </w:tc>
        <w:tc>
          <w:tcPr>
            <w:tcW w:type="dxa" w:w="446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onsolas" w:cs="Consolas" w:eastAsia="Consolas" w:hAnsi="Consolas"/>
                <w:b w:val="false"/>
                <w:bCs w:val="false"/>
                <w:i w:val="false"/>
                <w:iCs w:val="false"/>
                <w:color w:val="000000"/>
                <w:sz w:val="16"/>
                <w:szCs w:val="16"/>
              </w:rPr>
              <w:t xml:space="preserve">PREREGISTRATION-persona-rerun.md</w:t>
            </w:r>
          </w:p>
        </w:tc>
        <w:tc>
          <w:tcPr>
            <w:tcW w:type="dxa" w:w="308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2026-10-28T23:53:27−04:00</w:t>
            </w:r>
          </w:p>
        </w:tc>
      </w:tr>
      <w:tr>
        <w:tc>
          <w:tcPr>
            <w:tcW w:type="dxa" w:w="1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Positive controls</w:t>
            </w:r>
          </w:p>
        </w:tc>
        <w:tc>
          <w:tcPr>
            <w:tcW w:type="dxa" w:w="446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onsolas" w:cs="Consolas" w:eastAsia="Consolas" w:hAnsi="Consolas"/>
                <w:b w:val="false"/>
                <w:bCs w:val="false"/>
                <w:i w:val="false"/>
                <w:iCs w:val="false"/>
                <w:color w:val="000000"/>
                <w:sz w:val="16"/>
                <w:szCs w:val="16"/>
              </w:rPr>
              <w:t xml:space="preserve">PREREGISTRATION-positive-controls.md</w:t>
            </w:r>
          </w:p>
        </w:tc>
        <w:tc>
          <w:tcPr>
            <w:tcW w:type="dxa" w:w="308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2026-10-29T01:10:39−04:00</w:t>
            </w:r>
          </w:p>
        </w:tc>
      </w:tr>
      <w:tr>
        <w:tc>
          <w:tcPr>
            <w:tcW w:type="dxa" w:w="181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Re-extraction</w:t>
            </w:r>
          </w:p>
        </w:tc>
        <w:tc>
          <w:tcPr>
            <w:tcW w:type="dxa" w:w="4468"/>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onsolas" w:cs="Consolas" w:eastAsia="Consolas" w:hAnsi="Consolas"/>
                <w:b w:val="false"/>
                <w:bCs w:val="false"/>
                <w:i w:val="false"/>
                <w:iCs w:val="false"/>
                <w:color w:val="000000"/>
                <w:sz w:val="16"/>
                <w:szCs w:val="16"/>
              </w:rPr>
              <w:t xml:space="preserve">PREREGISTRATION-reextraction.md</w:t>
            </w:r>
          </w:p>
        </w:tc>
        <w:tc>
          <w:tcPr>
            <w:tcW w:type="dxa" w:w="3082"/>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2026-10-29T01:38:38−04:00</w:t>
            </w:r>
          </w:p>
        </w:tc>
      </w:tr>
      <w:tr>
        <w:tc>
          <w:tcPr>
            <w:tcW w:type="dxa" w:w="1810"/>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Re-classification</w:t>
            </w:r>
          </w:p>
        </w:tc>
        <w:tc>
          <w:tcPr>
            <w:tcW w:type="dxa" w:w="4468"/>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onsolas" w:cs="Consolas" w:eastAsia="Consolas" w:hAnsi="Consolas"/>
                <w:b w:val="false"/>
                <w:bCs w:val="false"/>
                <w:i w:val="false"/>
                <w:iCs w:val="false"/>
                <w:color w:val="000000"/>
                <w:sz w:val="16"/>
                <w:szCs w:val="16"/>
              </w:rPr>
              <w:t xml:space="preserve">PREREGISTRATION-reclassification.md</w:t>
            </w:r>
          </w:p>
        </w:tc>
        <w:tc>
          <w:tcPr>
            <w:tcW w:type="dxa" w:w="3082"/>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2026-10-29T07:25:20−04:00</w:t>
            </w:r>
          </w:p>
        </w:tc>
      </w:tr>
    </w:tbl>
    <w:p>
      <w:pPr>
        <w:spacing w:after="220" w:before="0"/>
      </w:pPr>
      <w:r>
        <w:t xml:space="preserve"/>
      </w:r>
    </w:p>
    <w:p>
      <w:pPr>
        <w:spacing w:after="180" w:before="0" w:line="300"/>
      </w:pPr>
      <w:r>
        <w:rPr>
          <w:rFonts w:ascii="Cambria" w:cs="Cambria" w:eastAsia="Cambria" w:hAnsi="Cambria"/>
          <w:b w:val="false"/>
          <w:bCs w:val="false"/>
          <w:i w:val="false"/>
          <w:iCs w:val="false"/>
          <w:color w:val="000000"/>
          <w:sz w:val="24"/>
          <w:szCs w:val="24"/>
        </w:rPr>
        <w:t xml:space="preserve">Each carries a decision rule fixed in advance, including the branch that would have required withdrawing a central claim, and anti-gaming commitments: one run per arm, no re-running an arm whose output is inconvenient, no changing a definition after seeing output, and the result reported whichever way it fell.</w:t>
      </w:r>
    </w:p>
    <w:p>
      <w:pPr>
        <w:spacing w:after="180" w:before="0" w:line="300"/>
      </w:pPr>
      <w:r>
        <w:rPr>
          <w:rFonts w:ascii="Cambria" w:cs="Cambria" w:eastAsia="Cambria" w:hAnsi="Cambria"/>
          <w:b/>
          <w:bCs/>
          <w:i w:val="false"/>
          <w:iCs w:val="false"/>
          <w:color w:val="000000"/>
          <w:sz w:val="24"/>
          <w:szCs w:val="24"/>
        </w:rPr>
        <w:t xml:space="preserve">One arm was abandoned</w:t>
      </w:r>
      <w:r>
        <w:rPr>
          <w:rFonts w:ascii="Cambria" w:cs="Cambria" w:eastAsia="Cambria" w:hAnsi="Cambria"/>
          <w:b w:val="false"/>
          <w:bCs w:val="false"/>
          <w:i w:val="false"/>
          <w:iCs w:val="false"/>
          <w:color w:val="000000"/>
          <w:sz w:val="24"/>
          <w:szCs w:val="24"/>
        </w:rPr>
        <w:t xml:space="preserve"> after its pre-registered isolation check failed for the third time in this study. The abandonment is published rather than omitted.</w:t>
      </w:r>
    </w:p>
    <w:p>
      <w:pPr>
        <w:pBdr>
          <w:bottom w:val="single" w:color="B0B0B0" w:sz="6" w:space="6"/>
        </w:pBdr>
        <w:spacing w:after="200" w:before="120"/>
      </w:pPr>
      <w:r>
        <w:t xml:space="preserve"/>
      </w:r>
    </w:p>
    <w:p>
      <w:pPr>
        <w:pStyle w:val="Heading1"/>
        <w:keepNext/>
        <w:spacing w:after="140" w:before="360" w:line="240"/>
      </w:pPr>
      <w:r>
        <w:rPr>
          <w:rFonts w:ascii="Cambria" w:cs="Cambria" w:eastAsia="Cambria" w:hAnsi="Cambria"/>
          <w:b/>
          <w:bCs/>
          <w:i w:val="false"/>
          <w:iCs w:val="false"/>
          <w:color w:val="000000"/>
          <w:sz w:val="28"/>
          <w:szCs w:val="28"/>
        </w:rPr>
        <w:t xml:space="preserve">5. Deviations from plan</w:t>
      </w:r>
    </w:p>
    <w:p>
      <w:pPr>
        <w:spacing w:after="180" w:before="0" w:line="300"/>
      </w:pPr>
      <w:r>
        <w:rPr>
          <w:rFonts w:ascii="Cambria" w:cs="Cambria" w:eastAsia="Cambria" w:hAnsi="Cambria"/>
          <w:b w:val="false"/>
          <w:bCs w:val="false"/>
          <w:i w:val="false"/>
          <w:iCs w:val="false"/>
          <w:color w:val="000000"/>
          <w:sz w:val="24"/>
          <w:szCs w:val="24"/>
        </w:rPr>
        <w:t xml:space="preserve">Reported in full because they are the parts a reader should weigh most.</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The corpus-bias hypothesis was falsified by its own first test.</w:t>
      </w:r>
      <w:r>
        <w:rPr>
          <w:rFonts w:ascii="Cambria" w:cs="Cambria" w:eastAsia="Cambria" w:hAnsi="Cambria"/>
          <w:b w:val="false"/>
          <w:bCs w:val="false"/>
          <w:i w:val="false"/>
          <w:iCs w:val="false"/>
          <w:color w:val="000000"/>
          <w:sz w:val="24"/>
          <w:szCs w:val="24"/>
        </w:rPr>
        <w:t xml:space="preserve"> It was the authors' proposed explanation for the dissociation. It is reported as falsified, not retained.</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Blinding the classification weakened the result</w:t>
      </w:r>
      <w:r>
        <w:rPr>
          <w:rFonts w:ascii="Cambria" w:cs="Cambria" w:eastAsia="Cambria" w:hAnsi="Cambria"/>
          <w:b w:val="false"/>
          <w:bCs w:val="false"/>
          <w:i w:val="false"/>
          <w:iCs w:val="false"/>
          <w:color w:val="000000"/>
          <w:sz w:val="24"/>
          <w:szCs w:val="24"/>
        </w:rPr>
        <w:t xml:space="preserve">, from 93%/0% to 79%/0%. The unblinded pass had over-assigned the outcome category specifically to claims already scored false.</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One experimental arm was discarded for contamination</w:t>
      </w:r>
      <w:r>
        <w:rPr>
          <w:rFonts w:ascii="Cambria" w:cs="Cambria" w:eastAsia="Cambria" w:hAnsi="Cambria"/>
          <w:b w:val="false"/>
          <w:bCs w:val="false"/>
          <w:i w:val="false"/>
          <w:iCs w:val="false"/>
          <w:color w:val="000000"/>
          <w:sz w:val="24"/>
          <w:szCs w:val="24"/>
        </w:rPr>
        <w:t xml:space="preserve"> after four of six subjects inferred the hypothesis from passive environment context.</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One arm was pre-registered and never run</w:t>
      </w:r>
      <w:r>
        <w:rPr>
          <w:rFonts w:ascii="Cambria" w:cs="Cambria" w:eastAsia="Cambria" w:hAnsi="Cambria"/>
          <w:b w:val="false"/>
          <w:bCs w:val="false"/>
          <w:i w:val="false"/>
          <w:iCs w:val="false"/>
          <w:color w:val="000000"/>
          <w:sz w:val="24"/>
          <w:szCs w:val="24"/>
        </w:rPr>
        <w:t xml:space="preserve"> (§4).</w:t>
      </w:r>
    </w:p>
    <w:p>
      <w:pPr>
        <w:pStyle w:val="ListParagraph"/>
        <w:numPr>
          <w:ilvl w:val="0"/>
          <w:numId w:val="3"/>
        </w:numPr>
        <w:spacing w:after="100" w:before="0" w:line="360"/>
      </w:pPr>
      <w:r>
        <w:rPr>
          <w:rFonts w:ascii="Cambria" w:cs="Cambria" w:eastAsia="Cambria" w:hAnsi="Cambria"/>
          <w:b/>
          <w:bCs/>
          <w:i w:val="false"/>
          <w:iCs w:val="false"/>
          <w:color w:val="000000"/>
          <w:sz w:val="24"/>
          <w:szCs w:val="24"/>
        </w:rPr>
        <w:t xml:space="preserve">All sensitivity analyses in §3.1, §3.4 and §3.6 were added after external peer review</w:t>
      </w:r>
      <w:r>
        <w:rPr>
          <w:rFonts w:ascii="Cambria" w:cs="Cambria" w:eastAsia="Cambria" w:hAnsi="Cambria"/>
          <w:b w:val="false"/>
          <w:bCs w:val="false"/>
          <w:i w:val="false"/>
          <w:iCs w:val="false"/>
          <w:color w:val="000000"/>
          <w:sz w:val="24"/>
          <w:szCs w:val="24"/>
        </w:rPr>
        <w:t xml:space="preserve">, not pre-specified. The reviewer's central objection — that the headline depended on an undisclosed dichotomisation — was correct, and the re-analysis is in the paper.</w:t>
      </w:r>
    </w:p>
    <w:p>
      <w:pPr>
        <w:pBdr>
          <w:bottom w:val="single" w:color="B0B0B0" w:sz="6" w:space="6"/>
        </w:pBdr>
        <w:spacing w:after="200" w:before="120"/>
      </w:pPr>
      <w:r>
        <w:t xml:space="preserve"/>
      </w:r>
    </w:p>
    <w:p>
      <w:pPr>
        <w:pStyle w:val="Heading1"/>
        <w:keepNext/>
        <w:spacing w:after="140" w:before="360" w:line="240"/>
      </w:pPr>
      <w:r>
        <w:rPr>
          <w:rFonts w:ascii="Cambria" w:cs="Cambria" w:eastAsia="Cambria" w:hAnsi="Cambria"/>
          <w:b/>
          <w:bCs/>
          <w:i w:val="false"/>
          <w:iCs w:val="false"/>
          <w:color w:val="000000"/>
          <w:sz w:val="28"/>
          <w:szCs w:val="28"/>
        </w:rPr>
        <w:t xml:space="preserve">6. Software and reproducibility</w:t>
      </w:r>
    </w:p>
    <w:p>
      <w:pPr>
        <w:spacing w:after="180" w:before="0" w:line="300"/>
      </w:pPr>
      <w:r>
        <w:rPr>
          <w:rFonts w:ascii="Cambria" w:cs="Cambria" w:eastAsia="Cambria" w:hAnsi="Cambria"/>
          <w:b w:val="false"/>
          <w:bCs w:val="false"/>
          <w:i w:val="false"/>
          <w:iCs w:val="false"/>
          <w:color w:val="000000"/>
          <w:sz w:val="24"/>
          <w:szCs w:val="24"/>
        </w:rPr>
        <w:t xml:space="preserve">All analyses are in Python 3.11 using only the standard library; no statistical package is required and there is nothing to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47"/>
        <w:gridCol w:w="6513"/>
      </w:tblGrid>
      <w:tr>
        <w:trPr>
          <w:tblHeader/>
        </w:trPr>
        <w:tc>
          <w:tcPr>
            <w:tcW w:type="dxa" w:w="2847"/>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Script</w:t>
            </w:r>
          </w:p>
        </w:tc>
        <w:tc>
          <w:tcPr>
            <w:tcW w:type="dxa" w:w="6513"/>
            <w:tcBorders>
              <w:top w:val="single" w:color="000000" w:sz="6"/>
              <w:left w:val="none" w:color="FFFFFF" w:sz="0"/>
              <w:bottom w:val="single" w:color="000000" w:sz="6"/>
              <w:right w:val="none" w:color="FFFFFF" w:sz="0"/>
            </w:tcBorders>
            <w:shd w:fill="EFEFEF" w:val="clear"/>
            <w:tcMar>
              <w:top w:type="dxa" w:w="60"/>
              <w:left w:type="dxa" w:w="90"/>
              <w:bottom w:type="dxa" w:w="60"/>
              <w:right w:type="dxa" w:w="90"/>
            </w:tcMar>
          </w:tcPr>
          <w:p>
            <w:pPr>
              <w:spacing w:after="0" w:before="0" w:line="240"/>
            </w:pPr>
            <w:r>
              <w:rPr>
                <w:rFonts w:ascii="Cambria" w:cs="Cambria" w:eastAsia="Cambria" w:hAnsi="Cambria"/>
                <w:b/>
                <w:bCs/>
                <w:i w:val="false"/>
                <w:iCs w:val="false"/>
                <w:color w:val="000000"/>
                <w:sz w:val="19"/>
                <w:szCs w:val="19"/>
              </w:rPr>
              <w:t xml:space="preserve">Produces</w:t>
            </w:r>
          </w:p>
        </w:tc>
      </w:tr>
      <w:tr>
        <w:tc>
          <w:tcPr>
            <w:tcW w:type="dxa" w:w="284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onsolas" w:cs="Consolas" w:eastAsia="Consolas" w:hAnsi="Consolas"/>
                <w:b w:val="false"/>
                <w:bCs w:val="false"/>
                <w:i w:val="false"/>
                <w:iCs w:val="false"/>
                <w:color w:val="000000"/>
                <w:sz w:val="16"/>
                <w:szCs w:val="16"/>
              </w:rPr>
              <w:t xml:space="preserve">analysis-kappa.py</w:t>
            </w:r>
          </w:p>
        </w:tc>
        <w:tc>
          <w:tcPr>
            <w:tcW w:type="dxa" w:w="651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Agreement between raters</w:t>
            </w:r>
          </w:p>
        </w:tc>
      </w:tr>
      <w:tr>
        <w:tc>
          <w:tcPr>
            <w:tcW w:type="dxa" w:w="284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onsolas" w:cs="Consolas" w:eastAsia="Consolas" w:hAnsi="Consolas"/>
                <w:b w:val="false"/>
                <w:bCs w:val="false"/>
                <w:i w:val="false"/>
                <w:iCs w:val="false"/>
                <w:color w:val="000000"/>
                <w:sz w:val="16"/>
                <w:szCs w:val="16"/>
              </w:rPr>
              <w:t xml:space="preserve">analysis-contingency.py</w:t>
            </w:r>
          </w:p>
        </w:tc>
        <w:tc>
          <w:tcPr>
            <w:tcW w:type="dxa" w:w="651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The central 2 × 2 and Fisher's exact test</w:t>
            </w:r>
          </w:p>
        </w:tc>
      </w:tr>
      <w:tr>
        <w:tc>
          <w:tcPr>
            <w:tcW w:type="dxa" w:w="284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onsolas" w:cs="Consolas" w:eastAsia="Consolas" w:hAnsi="Consolas"/>
                <w:b w:val="false"/>
                <w:bCs w:val="false"/>
                <w:i w:val="false"/>
                <w:iCs w:val="false"/>
                <w:color w:val="000000"/>
                <w:sz w:val="16"/>
                <w:szCs w:val="16"/>
              </w:rPr>
              <w:t xml:space="preserve">analysis-sensitivity.py</w:t>
            </w:r>
          </w:p>
        </w:tc>
        <w:tc>
          <w:tcPr>
            <w:tcW w:type="dxa" w:w="651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Dichotomisation sensitivity, Wilson intervals, odds-ratio bounds, CMH, Bonferroni, the ordinal permutation test</w:t>
            </w:r>
          </w:p>
        </w:tc>
      </w:tr>
      <w:tr>
        <w:tc>
          <w:tcPr>
            <w:tcW w:type="dxa" w:w="284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onsolas" w:cs="Consolas" w:eastAsia="Consolas" w:hAnsi="Consolas"/>
                <w:b w:val="false"/>
                <w:bCs w:val="false"/>
                <w:i w:val="false"/>
                <w:iCs w:val="false"/>
                <w:color w:val="000000"/>
                <w:sz w:val="16"/>
                <w:szCs w:val="16"/>
              </w:rPr>
              <w:t xml:space="preserve">analysis-positive-controls.py</w:t>
            </w:r>
          </w:p>
        </w:tc>
        <w:tc>
          <w:tcPr>
            <w:tcW w:type="dxa" w:w="651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Sensitivity, specificity, exact binomial</w:t>
            </w:r>
          </w:p>
        </w:tc>
      </w:tr>
      <w:tr>
        <w:tc>
          <w:tcPr>
            <w:tcW w:type="dxa" w:w="2847"/>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onsolas" w:cs="Consolas" w:eastAsia="Consolas" w:hAnsi="Consolas"/>
                <w:b w:val="false"/>
                <w:bCs w:val="false"/>
                <w:i w:val="false"/>
                <w:iCs w:val="false"/>
                <w:color w:val="000000"/>
                <w:sz w:val="16"/>
                <w:szCs w:val="16"/>
              </w:rPr>
              <w:t xml:space="preserve">analysis-reextraction.py</w:t>
            </w:r>
          </w:p>
        </w:tc>
        <w:tc>
          <w:tcPr>
            <w:tcW w:type="dxa" w:w="6513"/>
            <w:tcBorders>
              <w:top w:val="none" w:color="FFFFFF" w:sz="0"/>
              <w:left w:val="none" w:color="FFFFFF" w:sz="0"/>
              <w:bottom w:val="single" w:color="000000" w:sz="6"/>
              <w:right w:val="none" w:color="FFFFFF" w:sz="0"/>
            </w:tcBorders>
            <w:tcMar>
              <w:top w:type="dxa" w:w="60"/>
              <w:left w:type="dxa" w:w="90"/>
              <w:bottom w:type="dxa" w:w="60"/>
              <w:right w:type="dxa" w:w="90"/>
            </w:tcMar>
          </w:tcPr>
          <w:p>
            <w:pPr>
              <w:spacing w:after="0" w:before="0" w:line="240"/>
            </w:pPr>
            <w:r>
              <w:rPr>
                <w:rFonts w:ascii="Cambria" w:cs="Cambria" w:eastAsia="Cambria" w:hAnsi="Cambria"/>
                <w:b w:val="false"/>
                <w:bCs w:val="false"/>
                <w:i w:val="false"/>
                <w:iCs w:val="false"/>
                <w:color w:val="000000"/>
                <w:sz w:val="19"/>
                <w:szCs w:val="19"/>
              </w:rPr>
              <w:t xml:space="preserve">Ordinal test under every decomposition, and the extraction-instability measure</w:t>
            </w:r>
          </w:p>
        </w:tc>
      </w:tr>
    </w:tbl>
    <w:p>
      <w:pPr>
        <w:spacing w:after="220" w:before="0"/>
      </w:pPr>
      <w:r>
        <w:t xml:space="preserve"/>
      </w:r>
    </w:p>
    <w:p>
      <w:pPr>
        <w:spacing w:after="180" w:before="0" w:line="300"/>
      </w:pPr>
      <w:r>
        <w:rPr>
          <w:rFonts w:ascii="Cambria" w:cs="Cambria" w:eastAsia="Cambria" w:hAnsi="Cambria"/>
          <w:b w:val="false"/>
          <w:bCs w:val="false"/>
          <w:i w:val="false"/>
          <w:iCs w:val="false"/>
          <w:color w:val="000000"/>
          <w:sz w:val="24"/>
          <w:szCs w:val="24"/>
        </w:rPr>
        <w:t xml:space="preserve">Every statistic in the manuscript is produced by one of these five, and their complete console output is reproduced verbatim in supplementary material S4.</w:t>
      </w:r>
    </w:p>
    <w:p>
      <w:pPr>
        <w:pBdr>
          <w:bottom w:val="single" w:color="B0B0B0" w:sz="6" w:space="6"/>
        </w:pBdr>
        <w:spacing w:after="200" w:before="120"/>
      </w:pPr>
      <w:r>
        <w:t xml:space="preserve"/>
      </w:r>
    </w:p>
    <w:p>
      <w:pPr>
        <w:pStyle w:val="Heading1"/>
        <w:keepNext/>
        <w:spacing w:after="140" w:before="360" w:line="240"/>
      </w:pPr>
      <w:r>
        <w:rPr>
          <w:rFonts w:ascii="Cambria" w:cs="Cambria" w:eastAsia="Cambria" w:hAnsi="Cambria"/>
          <w:b/>
          <w:bCs/>
          <w:i w:val="false"/>
          <w:iCs w:val="false"/>
          <w:color w:val="000000"/>
          <w:sz w:val="28"/>
          <w:szCs w:val="28"/>
        </w:rPr>
        <w:t xml:space="preserve">7. Missing data</w:t>
      </w:r>
    </w:p>
    <w:p>
      <w:pPr>
        <w:spacing w:after="180" w:before="0" w:line="300"/>
      </w:pPr>
      <w:r>
        <w:rPr>
          <w:rFonts w:ascii="Cambria" w:cs="Cambria" w:eastAsia="Cambria" w:hAnsi="Cambria"/>
          <w:b/>
          <w:bCs/>
          <w:i w:val="false"/>
          <w:iCs w:val="false"/>
          <w:color w:val="000000"/>
          <w:sz w:val="24"/>
          <w:szCs w:val="24"/>
        </w:rPr>
        <w:t xml:space="preserve">One probe of seven</w:t>
      </w:r>
      <w:r>
        <w:rPr>
          <w:rFonts w:ascii="Cambria" w:cs="Cambria" w:eastAsia="Cambria" w:hAnsi="Cambria"/>
          <w:b w:val="false"/>
          <w:bCs w:val="false"/>
          <w:i w:val="false"/>
          <w:iCs w:val="false"/>
          <w:color w:val="000000"/>
          <w:sz w:val="24"/>
          <w:szCs w:val="24"/>
        </w:rPr>
        <w:t xml:space="preserve"> in the neutral re-query arm terminated on an automated safety classifier and is reported as missing data. It was deliberately </w:t>
      </w:r>
      <w:r>
        <w:rPr>
          <w:rFonts w:ascii="Cambria" w:cs="Cambria" w:eastAsia="Cambria" w:hAnsi="Cambria"/>
          <w:b/>
          <w:bCs/>
          <w:i w:val="false"/>
          <w:iCs w:val="false"/>
          <w:color w:val="000000"/>
          <w:sz w:val="24"/>
          <w:szCs w:val="24"/>
        </w:rPr>
        <w:t xml:space="preserve">not rephrased to evade the filter</w:t>
      </w:r>
      <w:r>
        <w:rPr>
          <w:rFonts w:ascii="Cambria" w:cs="Cambria" w:eastAsia="Cambria" w:hAnsi="Cambria"/>
          <w:b w:val="false"/>
          <w:bCs w:val="false"/>
          <w:i w:val="false"/>
          <w:iCs w:val="false"/>
          <w:color w:val="000000"/>
          <w:sz w:val="24"/>
          <w:szCs w:val="24"/>
        </w:rPr>
        <w:t xml:space="preserve">: working around a safety classifier to complete a dataset would be indefensible in a paper about AI safety, and n = 6 honestly obtained is worth more than n = 7 obtained that way.</w:t>
      </w:r>
    </w:p>
    <w:p>
      <w:pPr>
        <w:spacing w:after="180" w:before="0" w:line="300"/>
      </w:pPr>
      <w:r>
        <w:rPr>
          <w:rFonts w:ascii="Cambria" w:cs="Cambria" w:eastAsia="Cambria" w:hAnsi="Cambria"/>
          <w:b w:val="false"/>
          <w:bCs w:val="false"/>
          <w:i w:val="false"/>
          <w:iCs w:val="false"/>
          <w:color w:val="000000"/>
          <w:sz w:val="24"/>
          <w:szCs w:val="24"/>
        </w:rPr>
        <w:t xml:space="preserve">Automated safety filtering is itself a non-random source of missingness in this kind of research, and is noted as a limitation.</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r>
    <w:r>
      <w:rPr>
        <w:rFonts w:ascii="Cambria" w:cs="Cambria" w:eastAsia="Cambria" w:hAnsi="Cambria"/>
        <w:sz w:val="20"/>
        <w:szCs w:val="20"/>
      </w:rPr>
      <w:instrText xml:space="preserve">PAGE</w:instrText>
    </w:r>
    <w:r>
      <w:rPr>
        <w:rFonts w:ascii="Cambria" w:cs="Cambria" w:eastAsia="Cambria" w:hAnsi="Cambria"/>
        <w:sz w:val="20"/>
        <w:szCs w:val="20"/>
      </w:rPr>
      <w:fldChar w:fldCharType="separate"/>
    </w:r>
    <w:r>
      <w:rPr>
        <w:rFonts w:ascii="Cambria" w:cs="Cambria" w:eastAsia="Cambria" w:hAnsi="Cambria"/>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Mechanism without outcome</dc:title>
  <dc:creator>Utah Hans</dc:creator>
  <dc:description>A claim-level audit of AI-generated insulin misinformation</dc:description>
  <cp:lastModifiedBy>Un-named</cp:lastModifiedBy>
  <cp:revision>1</cp:revision>
  <dcterms:created xsi:type="dcterms:W3CDTF">2026-10-29T15:28:24.635Z</dcterms:created>
  <dcterms:modified xsi:type="dcterms:W3CDTF">2026-10-29T15:28:24.635Z</dcterms:modified>
</cp:coreProperties>
</file>

<file path=docProps/custom.xml><?xml version="1.0" encoding="utf-8"?>
<Properties xmlns="http://schemas.openxmlformats.org/officeDocument/2006/custom-properties" xmlns:vt="http://schemas.openxmlformats.org/officeDocument/2006/docPropsVTypes"/>
</file>