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EGR 3350-07</w:t>
      </w:r>
    </w:p>
    <w:p>
      <w:pPr>
        <w:spacing w:line="480" w:lineRule="auto"/>
        <w:jc w:val="center"/>
      </w:pPr>
      <w:r>
        <w:rPr>
          <w:rFonts w:ascii="Times New Roman" w:cs="Times New Roman" w:eastAsia="Times New Roman" w:hAnsi="Times New Roman"/>
          <w:b/>
          <w:bCs/>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b/>
          <w:bCs/>
          <w:sz w:val="24"/>
          <w:szCs w:val="24"/>
        </w:rPr>
        <w:t xml:space="preserve">Ms. Alysoun Taylor-Hall</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32"/>
          <w:szCs w:val="32"/>
        </w:rPr>
        <w:t xml:space="preserve">Individual Portfolio</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Utsav Acharya</w:t>
      </w:r>
    </w:p>
    <w:p>
      <w:pPr>
        <w:spacing w:line="480" w:lineRule="auto"/>
        <w:jc w:val="center"/>
      </w:pPr>
      <w:r>
        <w:rPr>
          <w:rFonts w:ascii="Times New Roman" w:cs="Times New Roman" w:eastAsia="Times New Roman" w:hAnsi="Times New Roman"/>
          <w:sz w:val="24"/>
          <w:szCs w:val="24"/>
        </w:rPr>
        <w:t xml:space="preserve">Computer Science</w:t>
      </w:r>
    </w:p>
    <w:p>
      <w:pPr>
        <w:spacing w:line="480" w:lineRule="auto"/>
        <w:jc w:val="center"/>
      </w:pPr>
      <w:r>
        <w:rPr>
          <w:rFonts w:ascii="Times New Roman" w:cs="Times New Roman" w:eastAsia="Times New Roman" w:hAnsi="Times New Roman"/>
          <w:sz w:val="24"/>
          <w:szCs w:val="24"/>
        </w:rPr>
        <w:t xml:space="preserve">April 30, 2026</w:t>
      </w:r>
    </w:p>
    <w:p>
      <w:r>
        <w:br w:type="page"/>
      </w:r>
    </w:p>
    <w:p>
      <w:pPr>
        <w:spacing w:after="120" w:before="240"/>
      </w:pPr>
      <w:r>
        <w:rPr>
          <w:rFonts w:ascii="Times New Roman" w:cs="Times New Roman" w:eastAsia="Times New Roman" w:hAnsi="Times New Roman"/>
          <w:b/>
          <w:bCs/>
          <w:sz w:val="28"/>
          <w:szCs w:val="28"/>
        </w:rPr>
        <w:t xml:space="preserve">Table of Contents</w:t>
      </w:r>
    </w:p>
    <w:p>
      <w:pPr>
        <w:spacing w:line="24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1. Mechanism Description</w:t>
      </w:r>
    </w:p>
    <w:p>
      <w:pPr>
        <w:spacing w:line="240" w:lineRule="auto"/>
      </w:pPr>
      <w:r>
        <w:rPr>
          <w:rFonts w:ascii="Times New Roman" w:cs="Times New Roman" w:eastAsia="Times New Roman" w:hAnsi="Times New Roman"/>
          <w:sz w:val="24"/>
          <w:szCs w:val="24"/>
        </w:rPr>
        <w:t xml:space="preserve">     • Revision Plan</w:t>
      </w:r>
    </w:p>
    <w:p>
      <w:pPr>
        <w:spacing w:line="240" w:lineRule="auto"/>
      </w:pPr>
      <w:r>
        <w:rPr>
          <w:rFonts w:ascii="Times New Roman" w:cs="Times New Roman" w:eastAsia="Times New Roman" w:hAnsi="Times New Roman"/>
          <w:sz w:val="24"/>
          <w:szCs w:val="24"/>
        </w:rPr>
        <w:t xml:space="preserve">     • Revised Report</w:t>
      </w:r>
    </w:p>
    <w:p>
      <w:pPr>
        <w:spacing w:line="240" w:lineRule="auto"/>
      </w:pPr>
      <w:r>
        <w:rPr>
          <w:rFonts w:ascii="Times New Roman" w:cs="Times New Roman" w:eastAsia="Times New Roman" w:hAnsi="Times New Roman"/>
          <w:sz w:val="24"/>
          <w:szCs w:val="24"/>
        </w:rPr>
        <w:t xml:space="preserve">     • Original Graded Assignment</w:t>
      </w:r>
    </w:p>
    <w:p>
      <w:pPr>
        <w:spacing w:line="24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2. Process Description</w:t>
      </w:r>
    </w:p>
    <w:p>
      <w:pPr>
        <w:spacing w:line="240" w:lineRule="auto"/>
      </w:pPr>
      <w:r>
        <w:rPr>
          <w:rFonts w:ascii="Times New Roman" w:cs="Times New Roman" w:eastAsia="Times New Roman" w:hAnsi="Times New Roman"/>
          <w:sz w:val="24"/>
          <w:szCs w:val="24"/>
        </w:rPr>
        <w:t xml:space="preserve">     • Reflection</w:t>
      </w:r>
    </w:p>
    <w:p>
      <w:pPr>
        <w:spacing w:line="240" w:lineRule="auto"/>
      </w:pPr>
      <w:r>
        <w:rPr>
          <w:rFonts w:ascii="Times New Roman" w:cs="Times New Roman" w:eastAsia="Times New Roman" w:hAnsi="Times New Roman"/>
          <w:sz w:val="24"/>
          <w:szCs w:val="24"/>
        </w:rPr>
        <w:t xml:space="preserve">     • Original Graded Assignment</w:t>
      </w:r>
    </w:p>
    <w:p>
      <w:pPr>
        <w:spacing w:line="24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3. Recommendation Report</w:t>
      </w:r>
    </w:p>
    <w:p>
      <w:pPr>
        <w:spacing w:line="240" w:lineRule="auto"/>
      </w:pPr>
      <w:r>
        <w:rPr>
          <w:rFonts w:ascii="Times New Roman" w:cs="Times New Roman" w:eastAsia="Times New Roman" w:hAnsi="Times New Roman"/>
          <w:sz w:val="24"/>
          <w:szCs w:val="24"/>
        </w:rPr>
        <w:t xml:space="preserve">     • Reflection</w:t>
      </w:r>
    </w:p>
    <w:p>
      <w:pPr>
        <w:spacing w:line="240" w:lineRule="auto"/>
      </w:pPr>
      <w:r>
        <w:rPr>
          <w:rFonts w:ascii="Times New Roman" w:cs="Times New Roman" w:eastAsia="Times New Roman" w:hAnsi="Times New Roman"/>
          <w:sz w:val="24"/>
          <w:szCs w:val="24"/>
        </w:rPr>
        <w:t xml:space="preserve">     • Original Graded Assignment</w:t>
      </w:r>
    </w:p>
    <w:p>
      <w:pPr>
        <w:spacing w:line="24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4. Group Project (Group 3)</w:t>
      </w:r>
    </w:p>
    <w:p>
      <w:pPr>
        <w:spacing w:line="240" w:lineRule="auto"/>
      </w:pPr>
      <w:r>
        <w:rPr>
          <w:rFonts w:ascii="Times New Roman" w:cs="Times New Roman" w:eastAsia="Times New Roman" w:hAnsi="Times New Roman"/>
          <w:sz w:val="24"/>
          <w:szCs w:val="24"/>
        </w:rPr>
        <w:t xml:space="preserve">     • Reflection</w:t>
      </w:r>
    </w:p>
    <w:p>
      <w:pPr>
        <w:spacing w:line="240" w:lineRule="auto"/>
      </w:pPr>
      <w:r>
        <w:rPr>
          <w:rFonts w:ascii="Times New Roman" w:cs="Times New Roman" w:eastAsia="Times New Roman" w:hAnsi="Times New Roman"/>
          <w:sz w:val="24"/>
          <w:szCs w:val="24"/>
        </w:rPr>
        <w:t xml:space="preserve">     • Letter of Intent (LOI)</w:t>
      </w:r>
    </w:p>
    <w:p>
      <w:pPr>
        <w:spacing w:line="240" w:lineRule="auto"/>
      </w:pPr>
      <w:r>
        <w:rPr>
          <w:rFonts w:ascii="Times New Roman" w:cs="Times New Roman" w:eastAsia="Times New Roman" w:hAnsi="Times New Roman"/>
          <w:sz w:val="24"/>
          <w:szCs w:val="24"/>
        </w:rPr>
        <w:t xml:space="preserve">     • Annotated Bibliography</w:t>
      </w:r>
    </w:p>
    <w:p>
      <w:pPr>
        <w:spacing w:line="240" w:lineRule="auto"/>
      </w:pPr>
      <w:r>
        <w:rPr>
          <w:rFonts w:ascii="Times New Roman" w:cs="Times New Roman" w:eastAsia="Times New Roman" w:hAnsi="Times New Roman"/>
          <w:sz w:val="24"/>
          <w:szCs w:val="24"/>
        </w:rPr>
        <w:t xml:space="preserve">     • Proposal</w:t>
      </w:r>
    </w:p>
    <w:p>
      <w:r>
        <w:br w:type="page"/>
      </w:r>
    </w:p>
    <w:p>
      <w:pPr>
        <w:spacing w:after="240" w:before="360"/>
        <w:jc w:val="center"/>
      </w:pPr>
      <w:r>
        <w:rPr>
          <w:rFonts w:ascii="Times New Roman" w:cs="Times New Roman" w:eastAsia="Times New Roman" w:hAnsi="Times New Roman"/>
          <w:b/>
          <w:bCs/>
          <w:sz w:val="28"/>
          <w:szCs w:val="28"/>
        </w:rPr>
        <w:t xml:space="preserve">1. Mechanism Description</w:t>
      </w:r>
    </w:p>
    <w:p>
      <w:pPr>
        <w:spacing w:line="480" w:lineRule="auto"/>
        <w:jc w:val="center"/>
      </w:pPr>
      <w:r>
        <w:rPr>
          <w:rFonts w:ascii="Times New Roman" w:cs="Times New Roman" w:eastAsia="Times New Roman" w:hAnsi="Times New Roman"/>
          <w:b/>
          <w:bCs/>
          <w:sz w:val="24"/>
          <w:szCs w:val="24"/>
        </w:rPr>
        <w:t xml:space="preserve">Revision Plan</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EGR 3350-07</w:t>
      </w:r>
    </w:p>
    <w:p>
      <w:pPr>
        <w:spacing w:line="480" w:lineRule="auto"/>
        <w:jc w:val="center"/>
      </w:pPr>
      <w:r>
        <w:rPr>
          <w:rFonts w:ascii="Times New Roman" w:cs="Times New Roman" w:eastAsia="Times New Roman" w:hAnsi="Times New Roman"/>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sz w:val="24"/>
          <w:szCs w:val="24"/>
        </w:rPr>
        <w:t xml:space="preserve">Ms. Alysoun Taylor-Hall</w:t>
      </w:r>
    </w:p>
    <w:p>
      <w:pPr>
        <w:spacing w:line="480" w:lineRule="auto"/>
        <w:jc w:val="center"/>
      </w:pPr>
      <w:r>
        <w:rPr>
          <w:rFonts w:ascii="Times New Roman" w:cs="Times New Roman" w:eastAsia="Times New Roman" w:hAnsi="Times New Roman"/>
          <w:sz w:val="24"/>
          <w:szCs w:val="24"/>
        </w:rPr>
        <w:t xml:space="preserve">Utsav Acharya | Computer Science | April 30, 2026</w:t>
      </w:r>
    </w:p>
    <w:p>
      <w:r>
        <w:br w:type="page"/>
      </w:r>
    </w:p>
    <w:p>
      <w:pPr>
        <w:spacing w:after="120" w:before="240"/>
      </w:pPr>
      <w:r>
        <w:rPr>
          <w:rFonts w:ascii="Times New Roman" w:cs="Times New Roman" w:eastAsia="Times New Roman" w:hAnsi="Times New Roman"/>
          <w:b/>
          <w:bCs/>
          <w:sz w:val="28"/>
          <w:szCs w:val="28"/>
        </w:rPr>
        <w:t xml:space="preserve">Revision Plan: Wireless Fast Phone Charger</w:t>
      </w:r>
    </w:p>
    <w:p>
      <w:pPr>
        <w:spacing w:after="60" w:before="180"/>
        <w:ind w:firstLine="0"/>
      </w:pPr>
      <w:r>
        <w:rPr>
          <w:rFonts w:ascii="Times New Roman" w:cs="Times New Roman" w:eastAsia="Times New Roman" w:hAnsi="Times New Roman"/>
          <w:b/>
          <w:bCs/>
          <w:sz w:val="24"/>
          <w:szCs w:val="24"/>
        </w:rPr>
        <w:t xml:space="preserve">Overview of Original Feedback</w:t>
      </w:r>
    </w:p>
    <w:p>
      <w:pPr>
        <w:spacing w:line="480" w:lineRule="auto"/>
        <w:ind w:firstLine="720"/>
      </w:pPr>
      <w:r>
        <w:rPr>
          <w:rFonts w:ascii="Times New Roman" w:cs="Times New Roman" w:eastAsia="Times New Roman" w:hAnsi="Times New Roman"/>
          <w:sz w:val="24"/>
          <w:szCs w:val="24"/>
        </w:rPr>
        <w:t xml:space="preserve">The Mechanism Description received a score of 6.5 out of 7.0 (A). The instructor identified several recurring issues: (1) overuse of contractions, which are inappropriate for technical writing; (2) imprecise pronoun use, particularly sentences beginning with 'it' or 'it's' where the subject should be explicitly named; (3) informal word choices and constructions that do not suit technical description; and (4) sentences flagged as 'unclear' or attempting to do 'too much at once.' The revision addresses each of these issues systematically across all sections.</w:t>
      </w:r>
    </w:p>
    <w:p>
      <w:pPr>
        <w:spacing w:after="60" w:before="180"/>
        <w:ind w:firstLine="0"/>
      </w:pPr>
      <w:r>
        <w:rPr>
          <w:rFonts w:ascii="Times New Roman" w:cs="Times New Roman" w:eastAsia="Times New Roman" w:hAnsi="Times New Roman"/>
          <w:b/>
          <w:bCs/>
          <w:sz w:val="24"/>
          <w:szCs w:val="24"/>
        </w:rPr>
        <w:t xml:space="preserve">Planned Changes by Section</w:t>
      </w:r>
    </w:p>
    <w:p>
      <w:pPr>
        <w:spacing w:line="480" w:lineRule="auto"/>
        <w:ind w:firstLine="720"/>
      </w:pPr>
      <w:r>
        <w:rPr>
          <w:rFonts w:ascii="Times New Roman" w:cs="Times New Roman" w:eastAsia="Times New Roman" w:hAnsi="Times New Roman"/>
          <w:sz w:val="24"/>
          <w:szCs w:val="24"/>
        </w:rPr>
        <w:t xml:space="preserve">Introduction</w:t>
      </w:r>
    </w:p>
    <w:p>
      <w:pPr>
        <w:spacing w:line="480" w:lineRule="auto"/>
        <w:ind w:firstLine="720"/>
      </w:pPr>
      <w:r>
        <w:rPr>
          <w:rFonts w:ascii="Times New Roman" w:cs="Times New Roman" w:eastAsia="Times New Roman" w:hAnsi="Times New Roman"/>
          <w:sz w:val="24"/>
          <w:szCs w:val="24"/>
        </w:rPr>
        <w:t xml:space="preserve">The introduction will replace all contractions with full forms (e.g., 'It's' becomes 'It is') and refine the measurement phrasing to read: 'measuring approximately 10 cm in diameter and 0.8 cm in height.' The pronoun 'its' when used to open a clause about the charger's surface will be clarified so the grammatical subject is the charger itself.</w:t>
      </w:r>
    </w:p>
    <w:p>
      <w:pPr>
        <w:spacing w:line="480" w:lineRule="auto"/>
        <w:ind w:firstLine="720"/>
      </w:pPr>
      <w:r>
        <w:rPr>
          <w:rFonts w:ascii="Times New Roman" w:cs="Times New Roman" w:eastAsia="Times New Roman" w:hAnsi="Times New Roman"/>
          <w:sz w:val="24"/>
          <w:szCs w:val="24"/>
        </w:rPr>
        <w:t xml:space="preserve">Charging Surface</w:t>
      </w:r>
    </w:p>
    <w:p>
      <w:pPr>
        <w:spacing w:line="480" w:lineRule="auto"/>
        <w:ind w:firstLine="720"/>
      </w:pPr>
      <w:r>
        <w:rPr>
          <w:rFonts w:ascii="Times New Roman" w:cs="Times New Roman" w:eastAsia="Times New Roman" w:hAnsi="Times New Roman"/>
          <w:sz w:val="24"/>
          <w:szCs w:val="24"/>
        </w:rPr>
        <w:t xml:space="preserve">This section received the most feedback. The instructor flagged the use of 'It's' (a contraction), the informal phrase 'so that the,' and noted that contractions are 'ok, but not for the subject of a sentence.' The revision rewrites every sentence using 'The charging surface is...' as the consistent grammatical subject, eliminates all contractions, and splits any compound sentence flagged as doing 'too much at once' into shorter, direct statements.</w:t>
      </w:r>
    </w:p>
    <w:p>
      <w:pPr>
        <w:spacing w:line="480" w:lineRule="auto"/>
        <w:ind w:firstLine="720"/>
      </w:pPr>
      <w:r>
        <w:rPr>
          <w:rFonts w:ascii="Times New Roman" w:cs="Times New Roman" w:eastAsia="Times New Roman" w:hAnsi="Times New Roman"/>
          <w:sz w:val="24"/>
          <w:szCs w:val="24"/>
        </w:rPr>
        <w:t xml:space="preserve">Indicator Light Ring</w:t>
      </w:r>
    </w:p>
    <w:p>
      <w:pPr>
        <w:spacing w:line="480" w:lineRule="auto"/>
        <w:ind w:firstLine="720"/>
      </w:pPr>
      <w:r>
        <w:rPr>
          <w:rFonts w:ascii="Times New Roman" w:cs="Times New Roman" w:eastAsia="Times New Roman" w:hAnsi="Times New Roman"/>
          <w:sz w:val="24"/>
          <w:szCs w:val="24"/>
        </w:rPr>
        <w:t xml:space="preserve">The phrase beginning with 'So it glows' was flagged as unclear and informal. The revision rewrites this to explicitly state that the indicator light ring illuminates in different colors to communicate charging status, removing the informal connector and making the signaling mechanism precise.</w:t>
      </w:r>
    </w:p>
    <w:p>
      <w:pPr>
        <w:spacing w:line="480" w:lineRule="auto"/>
        <w:ind w:firstLine="720"/>
      </w:pPr>
      <w:r>
        <w:rPr>
          <w:rFonts w:ascii="Times New Roman" w:cs="Times New Roman" w:eastAsia="Times New Roman" w:hAnsi="Times New Roman"/>
          <w:sz w:val="24"/>
          <w:szCs w:val="24"/>
        </w:rPr>
        <w:t xml:space="preserve">Protective Casing</w:t>
      </w:r>
    </w:p>
    <w:p>
      <w:pPr>
        <w:spacing w:line="480" w:lineRule="auto"/>
        <w:ind w:firstLine="720"/>
      </w:pPr>
      <w:r>
        <w:rPr>
          <w:rFonts w:ascii="Times New Roman" w:cs="Times New Roman" w:eastAsia="Times New Roman" w:hAnsi="Times New Roman"/>
          <w:sz w:val="24"/>
          <w:szCs w:val="24"/>
        </w:rPr>
        <w:t xml:space="preserve">The instructor struck through the informal description 'It's a tough plastic enclosure' and indicated cleaner phrasing. The revision adopts the instructor's suggestion: 'It is made of tough plastic and is approximately 9.5 cm wide and 0.8 cm high.' All remaining informal phrasing in this section is replaced.</w:t>
      </w:r>
    </w:p>
    <w:p>
      <w:pPr>
        <w:spacing w:line="480" w:lineRule="auto"/>
        <w:ind w:firstLine="720"/>
      </w:pPr>
      <w:r>
        <w:rPr>
          <w:rFonts w:ascii="Times New Roman" w:cs="Times New Roman" w:eastAsia="Times New Roman" w:hAnsi="Times New Roman"/>
          <w:sz w:val="24"/>
          <w:szCs w:val="24"/>
        </w:rPr>
        <w:t xml:space="preserve">Power Input Port</w:t>
      </w:r>
    </w:p>
    <w:p>
      <w:pPr>
        <w:spacing w:line="480" w:lineRule="auto"/>
        <w:ind w:firstLine="720"/>
      </w:pPr>
      <w:r>
        <w:rPr>
          <w:rFonts w:ascii="Times New Roman" w:cs="Times New Roman" w:eastAsia="Times New Roman" w:hAnsi="Times New Roman"/>
          <w:sz w:val="24"/>
          <w:szCs w:val="24"/>
        </w:rPr>
        <w:t xml:space="preserve">The instructor recommended 'It is approximately' to replace the original phrasing, and flagged 'so that the user' as informal. The revision adopts the instructor's phrasing: 'The port is approximately 8 mm wide,' and replaces 'so that' constructions with precise technical alternatives such as 'allowing the user to...' or 'enabling repeated daily use without...'</w:t>
      </w:r>
    </w:p>
    <w:p>
      <w:pPr>
        <w:spacing w:line="480" w:lineRule="auto"/>
        <w:ind w:firstLine="720"/>
      </w:pPr>
      <w:r>
        <w:rPr>
          <w:rFonts w:ascii="Times New Roman" w:cs="Times New Roman" w:eastAsia="Times New Roman" w:hAnsi="Times New Roman"/>
          <w:sz w:val="24"/>
          <w:szCs w:val="24"/>
        </w:rPr>
        <w:t xml:space="preserve">Conclusion</w:t>
      </w:r>
    </w:p>
    <w:p>
      <w:pPr>
        <w:spacing w:line="480" w:lineRule="auto"/>
        <w:ind w:firstLine="720"/>
      </w:pPr>
      <w:r>
        <w:rPr>
          <w:rFonts w:ascii="Times New Roman" w:cs="Times New Roman" w:eastAsia="Times New Roman" w:hAnsi="Times New Roman"/>
          <w:sz w:val="24"/>
          <w:szCs w:val="24"/>
        </w:rPr>
        <w:t xml:space="preserve">The instructor advised to 'use short, direct sentences' and avoid trying to do too much at once. The conclusion is rewritten as a sequence of clear, direct statements — each sentence naming one component and its function without embedding multiple ideas in a single clause.</w:t>
      </w:r>
    </w:p>
    <w:p>
      <w:pPr>
        <w:spacing w:after="60" w:before="180"/>
        <w:ind w:firstLine="0"/>
      </w:pPr>
      <w:r>
        <w:rPr>
          <w:rFonts w:ascii="Times New Roman" w:cs="Times New Roman" w:eastAsia="Times New Roman" w:hAnsi="Times New Roman"/>
          <w:b/>
          <w:bCs/>
          <w:sz w:val="24"/>
          <w:szCs w:val="24"/>
        </w:rPr>
        <w:t xml:space="preserve">General Style Changes Across All Sections</w:t>
      </w:r>
    </w:p>
    <w:p>
      <w:pPr>
        <w:spacing w:line="480" w:lineRule="auto"/>
        <w:ind w:firstLine="720"/>
      </w:pPr>
      <w:r>
        <w:rPr>
          <w:rFonts w:ascii="Times New Roman" w:cs="Times New Roman" w:eastAsia="Times New Roman" w:hAnsi="Times New Roman"/>
          <w:sz w:val="24"/>
          <w:szCs w:val="24"/>
        </w:rPr>
        <w:t xml:space="preserve">The revision makes the following changes throughout: (1) eliminates all contractions, replacing them with full forms; (2) begins each component description with the full component name as the grammatical subject rather than a pronoun; (3) breaks any sentence flagged as 'unclear' or 'too much at once' into two shorter sentences; and (4) replaces informal connectors such as 'so' and 'so that' with precise technical language.</w:t>
      </w:r>
    </w:p>
    <w:p>
      <w:r>
        <w:br w:type="page"/>
      </w:r>
    </w:p>
    <w:p>
      <w:pPr>
        <w:spacing w:line="480" w:lineRule="auto"/>
        <w:jc w:val="center"/>
      </w:pPr>
      <w:r>
        <w:rPr>
          <w:rFonts w:ascii="Times New Roman" w:cs="Times New Roman" w:eastAsia="Times New Roman" w:hAnsi="Times New Roman"/>
          <w:b/>
          <w:bCs/>
          <w:sz w:val="24"/>
          <w:szCs w:val="24"/>
        </w:rPr>
        <w:t xml:space="preserve">Revised Mechanism Description</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EGR 3350-07</w:t>
      </w:r>
    </w:p>
    <w:p>
      <w:pPr>
        <w:spacing w:line="480" w:lineRule="auto"/>
        <w:jc w:val="center"/>
      </w:pPr>
      <w:r>
        <w:rPr>
          <w:rFonts w:ascii="Times New Roman" w:cs="Times New Roman" w:eastAsia="Times New Roman" w:hAnsi="Times New Roman"/>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sz w:val="24"/>
          <w:szCs w:val="24"/>
        </w:rPr>
        <w:t xml:space="preserve">Ms. Alysoun Taylor-Hall</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Wireless Fast Phone Charger</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Utsav Acharya</w:t>
      </w:r>
    </w:p>
    <w:p>
      <w:pPr>
        <w:spacing w:line="480" w:lineRule="auto"/>
        <w:jc w:val="center"/>
      </w:pPr>
      <w:r>
        <w:rPr>
          <w:rFonts w:ascii="Times New Roman" w:cs="Times New Roman" w:eastAsia="Times New Roman" w:hAnsi="Times New Roman"/>
          <w:sz w:val="24"/>
          <w:szCs w:val="24"/>
        </w:rPr>
        <w:t xml:space="preserve">Computer Science</w:t>
      </w:r>
    </w:p>
    <w:p>
      <w:pPr>
        <w:spacing w:line="480" w:lineRule="auto"/>
        <w:jc w:val="center"/>
      </w:pPr>
      <w:r>
        <w:rPr>
          <w:rFonts w:ascii="Times New Roman" w:cs="Times New Roman" w:eastAsia="Times New Roman" w:hAnsi="Times New Roman"/>
          <w:sz w:val="24"/>
          <w:szCs w:val="24"/>
        </w:rPr>
        <w:t xml:space="preserve">April 30, 2026</w:t>
      </w:r>
    </w:p>
    <w:p>
      <w:r>
        <w:br w:type="page"/>
      </w:r>
    </w:p>
    <w:p>
      <w:pPr>
        <w:spacing w:after="120" w:before="240"/>
      </w:pPr>
      <w:r>
        <w:rPr>
          <w:rFonts w:ascii="Times New Roman" w:cs="Times New Roman" w:eastAsia="Times New Roman" w:hAnsi="Times New Roman"/>
          <w:b/>
          <w:bCs/>
          <w:sz w:val="28"/>
          <w:szCs w:val="28"/>
        </w:rPr>
        <w:t xml:space="preserve">Introduction</w:t>
      </w:r>
    </w:p>
    <w:p>
      <w:pPr>
        <w:spacing w:line="480" w:lineRule="auto"/>
        <w:ind w:firstLine="720"/>
      </w:pPr>
      <w:r>
        <w:rPr>
          <w:rFonts w:ascii="Times New Roman" w:cs="Times New Roman" w:eastAsia="Times New Roman" w:hAnsi="Times New Roman"/>
          <w:sz w:val="24"/>
          <w:szCs w:val="24"/>
        </w:rPr>
        <w:t xml:space="preserve">A wireless fast phone charger is a power-transfer device that supplies electrical energy to a smartphone without a direct wired connection. Energy transfers through electromagnetic induction when a compatible phone is placed on the charger's upper surface. The charger is circular, black, and constructed of rigid polymer plastic, measuring approximately 10 cm in diameter and 0.8 cm in height. The mechanism consists of four observable components: the charging surface, the indicator light ring, the protective casing, and the power input port.</w:t>
      </w:r>
    </w:p>
    <w:p>
      <w:pPr>
        <w:spacing w:after="120" w:before="240"/>
      </w:pPr>
      <w:r>
        <w:rPr>
          <w:rFonts w:ascii="Times New Roman" w:cs="Times New Roman" w:eastAsia="Times New Roman" w:hAnsi="Times New Roman"/>
          <w:b/>
          <w:bCs/>
          <w:sz w:val="28"/>
          <w:szCs w:val="28"/>
        </w:rPr>
        <w:t xml:space="preserve">Discussion</w:t>
      </w:r>
    </w:p>
    <w:p>
      <w:pPr>
        <w:spacing w:line="480" w:lineRule="auto"/>
        <w:ind w:firstLine="720"/>
      </w:pPr>
      <w:r>
        <w:rPr>
          <w:rFonts w:ascii="Times New Roman" w:cs="Times New Roman" w:eastAsia="Times New Roman" w:hAnsi="Times New Roman"/>
          <w:sz w:val="24"/>
          <w:szCs w:val="24"/>
        </w:rPr>
        <w:t xml:space="preserve">Figure 1 shows the wireless fast phone charger and its primary components.</w:t>
      </w:r>
    </w:p>
    <w:p>
      <w:pPr>
        <w:spacing w:after="60" w:before="180"/>
        <w:ind w:firstLine="0"/>
      </w:pPr>
      <w:r>
        <w:rPr>
          <w:rFonts w:ascii="Times New Roman" w:cs="Times New Roman" w:eastAsia="Times New Roman" w:hAnsi="Times New Roman"/>
          <w:b/>
          <w:bCs/>
          <w:sz w:val="24"/>
          <w:szCs w:val="24"/>
        </w:rPr>
        <w:t xml:space="preserve">Charging Surface</w:t>
      </w:r>
    </w:p>
    <w:p>
      <w:pPr>
        <w:spacing w:line="480" w:lineRule="auto"/>
        <w:ind w:firstLine="720"/>
      </w:pPr>
      <w:r>
        <w:rPr>
          <w:rFonts w:ascii="Times New Roman" w:cs="Times New Roman" w:eastAsia="Times New Roman" w:hAnsi="Times New Roman"/>
          <w:sz w:val="24"/>
          <w:szCs w:val="24"/>
        </w:rPr>
        <w:t xml:space="preserve">The charging surface is a circular support platform that stabilizes a smartphone during energy transfer. It is a flat, round platform approximately 10 cm across and 0.8 cm thick. The surface has a matte finish that provides friction, preventing the phone from sliding during charging. The flat shape positions the device consistently over the induction coil beneath, ensuring reliable energy transfer. Around the outer edge of the charging surface runs the indicator light ring.</w:t>
      </w:r>
    </w:p>
    <w:p>
      <w:pPr>
        <w:spacing w:after="60" w:before="180"/>
        <w:ind w:firstLine="0"/>
      </w:pPr>
      <w:r>
        <w:rPr>
          <w:rFonts w:ascii="Times New Roman" w:cs="Times New Roman" w:eastAsia="Times New Roman" w:hAnsi="Times New Roman"/>
          <w:b/>
          <w:bCs/>
          <w:sz w:val="24"/>
          <w:szCs w:val="24"/>
        </w:rPr>
        <w:t xml:space="preserve">Indicator Light Ring</w:t>
      </w:r>
    </w:p>
    <w:p>
      <w:pPr>
        <w:spacing w:line="480" w:lineRule="auto"/>
        <w:ind w:firstLine="720"/>
      </w:pPr>
      <w:r>
        <w:rPr>
          <w:rFonts w:ascii="Times New Roman" w:cs="Times New Roman" w:eastAsia="Times New Roman" w:hAnsi="Times New Roman"/>
          <w:sz w:val="24"/>
          <w:szCs w:val="24"/>
        </w:rPr>
        <w:t xml:space="preserve">The indicator light ring is a visual signaling component that communicates charging status to the user. It has a diameter of approximately 0.2 cm and is constructed of translucent plastic. The indicator light ring illuminates in different colors depending on whether the device is actively charging. When a phone is charging, the ring emits a steady light; when no device is detected, the ring remains unlit. The indicator light ring encircles the charging surface and rests on top of the protective casing.</w:t>
      </w:r>
    </w:p>
    <w:p>
      <w:pPr>
        <w:spacing w:after="60" w:before="180"/>
        <w:ind w:firstLine="0"/>
      </w:pPr>
      <w:r>
        <w:rPr>
          <w:rFonts w:ascii="Times New Roman" w:cs="Times New Roman" w:eastAsia="Times New Roman" w:hAnsi="Times New Roman"/>
          <w:b/>
          <w:bCs/>
          <w:sz w:val="24"/>
          <w:szCs w:val="24"/>
        </w:rPr>
        <w:t xml:space="preserve">Protective Casing</w:t>
      </w:r>
    </w:p>
    <w:p>
      <w:pPr>
        <w:spacing w:line="480" w:lineRule="auto"/>
        <w:ind w:firstLine="720"/>
      </w:pPr>
      <w:r>
        <w:rPr>
          <w:rFonts w:ascii="Times New Roman" w:cs="Times New Roman" w:eastAsia="Times New Roman" w:hAnsi="Times New Roman"/>
          <w:sz w:val="24"/>
          <w:szCs w:val="24"/>
        </w:rPr>
        <w:t xml:space="preserve">The protective casing is a structural enclosure that houses and supports the internal electrical components, including the induction coil and supporting electronics. It is made of tough plastic and measures approximately 9.5 cm wide and 0.8 cm high. The casing shields the internal components from physical impact and environmental exposure. Small rubber pads on the bottom surface of the casing prevent the charger from sliding on flat surfaces. The power input port is integrated into the side of the protective casing.</w:t>
      </w:r>
    </w:p>
    <w:p>
      <w:pPr>
        <w:spacing w:after="60" w:before="180"/>
        <w:ind w:firstLine="0"/>
      </w:pPr>
      <w:r>
        <w:rPr>
          <w:rFonts w:ascii="Times New Roman" w:cs="Times New Roman" w:eastAsia="Times New Roman" w:hAnsi="Times New Roman"/>
          <w:b/>
          <w:bCs/>
          <w:sz w:val="24"/>
          <w:szCs w:val="24"/>
        </w:rPr>
        <w:t xml:space="preserve">Power Input Port</w:t>
      </w:r>
    </w:p>
    <w:p>
      <w:pPr>
        <w:spacing w:line="480" w:lineRule="auto"/>
        <w:ind w:firstLine="720"/>
      </w:pPr>
      <w:r>
        <w:rPr>
          <w:rFonts w:ascii="Times New Roman" w:cs="Times New Roman" w:eastAsia="Times New Roman" w:hAnsi="Times New Roman"/>
          <w:sz w:val="24"/>
          <w:szCs w:val="24"/>
        </w:rPr>
        <w:t xml:space="preserve">The power input port is a connector that enables the charger to receive power from an external source. The port is located on the side of the casing and is approximately 8 mm wide, accommodating a standard USB-C plug. The enclosure surrounding the port is constructed of durable material, allowing repeated daily connection and disconnection without degradation. Once connected, power flows directly into the induction system housed within the casing.</w:t>
      </w:r>
    </w:p>
    <w:p>
      <w:pPr>
        <w:spacing w:after="120" w:before="240"/>
      </w:pPr>
      <w:r>
        <w:rPr>
          <w:rFonts w:ascii="Times New Roman" w:cs="Times New Roman" w:eastAsia="Times New Roman" w:hAnsi="Times New Roman"/>
          <w:b/>
          <w:bCs/>
          <w:sz w:val="28"/>
          <w:szCs w:val="28"/>
        </w:rPr>
        <w:t xml:space="preserve">Conclusion</w:t>
      </w:r>
    </w:p>
    <w:p>
      <w:pPr>
        <w:spacing w:line="480" w:lineRule="auto"/>
        <w:ind w:firstLine="720"/>
      </w:pPr>
      <w:r>
        <w:rPr>
          <w:rFonts w:ascii="Times New Roman" w:cs="Times New Roman" w:eastAsia="Times New Roman" w:hAnsi="Times New Roman"/>
          <w:sz w:val="24"/>
          <w:szCs w:val="24"/>
        </w:rPr>
        <w:t xml:space="preserve">A wireless fast phone charger is a power-transfer device that supplies electrical energy to a smartphone without a direct wired connection. The charging surface holds the device in the correct position over the induction coil. The indicator light ring signals the current charging status to the user. The protective casing encloses and shields the internal electronics. The power input port connects the unit to an external power source. Together, these four components enable fast, reliable wireless charging.</w:t>
      </w:r>
    </w:p>
    <w:p>
      <w:pPr>
        <w:spacing w:line="240" w:lineRule="auto"/>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sz w:val="20"/>
          <w:szCs w:val="20"/>
        </w:rPr>
        <w:t xml:space="preserve">Figure 1. Wireless Fast Phone Charger, showing labeled components. Source: Author.</w:t>
      </w:r>
    </w:p>
    <w:p>
      <w:r>
        <w:br w:type="page"/>
      </w:r>
    </w:p>
    <w:p>
      <w:pPr>
        <w:spacing w:after="240" w:before="360"/>
        <w:jc w:val="center"/>
      </w:pPr>
      <w:r>
        <w:rPr>
          <w:rFonts w:ascii="Times New Roman" w:cs="Times New Roman" w:eastAsia="Times New Roman" w:hAnsi="Times New Roman"/>
          <w:b/>
          <w:bCs/>
          <w:sz w:val="28"/>
          <w:szCs w:val="28"/>
        </w:rPr>
        <w:t xml:space="preserve">2. Process Description</w:t>
      </w:r>
    </w:p>
    <w:p>
      <w:pPr>
        <w:spacing w:line="480" w:lineRule="auto"/>
        <w:jc w:val="center"/>
      </w:pPr>
      <w:r>
        <w:rPr>
          <w:rFonts w:ascii="Times New Roman" w:cs="Times New Roman" w:eastAsia="Times New Roman" w:hAnsi="Times New Roman"/>
          <w:b/>
          <w:bCs/>
          <w:sz w:val="24"/>
          <w:szCs w:val="24"/>
        </w:rPr>
        <w:t xml:space="preserve">Reflection</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EGR 3350-07</w:t>
      </w:r>
    </w:p>
    <w:p>
      <w:pPr>
        <w:spacing w:line="480" w:lineRule="auto"/>
        <w:jc w:val="center"/>
      </w:pPr>
      <w:r>
        <w:rPr>
          <w:rFonts w:ascii="Times New Roman" w:cs="Times New Roman" w:eastAsia="Times New Roman" w:hAnsi="Times New Roman"/>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sz w:val="24"/>
          <w:szCs w:val="24"/>
        </w:rPr>
        <w:t xml:space="preserve">Ms. Alysoun Taylor-Hall</w:t>
      </w:r>
    </w:p>
    <w:p>
      <w:pPr>
        <w:spacing w:line="480" w:lineRule="auto"/>
        <w:jc w:val="center"/>
      </w:pPr>
      <w:r>
        <w:rPr>
          <w:rFonts w:ascii="Times New Roman" w:cs="Times New Roman" w:eastAsia="Times New Roman" w:hAnsi="Times New Roman"/>
          <w:sz w:val="24"/>
          <w:szCs w:val="24"/>
        </w:rPr>
        <w:t xml:space="preserve">Utsav Acharya | Computer Science | April 30, 2026</w:t>
      </w:r>
    </w:p>
    <w:p>
      <w:r>
        <w:br w:type="page"/>
      </w:r>
    </w:p>
    <w:p>
      <w:pPr>
        <w:spacing w:after="120" w:before="240"/>
      </w:pPr>
      <w:r>
        <w:rPr>
          <w:rFonts w:ascii="Times New Roman" w:cs="Times New Roman" w:eastAsia="Times New Roman" w:hAnsi="Times New Roman"/>
          <w:b/>
          <w:bCs/>
          <w:sz w:val="28"/>
          <w:szCs w:val="28"/>
        </w:rPr>
        <w:t xml:space="preserve">Reflection: Two-Factor Authentication Verification Process</w:t>
      </w:r>
    </w:p>
    <w:p>
      <w:pPr>
        <w:spacing w:line="480" w:lineRule="auto"/>
        <w:ind w:firstLine="720"/>
      </w:pPr>
      <w:r>
        <w:rPr>
          <w:rFonts w:ascii="Times New Roman" w:cs="Times New Roman" w:eastAsia="Times New Roman" w:hAnsi="Times New Roman"/>
          <w:sz w:val="24"/>
          <w:szCs w:val="24"/>
        </w:rPr>
        <w:t xml:space="preserve">Writing the process description for the two-factor authentication (2FA) verification process was a valuable exercise in structuring technical information for a general audience. Looking back on the assignment, I can identify both strengths in the paper and areas where my writing could have been more effective.</w:t>
      </w:r>
    </w:p>
    <w:p>
      <w:pPr>
        <w:spacing w:line="480" w:lineRule="auto"/>
        <w:ind w:firstLine="720"/>
      </w:pPr>
      <w:r>
        <w:rPr>
          <w:rFonts w:ascii="Times New Roman" w:cs="Times New Roman" w:eastAsia="Times New Roman" w:hAnsi="Times New Roman"/>
          <w:sz w:val="24"/>
          <w:szCs w:val="24"/>
        </w:rPr>
        <w:t xml:space="preserve">One aspect I am most satisfied with is the logical flow of the five-step sequence. By breaking the authentication process into clearly labeled stages — entry of primary credentials, system validation and code generation, transmission of the verification code, entry and verification of the secondary code, and access authorization — I provided readers with a clear roadmap before they encountered the details of each step. The instructor's comment that it was 'nicely done' confirmed that the overall structure was sound. The flowchart in Figure 1 also reinforced the written explanation effectively, giving readers a visual reference for the sequence.</w:t>
      </w:r>
    </w:p>
    <w:p>
      <w:pPr>
        <w:spacing w:line="480" w:lineRule="auto"/>
        <w:ind w:firstLine="720"/>
      </w:pPr>
      <w:r>
        <w:rPr>
          <w:rFonts w:ascii="Times New Roman" w:cs="Times New Roman" w:eastAsia="Times New Roman" w:hAnsi="Times New Roman"/>
          <w:sz w:val="24"/>
          <w:szCs w:val="24"/>
        </w:rPr>
        <w:t xml:space="preserve">However, reviewing the instructor's feedback reveals two areas for growth. First, the professor noted that the last two steps in the flowchart — 'User Enters Code' and 'Access Granted or Denied' — could be combined. This points to a broader issue in my writing: I was not always thinking critically about whether each step represented a meaningfully distinct stage in the process or whether I was artificially separating ideas that belong together. In technical writing, unnecessary divisions can create confusion rather than clarity.</w:t>
      </w:r>
    </w:p>
    <w:p>
      <w:pPr>
        <w:spacing w:line="480" w:lineRule="auto"/>
        <w:ind w:firstLine="720"/>
      </w:pPr>
      <w:r>
        <w:rPr>
          <w:rFonts w:ascii="Times New Roman" w:cs="Times New Roman" w:eastAsia="Times New Roman" w:hAnsi="Times New Roman"/>
          <w:sz w:val="24"/>
          <w:szCs w:val="24"/>
        </w:rPr>
        <w:t xml:space="preserve">Second, the feedback on the 'Entry and Verification of Secondary Code' section flagged imprecise word choice. The word 'either' was struck through and replaced with a more precise term. This reflects a tendency I noticed in my own writing: occasionally choosing words that feel natural in everyday speech without verifying that they carry precise technical meaning. In a document describing a security process, precision is essential.</w:t>
      </w:r>
    </w:p>
    <w:p>
      <w:pPr>
        <w:spacing w:line="480" w:lineRule="auto"/>
        <w:ind w:firstLine="720"/>
      </w:pPr>
      <w:r>
        <w:rPr>
          <w:rFonts w:ascii="Times New Roman" w:cs="Times New Roman" w:eastAsia="Times New Roman" w:hAnsi="Times New Roman"/>
          <w:sz w:val="24"/>
          <w:szCs w:val="24"/>
        </w:rPr>
        <w:t xml:space="preserve">Overall, this assignment taught me that even a well-organized technical document benefits from a final critical review at both the structural and sentence level. I came away with a clearer understanding of how to evaluate whether divisions genuinely serve the reader and how to select language that is accurate and accessible. These lessons will shape how I approach all future technical writing.</w:t>
      </w:r>
    </w:p>
    <w:p>
      <w:r>
        <w:br w:type="page"/>
      </w:r>
    </w:p>
    <w:p>
      <w:pPr>
        <w:spacing w:after="240" w:before="360"/>
        <w:jc w:val="center"/>
      </w:pPr>
      <w:r>
        <w:rPr>
          <w:rFonts w:ascii="Times New Roman" w:cs="Times New Roman" w:eastAsia="Times New Roman" w:hAnsi="Times New Roman"/>
          <w:b/>
          <w:bCs/>
          <w:sz w:val="28"/>
          <w:szCs w:val="28"/>
        </w:rPr>
        <w:t xml:space="preserve">3. Recommendation Report</w:t>
      </w:r>
    </w:p>
    <w:p>
      <w:pPr>
        <w:spacing w:line="480" w:lineRule="auto"/>
        <w:jc w:val="center"/>
      </w:pPr>
      <w:r>
        <w:rPr>
          <w:rFonts w:ascii="Times New Roman" w:cs="Times New Roman" w:eastAsia="Times New Roman" w:hAnsi="Times New Roman"/>
          <w:b/>
          <w:bCs/>
          <w:sz w:val="24"/>
          <w:szCs w:val="24"/>
        </w:rPr>
        <w:t xml:space="preserve">Reflection</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EGR 3350-07</w:t>
      </w:r>
    </w:p>
    <w:p>
      <w:pPr>
        <w:spacing w:line="480" w:lineRule="auto"/>
        <w:jc w:val="center"/>
      </w:pPr>
      <w:r>
        <w:rPr>
          <w:rFonts w:ascii="Times New Roman" w:cs="Times New Roman" w:eastAsia="Times New Roman" w:hAnsi="Times New Roman"/>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sz w:val="24"/>
          <w:szCs w:val="24"/>
        </w:rPr>
        <w:t xml:space="preserve">Ms. Alysoun Taylor-Hall</w:t>
      </w:r>
    </w:p>
    <w:p>
      <w:pPr>
        <w:spacing w:line="480" w:lineRule="auto"/>
        <w:jc w:val="center"/>
      </w:pPr>
      <w:r>
        <w:rPr>
          <w:rFonts w:ascii="Times New Roman" w:cs="Times New Roman" w:eastAsia="Times New Roman" w:hAnsi="Times New Roman"/>
          <w:sz w:val="24"/>
          <w:szCs w:val="24"/>
        </w:rPr>
        <w:t xml:space="preserve">Utsav Acharya | Computer Science | April 30, 2026</w:t>
      </w:r>
    </w:p>
    <w:p>
      <w:r>
        <w:br w:type="page"/>
      </w:r>
    </w:p>
    <w:p>
      <w:pPr>
        <w:spacing w:after="120" w:before="240"/>
      </w:pPr>
      <w:r>
        <w:rPr>
          <w:rFonts w:ascii="Times New Roman" w:cs="Times New Roman" w:eastAsia="Times New Roman" w:hAnsi="Times New Roman"/>
          <w:b/>
          <w:bCs/>
          <w:sz w:val="28"/>
          <w:szCs w:val="28"/>
        </w:rPr>
        <w:t xml:space="preserve">Reflection: Selecting the Best Password Manager for College Students</w:t>
      </w:r>
    </w:p>
    <w:p>
      <w:pPr>
        <w:spacing w:line="480" w:lineRule="auto"/>
        <w:ind w:firstLine="720"/>
      </w:pPr>
      <w:r>
        <w:rPr>
          <w:rFonts w:ascii="Times New Roman" w:cs="Times New Roman" w:eastAsia="Times New Roman" w:hAnsi="Times New Roman"/>
          <w:sz w:val="24"/>
          <w:szCs w:val="24"/>
        </w:rPr>
        <w:t xml:space="preserve">The recommendation report comparing Bitwarden, 1Password, and LastPass for college student use was the most research-intensive writing assignment of the semester. Earning a score of 16 out of 16 was gratifying, and the instructor's written feedback — 'Very nicely done' and 'Well researched. Good work' — confirmed that the report was both technically sound and clearly presented. This reflection examines why the report succeeded and what habits I want to carry forward.</w:t>
      </w:r>
    </w:p>
    <w:p>
      <w:pPr>
        <w:spacing w:line="480" w:lineRule="auto"/>
        <w:ind w:firstLine="720"/>
      </w:pPr>
      <w:r>
        <w:rPr>
          <w:rFonts w:ascii="Times New Roman" w:cs="Times New Roman" w:eastAsia="Times New Roman" w:hAnsi="Times New Roman"/>
          <w:sz w:val="24"/>
          <w:szCs w:val="24"/>
        </w:rPr>
        <w:t xml:space="preserve">The report's greatest strength was its evidence-based structure. Each of the three evaluation criteria — security features, ease of use, and annual cost — followed an explanation-data-interpretation pattern that guided the reader from context to evidence to conclusion before any recommendation was offered. This prevented the report from reading like an opinion piece and positioned the final recommendation as the logical outcome of the research. The three comparison tables reinforced this by giving readers a concise visual summary at each stage.</w:t>
      </w:r>
    </w:p>
    <w:p>
      <w:pPr>
        <w:spacing w:line="480" w:lineRule="auto"/>
        <w:ind w:firstLine="720"/>
      </w:pPr>
      <w:r>
        <w:rPr>
          <w:rFonts w:ascii="Times New Roman" w:cs="Times New Roman" w:eastAsia="Times New Roman" w:hAnsi="Times New Roman"/>
          <w:sz w:val="24"/>
          <w:szCs w:val="24"/>
        </w:rPr>
        <w:t xml:space="preserve">The selection of peer-reviewed and industry sources also contributed to the report's credibility. Drawing on IEEE conference papers about password manager usability and security, alongside official pricing pages from Bitwarden, 1Password, and LastPass, allowed me to ground every factual claim in a verifiable source. Providing six properly formatted IEEE-style references demonstrated that the research process was systematic rather than superficial.</w:t>
      </w:r>
    </w:p>
    <w:p>
      <w:pPr>
        <w:spacing w:line="480" w:lineRule="auto"/>
        <w:ind w:firstLine="720"/>
      </w:pPr>
      <w:r>
        <w:rPr>
          <w:rFonts w:ascii="Times New Roman" w:cs="Times New Roman" w:eastAsia="Times New Roman" w:hAnsi="Times New Roman"/>
          <w:sz w:val="24"/>
          <w:szCs w:val="24"/>
        </w:rPr>
        <w:t xml:space="preserve">If I were to revise this report, I would focus on one self-identified limitation: the scope was restricted to individual student plans, which meant I did not explore whether family or student-discount pricing might change the recommendation. A brief acknowledgment of this boundary in the scope section would have made the report more transparent about the limits of its conclusions.</w:t>
      </w:r>
    </w:p>
    <w:p>
      <w:pPr>
        <w:spacing w:line="480" w:lineRule="auto"/>
        <w:ind w:firstLine="720"/>
      </w:pPr>
      <w:r>
        <w:rPr>
          <w:rFonts w:ascii="Times New Roman" w:cs="Times New Roman" w:eastAsia="Times New Roman" w:hAnsi="Times New Roman"/>
          <w:sz w:val="24"/>
          <w:szCs w:val="24"/>
        </w:rPr>
        <w:t xml:space="preserve">More broadly, this report reinforced that strong technical writing is as much about disciplined research as it is about clear prose. The process of locating credible sources, extracting relevant data, and presenting it in a form matched to the audience's needs is a skill I will continue to develop throughout my engineering career.</w:t>
      </w:r>
    </w:p>
    <w:p>
      <w:r>
        <w:br w:type="page"/>
      </w:r>
    </w:p>
    <w:p>
      <w:pPr>
        <w:spacing w:after="240" w:before="360"/>
        <w:jc w:val="center"/>
      </w:pPr>
      <w:r>
        <w:rPr>
          <w:rFonts w:ascii="Times New Roman" w:cs="Times New Roman" w:eastAsia="Times New Roman" w:hAnsi="Times New Roman"/>
          <w:b/>
          <w:bCs/>
          <w:sz w:val="28"/>
          <w:szCs w:val="28"/>
        </w:rPr>
        <w:t xml:space="preserve">4. Group Project (Group 3)</w:t>
      </w:r>
    </w:p>
    <w:p>
      <w:pPr>
        <w:spacing w:line="480" w:lineRule="auto"/>
        <w:jc w:val="center"/>
      </w:pPr>
      <w:r>
        <w:rPr>
          <w:rFonts w:ascii="Times New Roman" w:cs="Times New Roman" w:eastAsia="Times New Roman" w:hAnsi="Times New Roman"/>
          <w:b/>
          <w:bCs/>
          <w:sz w:val="24"/>
          <w:szCs w:val="24"/>
        </w:rPr>
        <w:t xml:space="preserve">Reflection</w:t>
      </w:r>
    </w:p>
    <w:p>
      <w:pPr>
        <w:spacing w:line="24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EGR 3350-07</w:t>
      </w:r>
    </w:p>
    <w:p>
      <w:pPr>
        <w:spacing w:line="480" w:lineRule="auto"/>
        <w:jc w:val="center"/>
      </w:pPr>
      <w:r>
        <w:rPr>
          <w:rFonts w:ascii="Times New Roman" w:cs="Times New Roman" w:eastAsia="Times New Roman" w:hAnsi="Times New Roman"/>
          <w:sz w:val="24"/>
          <w:szCs w:val="24"/>
        </w:rPr>
        <w:t xml:space="preserve">Technical Communications for Engineers and Computer Scientists</w:t>
      </w:r>
    </w:p>
    <w:p>
      <w:pPr>
        <w:spacing w:line="480" w:lineRule="auto"/>
        <w:jc w:val="center"/>
      </w:pPr>
      <w:r>
        <w:rPr>
          <w:rFonts w:ascii="Times New Roman" w:cs="Times New Roman" w:eastAsia="Times New Roman" w:hAnsi="Times New Roman"/>
          <w:sz w:val="24"/>
          <w:szCs w:val="24"/>
        </w:rPr>
        <w:t xml:space="preserve">Ms. Alysoun Taylor-Hall</w:t>
      </w:r>
    </w:p>
    <w:p>
      <w:pPr>
        <w:spacing w:line="480" w:lineRule="auto"/>
        <w:jc w:val="center"/>
      </w:pPr>
      <w:r>
        <w:rPr>
          <w:rFonts w:ascii="Times New Roman" w:cs="Times New Roman" w:eastAsia="Times New Roman" w:hAnsi="Times New Roman"/>
          <w:sz w:val="24"/>
          <w:szCs w:val="24"/>
        </w:rPr>
        <w:t xml:space="preserve">Utsav Acharya | Computer Science | April 30, 2026</w:t>
      </w:r>
    </w:p>
    <w:p>
      <w:r>
        <w:br w:type="page"/>
      </w:r>
    </w:p>
    <w:p>
      <w:pPr>
        <w:spacing w:after="120" w:before="240"/>
      </w:pPr>
      <w:r>
        <w:rPr>
          <w:rFonts w:ascii="Times New Roman" w:cs="Times New Roman" w:eastAsia="Times New Roman" w:hAnsi="Times New Roman"/>
          <w:b/>
          <w:bCs/>
          <w:sz w:val="28"/>
          <w:szCs w:val="28"/>
        </w:rPr>
        <w:t xml:space="preserve">Reflection: Improving the Design of Floating Solar Farms</w:t>
      </w:r>
    </w:p>
    <w:p>
      <w:pPr>
        <w:spacing w:line="480" w:lineRule="auto"/>
        <w:ind w:firstLine="720"/>
      </w:pPr>
      <w:r>
        <w:rPr>
          <w:rFonts w:ascii="Times New Roman" w:cs="Times New Roman" w:eastAsia="Times New Roman" w:hAnsi="Times New Roman"/>
          <w:sz w:val="24"/>
          <w:szCs w:val="24"/>
        </w:rPr>
        <w:t xml:space="preserve">Working on the Group 3 proposal to improve the efficiency and durability of floating solar farms in ocean environments was the most collaborative writing experience of the semester. The group consisted of five members — Carter Rockenbaugh, Daniel Evans, Erica Gilliam, Reese Harmeyer, and me — and Erica served as the team lead, helping coordinate the division of tasks and keeping the project on track.</w:t>
      </w:r>
    </w:p>
    <w:p>
      <w:pPr>
        <w:spacing w:line="480" w:lineRule="auto"/>
        <w:ind w:firstLine="720"/>
      </w:pPr>
      <w:r>
        <w:rPr>
          <w:rFonts w:ascii="Times New Roman" w:cs="Times New Roman" w:eastAsia="Times New Roman" w:hAnsi="Times New Roman"/>
          <w:sz w:val="24"/>
          <w:szCs w:val="24"/>
        </w:rPr>
        <w:t xml:space="preserve">From the beginning, our team divided the work according to each member's background and strengths. Carter focused on site selection and cost feasibility, drawing on his mechanical engineering background. Daniel and Erica handled the materials research — specifically the selection of high-density polyethylene (HDPE) and the anti-corrosive epoxy glass coating. Reese researched the mooring and anchoring system. My contribution centered on the software-based IoT monitoring and detection system, which aligned with my Computer Science background. I researched how sensors could continuously track panel performance and trigger the automated cleaning response when efficiency dropped below a set threshold.</w:t>
      </w:r>
    </w:p>
    <w:p>
      <w:pPr>
        <w:spacing w:line="480" w:lineRule="auto"/>
        <w:ind w:firstLine="720"/>
      </w:pPr>
      <w:r>
        <w:rPr>
          <w:rFonts w:ascii="Times New Roman" w:cs="Times New Roman" w:eastAsia="Times New Roman" w:hAnsi="Times New Roman"/>
          <w:sz w:val="24"/>
          <w:szCs w:val="24"/>
        </w:rPr>
        <w:t xml:space="preserve">The group worked well together overall. Meetings were productive, and we always left with clear next steps. The proposal came together better than I initially expected — the sections integrated smoothly because we agreed on a shared outline and consistent formatting before each person began writing independently. The LOI received a score of 7.7 out of 8.0 (A), and the instructor's feedback praised the work while asking us to clarify our exact scope further.</w:t>
      </w:r>
    </w:p>
    <w:p>
      <w:pPr>
        <w:spacing w:line="480" w:lineRule="auto"/>
        <w:ind w:firstLine="720"/>
      </w:pPr>
      <w:r>
        <w:rPr>
          <w:rFonts w:ascii="Times New Roman" w:cs="Times New Roman" w:eastAsia="Times New Roman" w:hAnsi="Times New Roman"/>
          <w:sz w:val="24"/>
          <w:szCs w:val="24"/>
        </w:rPr>
        <w:t xml:space="preserve">The most challenging part for me personally was bridging the technical depth of the monitoring system research with the need to keep the proposal accessible to a mixed engineering audience. I had to describe IoT sensor systems, voltage and current tracking, and automated alert mechanisms in a way that Carter and Reese — mechanical engineers — could follow without a software background. This required me to think carefully about audience adaptation, one of the core skills emphasized throughout the course.</w:t>
      </w:r>
    </w:p>
    <w:p>
      <w:pPr>
        <w:spacing w:line="480" w:lineRule="auto"/>
        <w:ind w:firstLine="720"/>
      </w:pPr>
      <w:r>
        <w:rPr>
          <w:rFonts w:ascii="Times New Roman" w:cs="Times New Roman" w:eastAsia="Times New Roman" w:hAnsi="Times New Roman"/>
          <w:sz w:val="24"/>
          <w:szCs w:val="24"/>
        </w:rPr>
        <w:t xml:space="preserve">Overall, this project demonstrated that group writing succeeds when members communicate consistently, respect each other's expertise, and agree on structure early. I came away with a stronger understanding of how collaborative technical documents are built and a greater appreciation for the role that clear division of labor plays in producing a cohesive final product.</w:t>
      </w:r>
    </w:p>
    <w:p>
      <w:r>
        <w:br w:type="page"/>
      </w:r>
    </w:p>
    <w:p>
      <w:pPr>
        <w:spacing w:after="240" w:before="360"/>
        <w:jc w:val="center"/>
      </w:pPr>
      <w:r>
        <w:rPr>
          <w:rFonts w:ascii="Times New Roman" w:cs="Times New Roman" w:eastAsia="Times New Roman" w:hAnsi="Times New Roman"/>
          <w:b/>
          <w:bCs/>
          <w:sz w:val="28"/>
          <w:szCs w:val="28"/>
        </w:rPr>
        <w:t xml:space="preserve">[ Insert Original Graded Mechanism Description Here ]</w:t>
      </w:r>
    </w:p>
    <w:p>
      <w:r>
        <w:br w:type="page"/>
      </w:r>
    </w:p>
    <w:p>
      <w:pPr>
        <w:spacing w:after="240" w:before="360"/>
        <w:jc w:val="center"/>
      </w:pPr>
      <w:r>
        <w:rPr>
          <w:rFonts w:ascii="Times New Roman" w:cs="Times New Roman" w:eastAsia="Times New Roman" w:hAnsi="Times New Roman"/>
          <w:b/>
          <w:bCs/>
          <w:sz w:val="28"/>
          <w:szCs w:val="28"/>
        </w:rPr>
        <w:t xml:space="preserve">[ Insert Original Graded Process Description Here ]</w:t>
      </w:r>
    </w:p>
    <w:p>
      <w:r>
        <w:br w:type="page"/>
      </w:r>
    </w:p>
    <w:p>
      <w:pPr>
        <w:spacing w:after="240" w:before="360"/>
        <w:jc w:val="center"/>
      </w:pPr>
      <w:r>
        <w:rPr>
          <w:rFonts w:ascii="Times New Roman" w:cs="Times New Roman" w:eastAsia="Times New Roman" w:hAnsi="Times New Roman"/>
          <w:b/>
          <w:bCs/>
          <w:sz w:val="28"/>
          <w:szCs w:val="28"/>
        </w:rPr>
        <w:t xml:space="preserve">[ Insert Original Graded Recommendation Report Here ]</w:t>
      </w:r>
    </w:p>
    <w:p>
      <w:r>
        <w:br w:type="page"/>
      </w:r>
    </w:p>
    <w:p>
      <w:pPr>
        <w:spacing w:after="240" w:before="360"/>
        <w:jc w:val="center"/>
      </w:pPr>
      <w:r>
        <w:rPr>
          <w:rFonts w:ascii="Times New Roman" w:cs="Times New Roman" w:eastAsia="Times New Roman" w:hAnsi="Times New Roman"/>
          <w:b/>
          <w:bCs/>
          <w:sz w:val="28"/>
          <w:szCs w:val="28"/>
        </w:rPr>
        <w:t xml:space="preserve">[ Insert Group LOI, Annotated Bibliography, and Proposal Here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2026-05-01T00:24:02.300Z</dcterms:created>
  <dcterms:modified xsi:type="dcterms:W3CDTF">2026-05-01T00:24:02.315Z</dcterms:modified>
</cp:coreProperties>
</file>

<file path=docProps/custom.xml><?xml version="1.0" encoding="utf-8"?>
<Properties xmlns="http://schemas.openxmlformats.org/officeDocument/2006/custom-properties" xmlns:vt="http://schemas.openxmlformats.org/officeDocument/2006/docPropsVTypes"/>
</file>