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C636" w14:textId="3A929667" w:rsidR="00066D5F" w:rsidRPr="00982BA8" w:rsidRDefault="006127AB">
      <w:pPr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>N</w:t>
      </w:r>
      <w:r w:rsidRPr="00982BA8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982BA8">
        <w:rPr>
          <w:rFonts w:ascii="Times New Roman" w:hAnsi="Times New Roman" w:cs="Times New Roman"/>
          <w:sz w:val="24"/>
          <w:szCs w:val="24"/>
        </w:rPr>
        <w:t>m</w:t>
      </w:r>
      <w:r w:rsidRPr="00982BA8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982BA8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82BA8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82BA8">
        <w:rPr>
          <w:rFonts w:ascii="Times New Roman" w:hAnsi="Times New Roman" w:cs="Times New Roman"/>
          <w:sz w:val="24"/>
          <w:szCs w:val="24"/>
        </w:rPr>
        <w:t>: S</w:t>
      </w:r>
      <w:r w:rsidRPr="00982BA8">
        <w:rPr>
          <w:rFonts w:ascii="Times New Roman" w:hAnsi="Times New Roman" w:cs="Times New Roman"/>
          <w:sz w:val="24"/>
          <w:szCs w:val="24"/>
          <w:lang w:val="id-ID"/>
        </w:rPr>
        <w:t>a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rl</w:t>
      </w:r>
      <w:proofErr w:type="spellEnd"/>
      <w:r w:rsidRPr="00982BA8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982BA8">
        <w:rPr>
          <w:rFonts w:ascii="Times New Roman" w:hAnsi="Times New Roman" w:cs="Times New Roman"/>
          <w:sz w:val="24"/>
          <w:szCs w:val="24"/>
        </w:rPr>
        <w:t xml:space="preserve"> M</w:t>
      </w:r>
      <w:r w:rsidRPr="00982BA8">
        <w:rPr>
          <w:rFonts w:ascii="Times New Roman" w:hAnsi="Times New Roman" w:cs="Times New Roman"/>
          <w:sz w:val="24"/>
          <w:szCs w:val="24"/>
          <w:lang w:val="id-ID"/>
        </w:rPr>
        <w:t>a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rtiz</w:t>
      </w:r>
      <w:proofErr w:type="spellEnd"/>
      <w:r w:rsidRPr="00982BA8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982BA8">
        <w:rPr>
          <w:rFonts w:ascii="Times New Roman" w:hAnsi="Times New Roman" w:cs="Times New Roman"/>
          <w:sz w:val="24"/>
          <w:szCs w:val="24"/>
        </w:rPr>
        <w:t xml:space="preserve"> M</w:t>
      </w:r>
      <w:r w:rsidRPr="00982BA8">
        <w:rPr>
          <w:rFonts w:ascii="Times New Roman" w:hAnsi="Times New Roman" w:cs="Times New Roman"/>
          <w:sz w:val="24"/>
          <w:szCs w:val="24"/>
          <w:lang w:val="id-ID"/>
        </w:rPr>
        <w:t>a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82BA8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982BA8">
        <w:rPr>
          <w:rFonts w:ascii="Times New Roman" w:hAnsi="Times New Roman" w:cs="Times New Roman"/>
          <w:sz w:val="24"/>
          <w:szCs w:val="24"/>
        </w:rPr>
        <w:t xml:space="preserve"> Putri</w:t>
      </w:r>
    </w:p>
    <w:p w14:paraId="2D06AE02" w14:textId="5A44CC61" w:rsidR="006127AB" w:rsidRPr="00982BA8" w:rsidRDefault="006127AB">
      <w:pPr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>NIM</w:t>
      </w:r>
      <w:r w:rsidRPr="00982BA8">
        <w:rPr>
          <w:rFonts w:ascii="Times New Roman" w:hAnsi="Times New Roman" w:cs="Times New Roman"/>
          <w:sz w:val="24"/>
          <w:szCs w:val="24"/>
        </w:rPr>
        <w:tab/>
      </w:r>
      <w:r w:rsidRPr="00982BA8">
        <w:rPr>
          <w:rFonts w:ascii="Times New Roman" w:hAnsi="Times New Roman" w:cs="Times New Roman"/>
          <w:sz w:val="24"/>
          <w:szCs w:val="24"/>
        </w:rPr>
        <w:tab/>
        <w:t>: 2021130032</w:t>
      </w:r>
    </w:p>
    <w:p w14:paraId="200B261D" w14:textId="54E73414" w:rsidR="006127AB" w:rsidRPr="00982BA8" w:rsidRDefault="006127AB">
      <w:pPr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>Kel</w:t>
      </w:r>
      <w:r w:rsidRPr="00982BA8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982BA8">
        <w:rPr>
          <w:rFonts w:ascii="Times New Roman" w:hAnsi="Times New Roman" w:cs="Times New Roman"/>
          <w:sz w:val="24"/>
          <w:szCs w:val="24"/>
        </w:rPr>
        <w:t>s</w:t>
      </w:r>
      <w:r w:rsidRPr="00982BA8">
        <w:rPr>
          <w:rFonts w:ascii="Times New Roman" w:hAnsi="Times New Roman" w:cs="Times New Roman"/>
          <w:sz w:val="24"/>
          <w:szCs w:val="24"/>
        </w:rPr>
        <w:tab/>
      </w:r>
      <w:r w:rsidRPr="00982BA8">
        <w:rPr>
          <w:rFonts w:ascii="Times New Roman" w:hAnsi="Times New Roman" w:cs="Times New Roman"/>
          <w:sz w:val="24"/>
          <w:szCs w:val="24"/>
        </w:rPr>
        <w:tab/>
        <w:t>: MNJ21B</w:t>
      </w:r>
    </w:p>
    <w:p w14:paraId="1EB4F077" w14:textId="62BA331A" w:rsidR="006127AB" w:rsidRPr="00982BA8" w:rsidRDefault="006127AB">
      <w:pPr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>M</w:t>
      </w:r>
      <w:r w:rsidRPr="00982BA8">
        <w:rPr>
          <w:rFonts w:ascii="Times New Roman" w:hAnsi="Times New Roman" w:cs="Times New Roman"/>
          <w:sz w:val="24"/>
          <w:szCs w:val="24"/>
          <w:lang w:val="id-ID"/>
        </w:rPr>
        <w:t>a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tkul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ab/>
      </w:r>
      <w:r w:rsidRPr="00982BA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82BA8">
        <w:rPr>
          <w:rFonts w:ascii="Times New Roman" w:hAnsi="Times New Roman" w:cs="Times New Roman"/>
          <w:sz w:val="24"/>
          <w:szCs w:val="24"/>
          <w:lang w:val="id-ID"/>
        </w:rPr>
        <w:t>A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kut</w:t>
      </w:r>
      <w:proofErr w:type="spellEnd"/>
      <w:r w:rsidRPr="00982BA8">
        <w:rPr>
          <w:rFonts w:ascii="Times New Roman" w:hAnsi="Times New Roman" w:cs="Times New Roman"/>
          <w:sz w:val="24"/>
          <w:szCs w:val="24"/>
          <w:lang w:val="id-ID"/>
        </w:rPr>
        <w:t>a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nsi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M</w:t>
      </w:r>
      <w:r w:rsidRPr="00982BA8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982BA8">
        <w:rPr>
          <w:rFonts w:ascii="Times New Roman" w:hAnsi="Times New Roman" w:cs="Times New Roman"/>
          <w:sz w:val="24"/>
          <w:szCs w:val="24"/>
        </w:rPr>
        <w:t>n</w:t>
      </w:r>
      <w:r w:rsidRPr="00982BA8">
        <w:rPr>
          <w:rFonts w:ascii="Times New Roman" w:hAnsi="Times New Roman" w:cs="Times New Roman"/>
          <w:sz w:val="24"/>
          <w:szCs w:val="24"/>
          <w:lang w:val="id-ID"/>
        </w:rPr>
        <w:t>a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jemen</w:t>
      </w:r>
      <w:proofErr w:type="spellEnd"/>
    </w:p>
    <w:p w14:paraId="767423C6" w14:textId="77777777" w:rsidR="006127AB" w:rsidRPr="00982BA8" w:rsidRDefault="006127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43B691" w14:textId="4EAF73FB" w:rsidR="006127AB" w:rsidRPr="00982BA8" w:rsidRDefault="0061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BA8">
        <w:rPr>
          <w:rFonts w:ascii="Times New Roman" w:hAnsi="Times New Roman" w:cs="Times New Roman"/>
          <w:b/>
          <w:bCs/>
          <w:sz w:val="24"/>
          <w:szCs w:val="24"/>
        </w:rPr>
        <w:t>Tug</w:t>
      </w:r>
      <w:r w:rsidRPr="00982BA8">
        <w:rPr>
          <w:rFonts w:ascii="Times New Roman" w:hAnsi="Times New Roman" w:cs="Times New Roman"/>
          <w:b/>
          <w:bCs/>
          <w:sz w:val="24"/>
          <w:szCs w:val="24"/>
          <w:lang w:val="id-ID"/>
        </w:rPr>
        <w:t>a</w:t>
      </w:r>
      <w:r w:rsidRPr="00982BA8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proofErr w:type="gramStart"/>
      <w:r w:rsidRPr="00982BA8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982BA8">
        <w:rPr>
          <w:rFonts w:ascii="Times New Roman" w:hAnsi="Times New Roman" w:cs="Times New Roman"/>
          <w:b/>
          <w:bCs/>
          <w:sz w:val="24"/>
          <w:szCs w:val="24"/>
          <w:lang w:val="id-ID"/>
        </w:rPr>
        <w:t>a</w:t>
      </w:r>
      <w:proofErr w:type="spellStart"/>
      <w:r w:rsidRPr="00982BA8">
        <w:rPr>
          <w:rFonts w:ascii="Times New Roman" w:hAnsi="Times New Roman" w:cs="Times New Roman"/>
          <w:b/>
          <w:bCs/>
          <w:sz w:val="24"/>
          <w:szCs w:val="24"/>
        </w:rPr>
        <w:t>tif</w:t>
      </w:r>
      <w:proofErr w:type="spellEnd"/>
      <w:r w:rsidRPr="00982BA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0C06D483" w14:textId="77777777" w:rsidR="003F71DA" w:rsidRPr="00982BA8" w:rsidRDefault="003F71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BA8">
        <w:rPr>
          <w:rFonts w:ascii="Times New Roman" w:hAnsi="Times New Roman" w:cs="Times New Roman"/>
          <w:b/>
          <w:bCs/>
          <w:sz w:val="24"/>
          <w:szCs w:val="24"/>
        </w:rPr>
        <w:t>Ch</w:t>
      </w:r>
      <w:r w:rsidRPr="00982BA8">
        <w:rPr>
          <w:rFonts w:ascii="Times New Roman" w:hAnsi="Times New Roman" w:cs="Times New Roman"/>
          <w:b/>
          <w:bCs/>
          <w:sz w:val="24"/>
          <w:szCs w:val="24"/>
          <w:lang w:val="id-ID"/>
        </w:rPr>
        <w:t>a</w:t>
      </w:r>
      <w:proofErr w:type="spellStart"/>
      <w:r w:rsidRPr="00982BA8">
        <w:rPr>
          <w:rFonts w:ascii="Times New Roman" w:hAnsi="Times New Roman" w:cs="Times New Roman"/>
          <w:b/>
          <w:bCs/>
          <w:sz w:val="24"/>
          <w:szCs w:val="24"/>
        </w:rPr>
        <w:t>pter</w:t>
      </w:r>
      <w:proofErr w:type="spellEnd"/>
      <w:r w:rsidRPr="00982BA8">
        <w:rPr>
          <w:rFonts w:ascii="Times New Roman" w:hAnsi="Times New Roman" w:cs="Times New Roman"/>
          <w:b/>
          <w:bCs/>
          <w:sz w:val="24"/>
          <w:szCs w:val="24"/>
        </w:rPr>
        <w:t xml:space="preserve"> 13</w:t>
      </w:r>
    </w:p>
    <w:p w14:paraId="18C376A4" w14:textId="77777777" w:rsidR="003F71DA" w:rsidRPr="00982BA8" w:rsidRDefault="003F71DA" w:rsidP="003F71DA">
      <w:pPr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>Wheeler Company wants to buy a numerically controlled (NC) machine to be used in producing specially machined parts for manufacturers of trenching machines. The outlay required is $800,000. The NC equipment will last five years with no expected salvage value. The expected after-tax cash flows associated with the project follow:</w:t>
      </w:r>
    </w:p>
    <w:p w14:paraId="0C1A22BF" w14:textId="77777777" w:rsidR="003F71DA" w:rsidRPr="00982BA8" w:rsidRDefault="003F71DA" w:rsidP="003F71DA">
      <w:pPr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>Required</w:t>
      </w:r>
    </w:p>
    <w:p w14:paraId="683D79E3" w14:textId="77777777" w:rsidR="003F71DA" w:rsidRPr="00982BA8" w:rsidRDefault="003F71DA" w:rsidP="003F71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>Compute the payback period for the NC equipment.</w:t>
      </w:r>
    </w:p>
    <w:p w14:paraId="07105525" w14:textId="77777777" w:rsidR="003F71DA" w:rsidRPr="00982BA8" w:rsidRDefault="003F71DA" w:rsidP="003F71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>Compute the NC equipment’s accounting rate of return</w:t>
      </w:r>
      <w:r w:rsidRPr="00982BA8">
        <w:rPr>
          <w:rFonts w:ascii="Times New Roman" w:hAnsi="Times New Roman" w:cs="Times New Roman"/>
          <w:sz w:val="24"/>
          <w:szCs w:val="24"/>
        </w:rPr>
        <w:t>.</w:t>
      </w:r>
    </w:p>
    <w:p w14:paraId="5272FA09" w14:textId="77777777" w:rsidR="003F71DA" w:rsidRPr="00982BA8" w:rsidRDefault="003F71DA" w:rsidP="003F71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>Compute the investment’s net present value, assuming a required rate of return of 10 percent.</w:t>
      </w:r>
    </w:p>
    <w:p w14:paraId="22EE0182" w14:textId="77777777" w:rsidR="003F71DA" w:rsidRPr="00982BA8" w:rsidRDefault="003F71DA" w:rsidP="003F71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>Compute the investment’s internal rate of return.</w:t>
      </w:r>
    </w:p>
    <w:p w14:paraId="4E91FF13" w14:textId="77777777" w:rsidR="003F71DA" w:rsidRPr="00982BA8" w:rsidRDefault="003F71DA" w:rsidP="003F71D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82BA8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982BA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982BA8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982BA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982BA8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982BA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982BA8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Pr="00982BA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43A82AD" w14:textId="3862E76A" w:rsidR="003F71DA" w:rsidRPr="00982BA8" w:rsidRDefault="003F71DA" w:rsidP="003F71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 xml:space="preserve">Payback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ab/>
      </w:r>
      <w:r w:rsidRPr="00982BA8">
        <w:rPr>
          <w:rFonts w:ascii="Times New Roman" w:hAnsi="Times New Roman" w:cs="Times New Roman"/>
          <w:sz w:val="24"/>
          <w:szCs w:val="24"/>
        </w:rPr>
        <w:t xml:space="preserve">= Original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Invesment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/ Annual Cash in Flow</w:t>
      </w:r>
    </w:p>
    <w:p w14:paraId="44DFBDE6" w14:textId="77777777" w:rsidR="003F71DA" w:rsidRPr="00982BA8" w:rsidRDefault="003F71DA" w:rsidP="003F71DA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>= $ 800.000 / ($ 1.300.000 - $ 1.000.000)</w:t>
      </w:r>
    </w:p>
    <w:p w14:paraId="0E40DC6D" w14:textId="77777777" w:rsidR="003F71DA" w:rsidRPr="00982BA8" w:rsidRDefault="003F71DA" w:rsidP="003F71DA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>= $ 800.000 / $ 300.000</w:t>
      </w:r>
    </w:p>
    <w:p w14:paraId="60D364FF" w14:textId="77777777" w:rsidR="003F71DA" w:rsidRPr="00982BA8" w:rsidRDefault="003F71DA" w:rsidP="003F71DA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>= 2,67</w:t>
      </w:r>
    </w:p>
    <w:p w14:paraId="505922F0" w14:textId="77777777" w:rsidR="007910D6" w:rsidRPr="00982BA8" w:rsidRDefault="007910D6" w:rsidP="003F71DA">
      <w:pPr>
        <w:ind w:left="720"/>
        <w:rPr>
          <w:rFonts w:ascii="Times New Roman" w:hAnsi="Times New Roman" w:cs="Times New Roman"/>
          <w:color w:val="374151"/>
          <w:sz w:val="24"/>
          <w:szCs w:val="24"/>
        </w:rPr>
      </w:pP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Hasilnya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adalah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2,67. Oleh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karena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itu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periode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pengembalian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modalnya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adalah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sekitar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2,67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tahun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atau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setara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dengan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2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tahun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dan 8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bulan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>.</w:t>
      </w:r>
    </w:p>
    <w:p w14:paraId="3A7E8B11" w14:textId="0A4B2C40" w:rsidR="007910D6" w:rsidRPr="00982BA8" w:rsidRDefault="007910D6" w:rsidP="007910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 xml:space="preserve">Average Depreciation </w:t>
      </w:r>
      <w:r w:rsidRPr="00982BA8">
        <w:rPr>
          <w:rFonts w:ascii="Times New Roman" w:hAnsi="Times New Roman" w:cs="Times New Roman"/>
          <w:sz w:val="24"/>
          <w:szCs w:val="24"/>
        </w:rPr>
        <w:tab/>
      </w:r>
      <w:r w:rsidRPr="00982BA8">
        <w:rPr>
          <w:rFonts w:ascii="Times New Roman" w:hAnsi="Times New Roman" w:cs="Times New Roman"/>
          <w:sz w:val="24"/>
          <w:szCs w:val="24"/>
        </w:rPr>
        <w:t xml:space="preserve">= $ 800.000 / 5 </w:t>
      </w:r>
      <w:r w:rsidRPr="00982BA8">
        <w:rPr>
          <w:rFonts w:ascii="Times New Roman" w:hAnsi="Times New Roman" w:cs="Times New Roman"/>
          <w:sz w:val="24"/>
          <w:szCs w:val="24"/>
        </w:rPr>
        <w:tab/>
      </w:r>
      <w:r w:rsidRPr="00982BA8">
        <w:rPr>
          <w:rFonts w:ascii="Times New Roman" w:hAnsi="Times New Roman" w:cs="Times New Roman"/>
          <w:sz w:val="24"/>
          <w:szCs w:val="24"/>
        </w:rPr>
        <w:t>= $ 160.000</w:t>
      </w:r>
    </w:p>
    <w:p w14:paraId="68C083F7" w14:textId="77777777" w:rsidR="007910D6" w:rsidRPr="00982BA8" w:rsidRDefault="007910D6" w:rsidP="007910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>ARR</w:t>
      </w:r>
      <w:r w:rsidRPr="00982BA8">
        <w:rPr>
          <w:rFonts w:ascii="Times New Roman" w:hAnsi="Times New Roman" w:cs="Times New Roman"/>
          <w:sz w:val="24"/>
          <w:szCs w:val="24"/>
        </w:rPr>
        <w:tab/>
      </w:r>
      <w:r w:rsidRPr="00982BA8">
        <w:rPr>
          <w:rFonts w:ascii="Times New Roman" w:hAnsi="Times New Roman" w:cs="Times New Roman"/>
          <w:sz w:val="24"/>
          <w:szCs w:val="24"/>
        </w:rPr>
        <w:tab/>
      </w:r>
      <w:r w:rsidRPr="00982BA8">
        <w:rPr>
          <w:rFonts w:ascii="Times New Roman" w:hAnsi="Times New Roman" w:cs="Times New Roman"/>
          <w:sz w:val="24"/>
          <w:szCs w:val="24"/>
        </w:rPr>
        <w:tab/>
      </w:r>
      <w:r w:rsidRPr="00982BA8">
        <w:rPr>
          <w:rFonts w:ascii="Times New Roman" w:hAnsi="Times New Roman" w:cs="Times New Roman"/>
          <w:sz w:val="24"/>
          <w:szCs w:val="24"/>
        </w:rPr>
        <w:t xml:space="preserve">= Average Accounting Income /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Invesment</w:t>
      </w:r>
      <w:proofErr w:type="spellEnd"/>
    </w:p>
    <w:p w14:paraId="3A8777DA" w14:textId="77777777" w:rsidR="007910D6" w:rsidRPr="00982BA8" w:rsidRDefault="007910D6" w:rsidP="007910D6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>= ($ 300.000 - $ 160.000) / $ 800.000</w:t>
      </w:r>
    </w:p>
    <w:p w14:paraId="03EE5457" w14:textId="77777777" w:rsidR="007910D6" w:rsidRPr="00982BA8" w:rsidRDefault="007910D6" w:rsidP="007910D6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>= 17,5 %</w:t>
      </w:r>
    </w:p>
    <w:p w14:paraId="7482C7F6" w14:textId="7E2E5C3B" w:rsidR="00B2203E" w:rsidRPr="00982BA8" w:rsidRDefault="007910D6" w:rsidP="007910D6">
      <w:pPr>
        <w:ind w:left="720"/>
        <w:rPr>
          <w:rFonts w:ascii="Times New Roman" w:hAnsi="Times New Roman" w:cs="Times New Roman"/>
          <w:color w:val="374151"/>
          <w:sz w:val="24"/>
          <w:szCs w:val="24"/>
        </w:rPr>
      </w:pP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Did</w:t>
      </w:r>
      <w:r w:rsidRPr="00982BA8">
        <w:rPr>
          <w:rFonts w:ascii="Times New Roman" w:hAnsi="Times New Roman" w:cs="Times New Roman"/>
          <w:color w:val="374151"/>
          <w:sz w:val="24"/>
          <w:szCs w:val="24"/>
        </w:rPr>
        <w:t>a</w:t>
      </w:r>
      <w:r w:rsidRPr="00982BA8">
        <w:rPr>
          <w:rFonts w:ascii="Times New Roman" w:hAnsi="Times New Roman" w:cs="Times New Roman"/>
          <w:color w:val="374151"/>
          <w:sz w:val="24"/>
          <w:szCs w:val="24"/>
        </w:rPr>
        <w:t>p</w:t>
      </w:r>
      <w:r w:rsidRPr="00982BA8">
        <w:rPr>
          <w:rFonts w:ascii="Times New Roman" w:hAnsi="Times New Roman" w:cs="Times New Roman"/>
          <w:color w:val="374151"/>
          <w:sz w:val="24"/>
          <w:szCs w:val="24"/>
        </w:rPr>
        <w:t>a</w:t>
      </w:r>
      <w:r w:rsidRPr="00982BA8">
        <w:rPr>
          <w:rFonts w:ascii="Times New Roman" w:hAnsi="Times New Roman" w:cs="Times New Roman"/>
          <w:color w:val="374151"/>
          <w:sz w:val="24"/>
          <w:szCs w:val="24"/>
        </w:rPr>
        <w:t>tk</w:t>
      </w:r>
      <w:r w:rsidRPr="00982BA8">
        <w:rPr>
          <w:rFonts w:ascii="Times New Roman" w:hAnsi="Times New Roman" w:cs="Times New Roman"/>
          <w:color w:val="374151"/>
          <w:sz w:val="24"/>
          <w:szCs w:val="24"/>
        </w:rPr>
        <w:t>a</w:t>
      </w:r>
      <w:r w:rsidRPr="00982BA8">
        <w:rPr>
          <w:rFonts w:ascii="Times New Roman" w:hAnsi="Times New Roman" w:cs="Times New Roman"/>
          <w:color w:val="374151"/>
          <w:sz w:val="24"/>
          <w:szCs w:val="24"/>
        </w:rPr>
        <w:t>n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h</w:t>
      </w:r>
      <w:r w:rsidRPr="00982BA8">
        <w:rPr>
          <w:rFonts w:ascii="Times New Roman" w:hAnsi="Times New Roman" w:cs="Times New Roman"/>
          <w:color w:val="374151"/>
          <w:sz w:val="24"/>
          <w:szCs w:val="24"/>
        </w:rPr>
        <w:t>a</w:t>
      </w:r>
      <w:r w:rsidRPr="00982BA8">
        <w:rPr>
          <w:rFonts w:ascii="Times New Roman" w:hAnsi="Times New Roman" w:cs="Times New Roman"/>
          <w:color w:val="374151"/>
          <w:sz w:val="24"/>
          <w:szCs w:val="24"/>
        </w:rPr>
        <w:t>sil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17,5%. Oleh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karena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itu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berdasarkan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perhitungan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di</w:t>
      </w:r>
      <w:r w:rsidRPr="00982BA8">
        <w:rPr>
          <w:rFonts w:ascii="Times New Roman" w:hAnsi="Times New Roman" w:cs="Times New Roman"/>
          <w:color w:val="374151"/>
          <w:sz w:val="24"/>
          <w:szCs w:val="24"/>
        </w:rPr>
        <w:t>a</w:t>
      </w:r>
      <w:r w:rsidRPr="00982BA8">
        <w:rPr>
          <w:rFonts w:ascii="Times New Roman" w:hAnsi="Times New Roman" w:cs="Times New Roman"/>
          <w:color w:val="374151"/>
          <w:sz w:val="24"/>
          <w:szCs w:val="24"/>
        </w:rPr>
        <w:t>t</w:t>
      </w:r>
      <w:r w:rsidRPr="00982BA8">
        <w:rPr>
          <w:rFonts w:ascii="Times New Roman" w:hAnsi="Times New Roman" w:cs="Times New Roman"/>
          <w:color w:val="374151"/>
          <w:sz w:val="24"/>
          <w:szCs w:val="24"/>
        </w:rPr>
        <w:t>a</w:t>
      </w:r>
      <w:r w:rsidRPr="00982BA8">
        <w:rPr>
          <w:rFonts w:ascii="Times New Roman" w:hAnsi="Times New Roman" w:cs="Times New Roman"/>
          <w:color w:val="374151"/>
          <w:sz w:val="24"/>
          <w:szCs w:val="24"/>
        </w:rPr>
        <w:t>s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nilai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ARR-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nya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adalah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sekitar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17,5%.</w:t>
      </w:r>
    </w:p>
    <w:p w14:paraId="539533D3" w14:textId="77777777" w:rsidR="00B2203E" w:rsidRPr="00982BA8" w:rsidRDefault="00B2203E">
      <w:pPr>
        <w:rPr>
          <w:rFonts w:ascii="Times New Roman" w:hAnsi="Times New Roman" w:cs="Times New Roman"/>
          <w:color w:val="374151"/>
          <w:sz w:val="24"/>
          <w:szCs w:val="24"/>
        </w:rPr>
      </w:pPr>
      <w:r w:rsidRPr="00982BA8">
        <w:rPr>
          <w:rFonts w:ascii="Times New Roman" w:hAnsi="Times New Roman" w:cs="Times New Roman"/>
          <w:color w:val="374151"/>
          <w:sz w:val="24"/>
          <w:szCs w:val="24"/>
        </w:rPr>
        <w:br w:type="page"/>
      </w:r>
    </w:p>
    <w:p w14:paraId="23B1FC72" w14:textId="02B598EB" w:rsidR="007910D6" w:rsidRPr="00982BA8" w:rsidRDefault="007910D6" w:rsidP="00B220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74151"/>
          <w:sz w:val="24"/>
          <w:szCs w:val="24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70"/>
        <w:gridCol w:w="1705"/>
        <w:gridCol w:w="1890"/>
        <w:gridCol w:w="1890"/>
      </w:tblGrid>
      <w:tr w:rsidR="007910D6" w:rsidRPr="00982BA8" w14:paraId="65FF79E5" w14:textId="77777777" w:rsidTr="00B2203E">
        <w:tc>
          <w:tcPr>
            <w:tcW w:w="815" w:type="dxa"/>
            <w:vAlign w:val="center"/>
          </w:tcPr>
          <w:p w14:paraId="0CF11EC9" w14:textId="33157658" w:rsidR="007910D6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YE</w:t>
            </w:r>
            <w:r w:rsidRPr="00982BA8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AR</w:t>
            </w:r>
          </w:p>
        </w:tc>
        <w:tc>
          <w:tcPr>
            <w:tcW w:w="1705" w:type="dxa"/>
            <w:vAlign w:val="center"/>
          </w:tcPr>
          <w:p w14:paraId="1936CE9A" w14:textId="55153C0A" w:rsidR="007910D6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Cash Flow</w:t>
            </w:r>
          </w:p>
        </w:tc>
        <w:tc>
          <w:tcPr>
            <w:tcW w:w="1890" w:type="dxa"/>
            <w:vAlign w:val="center"/>
          </w:tcPr>
          <w:p w14:paraId="66A0ABA8" w14:textId="473F1700" w:rsidR="007910D6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Discount Factor</w:t>
            </w:r>
          </w:p>
        </w:tc>
        <w:tc>
          <w:tcPr>
            <w:tcW w:w="1890" w:type="dxa"/>
            <w:vAlign w:val="center"/>
          </w:tcPr>
          <w:p w14:paraId="3CE63156" w14:textId="432DA809" w:rsidR="007910D6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Present Value</w:t>
            </w:r>
          </w:p>
        </w:tc>
      </w:tr>
      <w:tr w:rsidR="007910D6" w:rsidRPr="00982BA8" w14:paraId="0D53C2BC" w14:textId="77777777" w:rsidTr="00B2203E">
        <w:tc>
          <w:tcPr>
            <w:tcW w:w="815" w:type="dxa"/>
            <w:vAlign w:val="center"/>
          </w:tcPr>
          <w:p w14:paraId="14F4353D" w14:textId="5969DCA4" w:rsidR="007910D6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5" w:type="dxa"/>
            <w:vAlign w:val="center"/>
          </w:tcPr>
          <w:p w14:paraId="77AB1FFA" w14:textId="4E03DF37" w:rsidR="007910D6" w:rsidRPr="00982BA8" w:rsidRDefault="00B2203E" w:rsidP="00B22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$    -800.000</w:t>
            </w:r>
          </w:p>
        </w:tc>
        <w:tc>
          <w:tcPr>
            <w:tcW w:w="1890" w:type="dxa"/>
            <w:vAlign w:val="center"/>
          </w:tcPr>
          <w:p w14:paraId="7AF6AA36" w14:textId="2846C87C" w:rsidR="007910D6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1890" w:type="dxa"/>
            <w:vAlign w:val="center"/>
          </w:tcPr>
          <w:p w14:paraId="63ECC523" w14:textId="16A03563" w:rsidR="007910D6" w:rsidRPr="00982BA8" w:rsidRDefault="00B2203E" w:rsidP="00B22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$     -800.000</w:t>
            </w:r>
          </w:p>
        </w:tc>
      </w:tr>
      <w:tr w:rsidR="007910D6" w:rsidRPr="00982BA8" w14:paraId="77100607" w14:textId="77777777" w:rsidTr="00B2203E">
        <w:tc>
          <w:tcPr>
            <w:tcW w:w="815" w:type="dxa"/>
            <w:vAlign w:val="center"/>
          </w:tcPr>
          <w:p w14:paraId="616252CD" w14:textId="4D427524" w:rsidR="007910D6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5" w:type="dxa"/>
            <w:vAlign w:val="center"/>
          </w:tcPr>
          <w:p w14:paraId="140F7EA2" w14:textId="5EBB69D1" w:rsidR="007910D6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1890" w:type="dxa"/>
            <w:vAlign w:val="center"/>
          </w:tcPr>
          <w:p w14:paraId="3179BF81" w14:textId="7C086678" w:rsidR="007910D6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0.909</w:t>
            </w:r>
          </w:p>
        </w:tc>
        <w:tc>
          <w:tcPr>
            <w:tcW w:w="1890" w:type="dxa"/>
            <w:vAlign w:val="center"/>
          </w:tcPr>
          <w:p w14:paraId="26B4899D" w14:textId="1161C57E" w:rsidR="007910D6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272.700</w:t>
            </w:r>
          </w:p>
        </w:tc>
      </w:tr>
      <w:tr w:rsidR="00B2203E" w:rsidRPr="00982BA8" w14:paraId="62E6C258" w14:textId="77777777" w:rsidTr="00B2203E">
        <w:tc>
          <w:tcPr>
            <w:tcW w:w="815" w:type="dxa"/>
            <w:vAlign w:val="center"/>
          </w:tcPr>
          <w:p w14:paraId="3CC42B03" w14:textId="0994BFB2" w:rsidR="00B2203E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5" w:type="dxa"/>
            <w:vAlign w:val="center"/>
          </w:tcPr>
          <w:p w14:paraId="4CB2DE4B" w14:textId="214B9F55" w:rsidR="00B2203E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1890" w:type="dxa"/>
            <w:vAlign w:val="center"/>
          </w:tcPr>
          <w:p w14:paraId="0506B2AD" w14:textId="440CF111" w:rsidR="00B2203E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0.826</w:t>
            </w:r>
          </w:p>
        </w:tc>
        <w:tc>
          <w:tcPr>
            <w:tcW w:w="1890" w:type="dxa"/>
            <w:vAlign w:val="center"/>
          </w:tcPr>
          <w:p w14:paraId="6D0138A3" w14:textId="0F91ACD8" w:rsidR="00B2203E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247.800</w:t>
            </w:r>
          </w:p>
        </w:tc>
      </w:tr>
      <w:tr w:rsidR="00B2203E" w:rsidRPr="00982BA8" w14:paraId="349644A3" w14:textId="77777777" w:rsidTr="00B2203E">
        <w:tc>
          <w:tcPr>
            <w:tcW w:w="815" w:type="dxa"/>
            <w:vAlign w:val="center"/>
          </w:tcPr>
          <w:p w14:paraId="49BA90FF" w14:textId="2A8ACC6F" w:rsidR="00B2203E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  <w:vAlign w:val="center"/>
          </w:tcPr>
          <w:p w14:paraId="1559571D" w14:textId="2BC64E17" w:rsidR="00B2203E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1890" w:type="dxa"/>
            <w:vAlign w:val="center"/>
          </w:tcPr>
          <w:p w14:paraId="1F6FAA29" w14:textId="3671F5FD" w:rsidR="00B2203E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0.751</w:t>
            </w:r>
          </w:p>
        </w:tc>
        <w:tc>
          <w:tcPr>
            <w:tcW w:w="1890" w:type="dxa"/>
            <w:vAlign w:val="center"/>
          </w:tcPr>
          <w:p w14:paraId="19DFAA55" w14:textId="74F77FEF" w:rsidR="00B2203E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225.300</w:t>
            </w:r>
          </w:p>
        </w:tc>
      </w:tr>
      <w:tr w:rsidR="00B2203E" w:rsidRPr="00982BA8" w14:paraId="2FB52C6C" w14:textId="77777777" w:rsidTr="00B2203E">
        <w:tc>
          <w:tcPr>
            <w:tcW w:w="815" w:type="dxa"/>
            <w:vAlign w:val="center"/>
          </w:tcPr>
          <w:p w14:paraId="03D3FF2E" w14:textId="29D17DB7" w:rsidR="00B2203E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5" w:type="dxa"/>
            <w:vAlign w:val="center"/>
          </w:tcPr>
          <w:p w14:paraId="76F132A4" w14:textId="78A410F9" w:rsidR="00B2203E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1890" w:type="dxa"/>
            <w:vAlign w:val="center"/>
          </w:tcPr>
          <w:p w14:paraId="1E30C0DB" w14:textId="58653AAC" w:rsidR="00B2203E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0.683</w:t>
            </w:r>
          </w:p>
        </w:tc>
        <w:tc>
          <w:tcPr>
            <w:tcW w:w="1890" w:type="dxa"/>
            <w:vAlign w:val="center"/>
          </w:tcPr>
          <w:p w14:paraId="4F634E06" w14:textId="56502C4F" w:rsidR="00B2203E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204.900</w:t>
            </w:r>
          </w:p>
        </w:tc>
      </w:tr>
      <w:tr w:rsidR="00B2203E" w:rsidRPr="00982BA8" w14:paraId="500328CF" w14:textId="77777777" w:rsidTr="00B2203E">
        <w:tc>
          <w:tcPr>
            <w:tcW w:w="815" w:type="dxa"/>
            <w:vAlign w:val="center"/>
          </w:tcPr>
          <w:p w14:paraId="547608D2" w14:textId="64D0A294" w:rsidR="00B2203E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5" w:type="dxa"/>
            <w:vAlign w:val="center"/>
          </w:tcPr>
          <w:p w14:paraId="4F3D351B" w14:textId="77777777" w:rsidR="00B2203E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A2B3E52" w14:textId="1677E97A" w:rsidR="00B2203E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0.621</w:t>
            </w:r>
          </w:p>
        </w:tc>
        <w:tc>
          <w:tcPr>
            <w:tcW w:w="1890" w:type="dxa"/>
            <w:vAlign w:val="center"/>
          </w:tcPr>
          <w:p w14:paraId="6802D71C" w14:textId="3250075B" w:rsidR="00B2203E" w:rsidRPr="00982BA8" w:rsidRDefault="00B2203E" w:rsidP="00B22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186.300</w:t>
            </w:r>
          </w:p>
        </w:tc>
      </w:tr>
      <w:tr w:rsidR="00B2203E" w:rsidRPr="00982BA8" w14:paraId="518D8C9C" w14:textId="77777777" w:rsidTr="00B2203E">
        <w:tc>
          <w:tcPr>
            <w:tcW w:w="4410" w:type="dxa"/>
            <w:gridSpan w:val="3"/>
            <w:vAlign w:val="center"/>
          </w:tcPr>
          <w:p w14:paraId="7757DB86" w14:textId="16299632" w:rsidR="00B2203E" w:rsidRPr="00982BA8" w:rsidRDefault="00B2203E" w:rsidP="00B22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NPV</w:t>
            </w:r>
          </w:p>
        </w:tc>
        <w:tc>
          <w:tcPr>
            <w:tcW w:w="1890" w:type="dxa"/>
            <w:vAlign w:val="center"/>
          </w:tcPr>
          <w:p w14:paraId="008D8E02" w14:textId="29861113" w:rsidR="00B2203E" w:rsidRPr="00982BA8" w:rsidRDefault="00B2203E" w:rsidP="00B22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337.000</w:t>
            </w:r>
          </w:p>
        </w:tc>
      </w:tr>
    </w:tbl>
    <w:p w14:paraId="74765338" w14:textId="33DE1B9C" w:rsidR="00B2203E" w:rsidRPr="00982BA8" w:rsidRDefault="00B2203E" w:rsidP="007910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903540" w14:textId="77777777" w:rsidR="00B2203E" w:rsidRDefault="00B2203E" w:rsidP="00B2203E">
      <w:pPr>
        <w:ind w:left="720"/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 xml:space="preserve">Maka,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Nilai Present Value (NPV)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$337.000.</w:t>
      </w:r>
    </w:p>
    <w:p w14:paraId="5DAC20BE" w14:textId="77777777" w:rsidR="00AB10D9" w:rsidRPr="00982BA8" w:rsidRDefault="00AB10D9" w:rsidP="00B220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7730F2D" w14:textId="27BB011F" w:rsidR="00B2203E" w:rsidRPr="00982BA8" w:rsidRDefault="00227593" w:rsidP="00B220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6CFF6" wp14:editId="62AF078F">
                <wp:simplePos x="0" y="0"/>
                <wp:positionH relativeFrom="column">
                  <wp:posOffset>1194816</wp:posOffset>
                </wp:positionH>
                <wp:positionV relativeFrom="paragraph">
                  <wp:posOffset>166751</wp:posOffset>
                </wp:positionV>
                <wp:extent cx="792480" cy="0"/>
                <wp:effectExtent l="0" t="0" r="0" b="0"/>
                <wp:wrapNone/>
                <wp:docPr id="9029578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9943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pt,13.15pt" to="156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B2203E" w:rsidRPr="00982BA8">
        <w:rPr>
          <w:rFonts w:ascii="Times New Roman" w:hAnsi="Times New Roman" w:cs="Times New Roman"/>
          <w:sz w:val="24"/>
          <w:szCs w:val="24"/>
        </w:rPr>
        <w:t xml:space="preserve">RR </w:t>
      </w:r>
      <w:r w:rsidR="00B2203E" w:rsidRPr="00982BA8">
        <w:rPr>
          <w:rFonts w:ascii="Times New Roman" w:hAnsi="Times New Roman" w:cs="Times New Roman"/>
          <w:sz w:val="24"/>
          <w:szCs w:val="24"/>
        </w:rPr>
        <w:tab/>
      </w:r>
      <w:r w:rsidR="00B2203E" w:rsidRPr="00982BA8">
        <w:rPr>
          <w:rFonts w:ascii="Times New Roman" w:hAnsi="Times New Roman" w:cs="Times New Roman"/>
          <w:sz w:val="24"/>
          <w:szCs w:val="24"/>
        </w:rPr>
        <w:t>=</w:t>
      </w:r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r w:rsidRPr="00982BA8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982BA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1 </w:t>
      </w:r>
      <w:r w:rsidRPr="00982BA8">
        <w:rPr>
          <w:rFonts w:ascii="Times New Roman" w:hAnsi="Times New Roman" w:cs="Times New Roman"/>
          <w:sz w:val="24"/>
          <w:szCs w:val="24"/>
        </w:rPr>
        <w:t>+</w:t>
      </w:r>
      <w:r w:rsidRPr="00982BA8">
        <w:rPr>
          <w:rFonts w:ascii="Times New Roman" w:hAnsi="Times New Roman" w:cs="Times New Roman"/>
          <w:sz w:val="24"/>
          <w:szCs w:val="24"/>
        </w:rPr>
        <w:tab/>
        <w:t xml:space="preserve">   NPV</w:t>
      </w:r>
      <w:r w:rsidRPr="00982BA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82BA8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82BA8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982BA8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982BA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2 </w:t>
      </w:r>
      <w:r w:rsidRPr="00982BA8">
        <w:rPr>
          <w:rFonts w:ascii="Times New Roman" w:hAnsi="Times New Roman" w:cs="Times New Roman"/>
          <w:sz w:val="24"/>
          <w:szCs w:val="24"/>
        </w:rPr>
        <w:t xml:space="preserve">– </w:t>
      </w:r>
      <w:r w:rsidRPr="00982BA8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982BA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82BA8">
        <w:rPr>
          <w:rFonts w:ascii="Times New Roman" w:hAnsi="Times New Roman" w:cs="Times New Roman"/>
          <w:sz w:val="24"/>
          <w:szCs w:val="24"/>
        </w:rPr>
        <w:t>)</w:t>
      </w:r>
    </w:p>
    <w:p w14:paraId="661BFA37" w14:textId="1EDABC42" w:rsidR="00227593" w:rsidRPr="00982BA8" w:rsidRDefault="00227593" w:rsidP="002275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 xml:space="preserve">          (</w:t>
      </w:r>
      <w:r w:rsidRPr="00982BA8">
        <w:rPr>
          <w:rFonts w:ascii="Times New Roman" w:hAnsi="Times New Roman" w:cs="Times New Roman"/>
          <w:sz w:val="24"/>
          <w:szCs w:val="24"/>
        </w:rPr>
        <w:t>NPV</w:t>
      </w:r>
      <w:r w:rsidRPr="00982BA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82BA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82BA8">
        <w:rPr>
          <w:rFonts w:ascii="Times New Roman" w:hAnsi="Times New Roman" w:cs="Times New Roman"/>
          <w:sz w:val="24"/>
          <w:szCs w:val="24"/>
        </w:rPr>
        <w:t>–</w:t>
      </w:r>
      <w:r w:rsidRPr="00982BA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82BA8">
        <w:rPr>
          <w:rFonts w:ascii="Times New Roman" w:hAnsi="Times New Roman" w:cs="Times New Roman"/>
          <w:sz w:val="24"/>
          <w:szCs w:val="24"/>
        </w:rPr>
        <w:t>NPV</w:t>
      </w:r>
      <w:r w:rsidRPr="00982BA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82BA8">
        <w:rPr>
          <w:rFonts w:ascii="Times New Roman" w:hAnsi="Times New Roman" w:cs="Times New Roman"/>
          <w:sz w:val="24"/>
          <w:szCs w:val="24"/>
        </w:rPr>
        <w:t>)</w:t>
      </w:r>
    </w:p>
    <w:p w14:paraId="4AC50A63" w14:textId="77AF07D6" w:rsidR="00227593" w:rsidRPr="00982BA8" w:rsidRDefault="00227593" w:rsidP="00B2203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CA3C4" wp14:editId="58F64B63">
                <wp:simplePos x="0" y="0"/>
                <wp:positionH relativeFrom="column">
                  <wp:posOffset>1255776</wp:posOffset>
                </wp:positionH>
                <wp:positionV relativeFrom="paragraph">
                  <wp:posOffset>165481</wp:posOffset>
                </wp:positionV>
                <wp:extent cx="1493520" cy="0"/>
                <wp:effectExtent l="0" t="0" r="0" b="0"/>
                <wp:wrapNone/>
                <wp:docPr id="17175261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C83C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9pt,13.05pt" to="216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B2203E" w:rsidRPr="00982BA8">
        <w:rPr>
          <w:rFonts w:ascii="Times New Roman" w:hAnsi="Times New Roman" w:cs="Times New Roman"/>
          <w:sz w:val="24"/>
          <w:szCs w:val="24"/>
        </w:rPr>
        <w:t xml:space="preserve">= 10 + </w:t>
      </w:r>
      <w:r w:rsidRPr="00982BA8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B2203E" w:rsidRPr="00982BA8">
        <w:rPr>
          <w:rFonts w:ascii="Times New Roman" w:hAnsi="Times New Roman" w:cs="Times New Roman"/>
          <w:sz w:val="24"/>
          <w:szCs w:val="24"/>
        </w:rPr>
        <w:t xml:space="preserve">$ 337.000 </w:t>
      </w:r>
      <w:r w:rsidRPr="00982BA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2203E" w:rsidRPr="00982BA8">
        <w:rPr>
          <w:rFonts w:ascii="Times New Roman" w:hAnsi="Times New Roman" w:cs="Times New Roman"/>
          <w:sz w:val="24"/>
          <w:szCs w:val="24"/>
        </w:rPr>
        <w:t>x (0 – 10)</w:t>
      </w:r>
    </w:p>
    <w:p w14:paraId="4C8C2A57" w14:textId="26330140" w:rsidR="00227593" w:rsidRPr="00982BA8" w:rsidRDefault="00227593" w:rsidP="00B2203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2203E" w:rsidRPr="00982BA8">
        <w:rPr>
          <w:rFonts w:ascii="Times New Roman" w:hAnsi="Times New Roman" w:cs="Times New Roman"/>
          <w:sz w:val="24"/>
          <w:szCs w:val="24"/>
        </w:rPr>
        <w:t>($ 337.000 – (-$ 800.000))</w:t>
      </w:r>
    </w:p>
    <w:p w14:paraId="1E540D1A" w14:textId="77777777" w:rsidR="00227593" w:rsidRPr="00982BA8" w:rsidRDefault="00B2203E" w:rsidP="00B2203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>= 10 + 0,296 x (-10)</w:t>
      </w:r>
    </w:p>
    <w:p w14:paraId="111274BA" w14:textId="77777777" w:rsidR="00227593" w:rsidRPr="00982BA8" w:rsidRDefault="00B2203E" w:rsidP="00B2203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>= 6,04</w:t>
      </w:r>
    </w:p>
    <w:p w14:paraId="14C17660" w14:textId="77777777" w:rsidR="00227593" w:rsidRPr="00982BA8" w:rsidRDefault="00227593" w:rsidP="002275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D5FAE6" w14:textId="5AD9CEC0" w:rsidR="00B2203E" w:rsidRPr="00982BA8" w:rsidRDefault="00227593" w:rsidP="0022759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Dengan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melih</w:t>
      </w:r>
      <w:r w:rsidRPr="00982BA8">
        <w:rPr>
          <w:rFonts w:ascii="Times New Roman" w:hAnsi="Times New Roman" w:cs="Times New Roman"/>
          <w:color w:val="374151"/>
          <w:sz w:val="24"/>
          <w:szCs w:val="24"/>
        </w:rPr>
        <w:t>a</w:t>
      </w:r>
      <w:r w:rsidRPr="00982BA8">
        <w:rPr>
          <w:rFonts w:ascii="Times New Roman" w:hAnsi="Times New Roman" w:cs="Times New Roman"/>
          <w:color w:val="374151"/>
          <w:sz w:val="24"/>
          <w:szCs w:val="24"/>
        </w:rPr>
        <w:t>t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perhitungan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tersebut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tingkat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pengembalian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internal (IRR)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dari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investasi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ini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color w:val="374151"/>
          <w:sz w:val="24"/>
          <w:szCs w:val="24"/>
        </w:rPr>
        <w:t>mencapai</w:t>
      </w:r>
      <w:proofErr w:type="spellEnd"/>
      <w:r w:rsidRPr="00982BA8">
        <w:rPr>
          <w:rFonts w:ascii="Times New Roman" w:hAnsi="Times New Roman" w:cs="Times New Roman"/>
          <w:color w:val="374151"/>
          <w:sz w:val="24"/>
          <w:szCs w:val="24"/>
        </w:rPr>
        <w:t xml:space="preserve"> 6,04%.</w:t>
      </w:r>
      <w:r w:rsidR="00B2203E" w:rsidRPr="00982BA8">
        <w:rPr>
          <w:rFonts w:ascii="Times New Roman" w:hAnsi="Times New Roman" w:cs="Times New Roman"/>
          <w:sz w:val="24"/>
          <w:szCs w:val="24"/>
        </w:rPr>
        <w:br w:type="page"/>
      </w:r>
    </w:p>
    <w:p w14:paraId="43191241" w14:textId="77777777" w:rsidR="003F71DA" w:rsidRPr="00982BA8" w:rsidRDefault="003F71DA" w:rsidP="007910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360A0B" w14:textId="1AA62F6E" w:rsidR="007A4310" w:rsidRPr="00982BA8" w:rsidRDefault="007A43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BA8">
        <w:rPr>
          <w:rFonts w:ascii="Times New Roman" w:hAnsi="Times New Roman" w:cs="Times New Roman"/>
          <w:b/>
          <w:bCs/>
          <w:sz w:val="24"/>
          <w:szCs w:val="24"/>
        </w:rPr>
        <w:t>Ch</w:t>
      </w:r>
      <w:r w:rsidRPr="00982BA8">
        <w:rPr>
          <w:rFonts w:ascii="Times New Roman" w:hAnsi="Times New Roman" w:cs="Times New Roman"/>
          <w:b/>
          <w:bCs/>
          <w:sz w:val="24"/>
          <w:szCs w:val="24"/>
          <w:lang w:val="id-ID"/>
        </w:rPr>
        <w:t>a</w:t>
      </w:r>
      <w:proofErr w:type="spellStart"/>
      <w:r w:rsidRPr="00982BA8">
        <w:rPr>
          <w:rFonts w:ascii="Times New Roman" w:hAnsi="Times New Roman" w:cs="Times New Roman"/>
          <w:b/>
          <w:bCs/>
          <w:sz w:val="24"/>
          <w:szCs w:val="24"/>
        </w:rPr>
        <w:t>pter</w:t>
      </w:r>
      <w:proofErr w:type="spellEnd"/>
      <w:r w:rsidRPr="00982BA8">
        <w:rPr>
          <w:rFonts w:ascii="Times New Roman" w:hAnsi="Times New Roman" w:cs="Times New Roman"/>
          <w:b/>
          <w:bCs/>
          <w:sz w:val="24"/>
          <w:szCs w:val="24"/>
        </w:rPr>
        <w:t xml:space="preserve"> 12</w:t>
      </w:r>
    </w:p>
    <w:p w14:paraId="3691534D" w14:textId="77777777" w:rsidR="006127AB" w:rsidRPr="00982BA8" w:rsidRDefault="006127AB" w:rsidP="006127AB">
      <w:pPr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 xml:space="preserve">Chesbrough, Inc., makes many of the components of its main product in-house. Recently,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Berham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electronics offered to supply one </w:t>
      </w:r>
      <w:proofErr w:type="gramStart"/>
      <w:r w:rsidRPr="00982BA8">
        <w:rPr>
          <w:rFonts w:ascii="Times New Roman" w:hAnsi="Times New Roman" w:cs="Times New Roman"/>
          <w:sz w:val="24"/>
          <w:szCs w:val="24"/>
        </w:rPr>
        <w:t>component,K</w:t>
      </w:r>
      <w:proofErr w:type="gramEnd"/>
      <w:r w:rsidRPr="00982BA8">
        <w:rPr>
          <w:rFonts w:ascii="Times New Roman" w:hAnsi="Times New Roman" w:cs="Times New Roman"/>
          <w:sz w:val="24"/>
          <w:szCs w:val="24"/>
        </w:rPr>
        <w:t>-25, at a price of $6.50 each. Chesbrough uses 20,000 units of component K-25 each year. The absorption cost per unit of this component is as follows:</w:t>
      </w:r>
    </w:p>
    <w:tbl>
      <w:tblPr>
        <w:tblStyle w:val="TableGrid"/>
        <w:tblW w:w="0" w:type="auto"/>
        <w:tblInd w:w="1755" w:type="dxa"/>
        <w:tblLook w:val="04A0" w:firstRow="1" w:lastRow="0" w:firstColumn="1" w:lastColumn="0" w:noHBand="0" w:noVBand="1"/>
      </w:tblPr>
      <w:tblGrid>
        <w:gridCol w:w="3587"/>
        <w:gridCol w:w="2250"/>
      </w:tblGrid>
      <w:tr w:rsidR="007A4310" w:rsidRPr="00982BA8" w14:paraId="61E34A55" w14:textId="77777777" w:rsidTr="007A4310">
        <w:trPr>
          <w:trHeight w:val="318"/>
        </w:trPr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E2B8EAB" w14:textId="77777777" w:rsidR="006127AB" w:rsidRPr="00982BA8" w:rsidRDefault="006127AB" w:rsidP="007A4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Direct materials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80CE613" w14:textId="13565F7F" w:rsidR="006127AB" w:rsidRPr="00982BA8" w:rsidRDefault="006127AB" w:rsidP="007A431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$           2.95</w:t>
            </w:r>
          </w:p>
        </w:tc>
      </w:tr>
      <w:tr w:rsidR="006127AB" w:rsidRPr="00982BA8" w14:paraId="11144B0D" w14:textId="77777777" w:rsidTr="007A4310">
        <w:trPr>
          <w:trHeight w:val="318"/>
        </w:trPr>
        <w:tc>
          <w:tcPr>
            <w:tcW w:w="3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7A77A24" w14:textId="739A52B1" w:rsidR="006127AB" w:rsidRPr="00982BA8" w:rsidRDefault="006127AB" w:rsidP="007A4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Direct labor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4F40944" w14:textId="77777777" w:rsidR="006127AB" w:rsidRPr="00982BA8" w:rsidRDefault="006127AB" w:rsidP="007A431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7A4310" w:rsidRPr="00982BA8" w14:paraId="57659526" w14:textId="77777777" w:rsidTr="007A4310">
        <w:trPr>
          <w:trHeight w:val="318"/>
        </w:trPr>
        <w:tc>
          <w:tcPr>
            <w:tcW w:w="3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28FE0ED" w14:textId="02633C0D" w:rsidR="006127AB" w:rsidRPr="00982BA8" w:rsidRDefault="006127AB" w:rsidP="007A4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Variable overhead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4B4CE91" w14:textId="77777777" w:rsidR="006127AB" w:rsidRPr="00982BA8" w:rsidRDefault="006127AB" w:rsidP="007A431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1.80</w:t>
            </w:r>
          </w:p>
        </w:tc>
      </w:tr>
      <w:tr w:rsidR="007A4310" w:rsidRPr="00982BA8" w14:paraId="15C9B3B5" w14:textId="77777777" w:rsidTr="007A4310">
        <w:trPr>
          <w:trHeight w:val="318"/>
        </w:trPr>
        <w:tc>
          <w:tcPr>
            <w:tcW w:w="3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7B209" w14:textId="77777777" w:rsidR="006127AB" w:rsidRPr="00982BA8" w:rsidRDefault="006127AB" w:rsidP="007A4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Fixed overhead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5FE4C" w14:textId="77777777" w:rsidR="006127AB" w:rsidRPr="00982BA8" w:rsidRDefault="006127AB" w:rsidP="007A431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</w:tr>
      <w:tr w:rsidR="006127AB" w:rsidRPr="00982BA8" w14:paraId="1D8BBE3D" w14:textId="77777777" w:rsidTr="007A4310">
        <w:trPr>
          <w:trHeight w:val="66"/>
        </w:trPr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5FFD13C" w14:textId="340379FE" w:rsidR="006127AB" w:rsidRPr="00982BA8" w:rsidRDefault="006127AB" w:rsidP="007A43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D7D178" w14:textId="3780F98D" w:rsidR="006127AB" w:rsidRPr="00982BA8" w:rsidRDefault="006127AB" w:rsidP="007A431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           9.15</w:t>
            </w:r>
          </w:p>
        </w:tc>
      </w:tr>
    </w:tbl>
    <w:p w14:paraId="16EBDB66" w14:textId="5CA3224E" w:rsidR="006127AB" w:rsidRPr="00982BA8" w:rsidRDefault="007A4310" w:rsidP="007A431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>The fixed overhead is an allocated expense; none of it would be eliminated if production of component K-25 stopped.</w:t>
      </w:r>
    </w:p>
    <w:p w14:paraId="22307DF1" w14:textId="3264318A" w:rsidR="007A4310" w:rsidRPr="00982BA8" w:rsidRDefault="007A4310" w:rsidP="007A4310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982BA8">
        <w:rPr>
          <w:rFonts w:ascii="Times New Roman" w:hAnsi="Times New Roman" w:cs="Times New Roman"/>
          <w:sz w:val="24"/>
          <w:szCs w:val="24"/>
        </w:rPr>
        <w:t>Required :</w:t>
      </w:r>
      <w:proofErr w:type="gramEnd"/>
    </w:p>
    <w:p w14:paraId="0789AE69" w14:textId="2FDF4C46" w:rsidR="007A4310" w:rsidRPr="00982BA8" w:rsidRDefault="007A4310" w:rsidP="007A4310">
      <w:pPr>
        <w:pStyle w:val="ListParagraph"/>
        <w:numPr>
          <w:ilvl w:val="0"/>
          <w:numId w:val="2"/>
        </w:num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>What are the alternatives facing Chesbrough, Inc., with respect to production of component K-25?</w:t>
      </w:r>
    </w:p>
    <w:p w14:paraId="2A3011DB" w14:textId="0E6C2013" w:rsidR="00392B44" w:rsidRPr="00982BA8" w:rsidRDefault="00392B44" w:rsidP="007A4310">
      <w:pPr>
        <w:pStyle w:val="ListParagraph"/>
        <w:numPr>
          <w:ilvl w:val="0"/>
          <w:numId w:val="2"/>
        </w:num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 xml:space="preserve">List the relevant costs for each alternative. Suppose that Chesbrough, Inc., purchases K-25 from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Berham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Electronics. By how much will operating income increase or decrease?</w:t>
      </w:r>
    </w:p>
    <w:p w14:paraId="43D7E4E1" w14:textId="7D5C747A" w:rsidR="00392B44" w:rsidRPr="00982BA8" w:rsidRDefault="00392B44" w:rsidP="00392B44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82BA8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982BA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CCAC9CF" w14:textId="6A360B2F" w:rsidR="000F018F" w:rsidRPr="00982BA8" w:rsidRDefault="00227593" w:rsidP="00227593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Chesbrough, Inc.,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K-25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Berham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Electronics. Keputusan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taktis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>.</w:t>
      </w:r>
      <w:r w:rsidR="000F018F" w:rsidRPr="00982BA8">
        <w:rPr>
          <w:rFonts w:ascii="Times New Roman" w:hAnsi="Times New Roman" w:cs="Times New Roman"/>
          <w:sz w:val="24"/>
          <w:szCs w:val="24"/>
        </w:rPr>
        <w:br w:type="page"/>
      </w:r>
    </w:p>
    <w:p w14:paraId="1D034008" w14:textId="77777777" w:rsidR="00392B44" w:rsidRPr="00982BA8" w:rsidRDefault="00392B44" w:rsidP="00392B44">
      <w:pPr>
        <w:pStyle w:val="ListParagraph"/>
        <w:spacing w:before="240"/>
        <w:ind w:left="360"/>
        <w:rPr>
          <w:rFonts w:ascii="Times New Roman" w:hAnsi="Times New Roman" w:cs="Times New Roman"/>
          <w:sz w:val="24"/>
          <w:szCs w:val="24"/>
        </w:rPr>
      </w:pPr>
    </w:p>
    <w:p w14:paraId="305CC648" w14:textId="2AE1DE65" w:rsidR="00392B44" w:rsidRPr="00982BA8" w:rsidRDefault="00392B44" w:rsidP="00392B44">
      <w:pPr>
        <w:pStyle w:val="ListParagraph"/>
        <w:numPr>
          <w:ilvl w:val="0"/>
          <w:numId w:val="3"/>
        </w:num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t xml:space="preserve">Daftar Total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8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982BA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pPr w:leftFromText="180" w:rightFromText="180" w:vertAnchor="text" w:tblpY="1"/>
        <w:tblOverlap w:val="never"/>
        <w:tblW w:w="9931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3800"/>
        <w:gridCol w:w="2275"/>
        <w:gridCol w:w="1710"/>
        <w:gridCol w:w="14"/>
        <w:gridCol w:w="1885"/>
        <w:gridCol w:w="247"/>
      </w:tblGrid>
      <w:tr w:rsidR="00392B44" w:rsidRPr="00982BA8" w14:paraId="46617DCE" w14:textId="77777777" w:rsidTr="00982BA8">
        <w:trPr>
          <w:gridAfter w:val="1"/>
          <w:wAfter w:w="246" w:type="dxa"/>
          <w:trHeight w:val="399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090B8B46" w14:textId="77777777" w:rsidR="00392B44" w:rsidRPr="00982BA8" w:rsidRDefault="00392B44" w:rsidP="0039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3A56B2D7" w14:textId="77777777" w:rsidR="00392B44" w:rsidRPr="00982BA8" w:rsidRDefault="00392B44" w:rsidP="000F0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82B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Alternatif</w:t>
            </w:r>
            <w:proofErr w:type="spellEnd"/>
          </w:p>
        </w:tc>
        <w:tc>
          <w:tcPr>
            <w:tcW w:w="1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B17AD56" w14:textId="77777777" w:rsidR="00392B44" w:rsidRPr="00982BA8" w:rsidRDefault="00392B44" w:rsidP="000F0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82B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Perbedaan</w:t>
            </w:r>
            <w:proofErr w:type="spellEnd"/>
            <w:r w:rsidRPr="00982B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82B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Biaya</w:t>
            </w:r>
            <w:proofErr w:type="spellEnd"/>
            <w:r w:rsidRPr="00982B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82B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untuk</w:t>
            </w:r>
            <w:proofErr w:type="spellEnd"/>
            <w:r w:rsidRPr="00982B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82B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membuat</w:t>
            </w:r>
            <w:proofErr w:type="spellEnd"/>
          </w:p>
        </w:tc>
      </w:tr>
      <w:tr w:rsidR="00392B44" w:rsidRPr="00982BA8" w14:paraId="43F46E1F" w14:textId="77777777" w:rsidTr="00982BA8">
        <w:trPr>
          <w:gridAfter w:val="1"/>
          <w:wAfter w:w="247" w:type="dxa"/>
          <w:trHeight w:val="34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25241F34" w14:textId="77777777" w:rsidR="00392B44" w:rsidRPr="00982BA8" w:rsidRDefault="00392B44" w:rsidP="0039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60F1050" w14:textId="77777777" w:rsidR="00392B44" w:rsidRPr="00982BA8" w:rsidRDefault="00392B44" w:rsidP="000F0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82B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Membuat</w:t>
            </w:r>
            <w:proofErr w:type="spellEnd"/>
          </w:p>
        </w:tc>
        <w:tc>
          <w:tcPr>
            <w:tcW w:w="17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3AF1B54A" w14:textId="77777777" w:rsidR="00392B44" w:rsidRPr="00982BA8" w:rsidRDefault="00392B44" w:rsidP="000F0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82B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Membeli</w:t>
            </w:r>
            <w:proofErr w:type="spellEnd"/>
          </w:p>
        </w:tc>
        <w:tc>
          <w:tcPr>
            <w:tcW w:w="1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5C4A4D5" w14:textId="77777777" w:rsidR="00392B44" w:rsidRPr="00982BA8" w:rsidRDefault="00392B44" w:rsidP="0039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392B44" w:rsidRPr="00982BA8" w14:paraId="632913B2" w14:textId="77777777" w:rsidTr="00982BA8">
        <w:trPr>
          <w:gridAfter w:val="1"/>
          <w:wAfter w:w="247" w:type="dxa"/>
          <w:trHeight w:val="282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3186F0" w14:textId="574BB6F7" w:rsidR="00392B44" w:rsidRPr="00982BA8" w:rsidRDefault="000F018F" w:rsidP="000F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</w:t>
            </w:r>
            <w:r w:rsidR="00392B44"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ahan Baku </w:t>
            </w:r>
            <w:proofErr w:type="spellStart"/>
            <w:r w:rsidR="00392B44"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Langsung</w:t>
            </w:r>
            <w:proofErr w:type="spellEnd"/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FA2244" w14:textId="354CDABA" w:rsidR="00392B44" w:rsidRPr="00982BA8" w:rsidRDefault="00392B44" w:rsidP="00392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$          </w:t>
            </w:r>
            <w:r w:rsidR="00982BA8"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2.95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016571" w14:textId="77777777" w:rsidR="00392B44" w:rsidRPr="00982BA8" w:rsidRDefault="00392B44" w:rsidP="00392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9D789D" w14:textId="4CD21319" w:rsidR="00392B44" w:rsidRPr="00982BA8" w:rsidRDefault="00392B44" w:rsidP="00392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$       </w:t>
            </w:r>
            <w:r w:rsidR="00982BA8"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2.95</w:t>
            </w:r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392B44" w:rsidRPr="00982BA8" w14:paraId="58DA1010" w14:textId="77777777" w:rsidTr="00982BA8">
        <w:trPr>
          <w:gridAfter w:val="1"/>
          <w:wAfter w:w="247" w:type="dxa"/>
          <w:trHeight w:val="282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E58CD3" w14:textId="77777777" w:rsidR="00392B44" w:rsidRPr="00982BA8" w:rsidRDefault="00392B44" w:rsidP="000F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Tenaga </w:t>
            </w:r>
            <w:proofErr w:type="spellStart"/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Kerja</w:t>
            </w:r>
            <w:proofErr w:type="spellEnd"/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Langsung</w:t>
            </w:r>
            <w:proofErr w:type="spellEnd"/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07AA74" w14:textId="2EF1B139" w:rsidR="00392B44" w:rsidRPr="00982BA8" w:rsidRDefault="00982BA8" w:rsidP="00392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231BE0" w14:textId="77777777" w:rsidR="00392B44" w:rsidRPr="00982BA8" w:rsidRDefault="00392B44" w:rsidP="00392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F14468" w14:textId="1EFA7F53" w:rsidR="00392B44" w:rsidRPr="00982BA8" w:rsidRDefault="00982BA8" w:rsidP="00392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0.40</w:t>
            </w:r>
          </w:p>
        </w:tc>
      </w:tr>
      <w:tr w:rsidR="00392B44" w:rsidRPr="00982BA8" w14:paraId="4F8A8A33" w14:textId="77777777" w:rsidTr="00982BA8">
        <w:trPr>
          <w:gridAfter w:val="1"/>
          <w:wAfter w:w="247" w:type="dxa"/>
          <w:trHeight w:val="282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A71E30" w14:textId="77777777" w:rsidR="00392B44" w:rsidRPr="00982BA8" w:rsidRDefault="00392B44" w:rsidP="000F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Overhead </w:t>
            </w:r>
            <w:proofErr w:type="spellStart"/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Variabel</w:t>
            </w:r>
            <w:proofErr w:type="spellEnd"/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8360C8" w14:textId="224F4C08" w:rsidR="00392B44" w:rsidRPr="00982BA8" w:rsidRDefault="00982BA8" w:rsidP="00392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1.80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24C933" w14:textId="77777777" w:rsidR="00392B44" w:rsidRPr="00982BA8" w:rsidRDefault="00392B44" w:rsidP="00392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477CC7" w14:textId="2C9EE4C5" w:rsidR="00392B44" w:rsidRPr="00982BA8" w:rsidRDefault="00982BA8" w:rsidP="00392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1.80</w:t>
            </w:r>
          </w:p>
        </w:tc>
      </w:tr>
      <w:tr w:rsidR="00392B44" w:rsidRPr="00982BA8" w14:paraId="4C3F2ED5" w14:textId="77777777" w:rsidTr="00982BA8">
        <w:trPr>
          <w:gridAfter w:val="1"/>
          <w:wAfter w:w="247" w:type="dxa"/>
          <w:trHeight w:val="282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E4B14E" w14:textId="77777777" w:rsidR="00392B44" w:rsidRPr="00982BA8" w:rsidRDefault="00392B44" w:rsidP="000F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Biaya</w:t>
            </w:r>
            <w:proofErr w:type="spellEnd"/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pembelian</w:t>
            </w:r>
            <w:proofErr w:type="spellEnd"/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72AA98" w14:textId="77777777" w:rsidR="00392B44" w:rsidRPr="00982BA8" w:rsidRDefault="00392B44" w:rsidP="00392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0757F8" w14:textId="1521C27B" w:rsidR="00392B44" w:rsidRPr="00982BA8" w:rsidRDefault="00392B44" w:rsidP="00392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$      </w:t>
            </w:r>
            <w:r w:rsidR="00982BA8"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6.5</w:t>
            </w:r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0 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C69B43" w14:textId="255411A7" w:rsidR="00392B44" w:rsidRPr="00982BA8" w:rsidRDefault="00392B44" w:rsidP="00392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  <w:r w:rsidR="00982BA8"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6.50</w:t>
            </w:r>
          </w:p>
        </w:tc>
      </w:tr>
      <w:tr w:rsidR="00392B44" w:rsidRPr="00982BA8" w14:paraId="6D92B5C2" w14:textId="77777777" w:rsidTr="00982BA8">
        <w:trPr>
          <w:gridAfter w:val="1"/>
          <w:wAfter w:w="247" w:type="dxa"/>
          <w:trHeight w:val="533"/>
        </w:trPr>
        <w:tc>
          <w:tcPr>
            <w:tcW w:w="3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484E3" w14:textId="77777777" w:rsidR="00392B44" w:rsidRPr="00982BA8" w:rsidRDefault="00392B44" w:rsidP="0039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82B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Total</w:t>
            </w:r>
          </w:p>
        </w:tc>
        <w:tc>
          <w:tcPr>
            <w:tcW w:w="2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AB454" w14:textId="4992C2C1" w:rsidR="00392B44" w:rsidRPr="00982BA8" w:rsidRDefault="00392B44" w:rsidP="00392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$          </w:t>
            </w:r>
            <w:r w:rsidR="00982BA8"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5.15</w:t>
            </w:r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04FFBD" w14:textId="7A3EBCD6" w:rsidR="00392B44" w:rsidRPr="00982BA8" w:rsidRDefault="00392B44" w:rsidP="00392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$      </w:t>
            </w:r>
            <w:r w:rsidR="00982BA8"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6.50</w:t>
            </w:r>
            <w:r w:rsidRPr="00982B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89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D3CE01" w14:textId="54F23FAD" w:rsidR="00392B44" w:rsidRPr="00982BA8" w:rsidRDefault="00982BA8" w:rsidP="00392B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982B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$      </w:t>
            </w:r>
            <w:r w:rsidRPr="00982B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1.35</w:t>
            </w:r>
          </w:p>
        </w:tc>
      </w:tr>
      <w:tr w:rsidR="00392B44" w:rsidRPr="00982BA8" w14:paraId="3EC007D0" w14:textId="77777777" w:rsidTr="00982BA8">
        <w:trPr>
          <w:trHeight w:val="295"/>
        </w:trPr>
        <w:tc>
          <w:tcPr>
            <w:tcW w:w="3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3B290" w14:textId="77777777" w:rsidR="00392B44" w:rsidRPr="00982BA8" w:rsidRDefault="00392B44" w:rsidP="00392B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6051F" w14:textId="77777777" w:rsidR="00392B44" w:rsidRPr="00982BA8" w:rsidRDefault="00392B44" w:rsidP="0039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F42B1" w14:textId="77777777" w:rsidR="00392B44" w:rsidRPr="00982BA8" w:rsidRDefault="00392B44" w:rsidP="0039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E3E45" w14:textId="77777777" w:rsidR="00392B44" w:rsidRPr="00982BA8" w:rsidRDefault="00392B44" w:rsidP="00392B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98DB" w14:textId="77777777" w:rsidR="00392B44" w:rsidRPr="00982BA8" w:rsidRDefault="00392B44" w:rsidP="0039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D4D7F10" w14:textId="26F00DE0" w:rsidR="00982BA8" w:rsidRPr="00982BA8" w:rsidRDefault="00392B44" w:rsidP="000F018F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982BA8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982BA8" w:rsidRPr="00982BA8">
        <w:rPr>
          <w:rFonts w:ascii="Times New Roman" w:hAnsi="Times New Roman" w:cs="Times New Roman"/>
          <w:sz w:val="24"/>
          <w:szCs w:val="24"/>
        </w:rPr>
        <w:t>C</w:t>
      </w:r>
      <w:r w:rsidR="00982BA8" w:rsidRPr="00982BA8">
        <w:rPr>
          <w:rFonts w:ascii="Times New Roman" w:hAnsi="Times New Roman" w:cs="Times New Roman"/>
          <w:sz w:val="24"/>
          <w:szCs w:val="24"/>
        </w:rPr>
        <w:t xml:space="preserve">hesbrough, Inc. </w:t>
      </w:r>
      <w:proofErr w:type="spellStart"/>
      <w:r w:rsidR="00982BA8" w:rsidRPr="00982BA8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982BA8"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A8" w:rsidRPr="00982BA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82BA8"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A8" w:rsidRPr="00982BA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82BA8"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A8" w:rsidRPr="00982BA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982BA8" w:rsidRPr="00982BA8">
        <w:rPr>
          <w:rFonts w:ascii="Times New Roman" w:hAnsi="Times New Roman" w:cs="Times New Roman"/>
          <w:sz w:val="24"/>
          <w:szCs w:val="24"/>
        </w:rPr>
        <w:t xml:space="preserve"> K-25 </w:t>
      </w:r>
      <w:proofErr w:type="spellStart"/>
      <w:r w:rsidR="00982BA8" w:rsidRPr="00982BA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82BA8"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A8" w:rsidRPr="00982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82BA8"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A8" w:rsidRPr="00982B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82BA8"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A8" w:rsidRPr="00982BA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982BA8"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A8" w:rsidRPr="00982BA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982BA8"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A8" w:rsidRPr="00982BA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982BA8" w:rsidRPr="00982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82BA8" w:rsidRPr="00982BA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982BA8"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A8" w:rsidRPr="00982BA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982BA8"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A8" w:rsidRPr="00982BA8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982BA8"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A8" w:rsidRPr="00982BA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982BA8" w:rsidRPr="00982BA8">
        <w:rPr>
          <w:rFonts w:ascii="Times New Roman" w:hAnsi="Times New Roman" w:cs="Times New Roman"/>
          <w:sz w:val="24"/>
          <w:szCs w:val="24"/>
        </w:rPr>
        <w:t xml:space="preserve"> $27.000, </w:t>
      </w:r>
      <w:proofErr w:type="spellStart"/>
      <w:r w:rsidR="00982BA8" w:rsidRPr="00982BA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982BA8"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A8" w:rsidRPr="00982BA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982BA8" w:rsidRPr="00982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2BA8" w:rsidRPr="00982BA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82BA8" w:rsidRPr="0098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A8" w:rsidRPr="00982B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82BA8" w:rsidRPr="00982BA8">
        <w:rPr>
          <w:rFonts w:ascii="Times New Roman" w:hAnsi="Times New Roman" w:cs="Times New Roman"/>
          <w:sz w:val="24"/>
          <w:szCs w:val="24"/>
        </w:rPr>
        <w:t>.</w:t>
      </w:r>
    </w:p>
    <w:sectPr w:rsidR="00982BA8" w:rsidRPr="0098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94E"/>
    <w:multiLevelType w:val="hybridMultilevel"/>
    <w:tmpl w:val="0D4C9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2BC7"/>
    <w:multiLevelType w:val="hybridMultilevel"/>
    <w:tmpl w:val="29262454"/>
    <w:lvl w:ilvl="0" w:tplc="9AF07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BA31FA"/>
    <w:multiLevelType w:val="hybridMultilevel"/>
    <w:tmpl w:val="79925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36DDF"/>
    <w:multiLevelType w:val="hybridMultilevel"/>
    <w:tmpl w:val="B2D08DF4"/>
    <w:lvl w:ilvl="0" w:tplc="67BAC1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A5255"/>
    <w:multiLevelType w:val="hybridMultilevel"/>
    <w:tmpl w:val="B45A853C"/>
    <w:lvl w:ilvl="0" w:tplc="8FC27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C57532"/>
    <w:multiLevelType w:val="hybridMultilevel"/>
    <w:tmpl w:val="3EAA8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879749">
    <w:abstractNumId w:val="5"/>
  </w:num>
  <w:num w:numId="2" w16cid:durableId="970940917">
    <w:abstractNumId w:val="4"/>
  </w:num>
  <w:num w:numId="3" w16cid:durableId="1297563580">
    <w:abstractNumId w:val="1"/>
  </w:num>
  <w:num w:numId="4" w16cid:durableId="504706291">
    <w:abstractNumId w:val="0"/>
  </w:num>
  <w:num w:numId="5" w16cid:durableId="2009938245">
    <w:abstractNumId w:val="2"/>
  </w:num>
  <w:num w:numId="6" w16cid:durableId="1163159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FE"/>
    <w:rsid w:val="00066D5F"/>
    <w:rsid w:val="000F018F"/>
    <w:rsid w:val="000F419B"/>
    <w:rsid w:val="00227593"/>
    <w:rsid w:val="00392B44"/>
    <w:rsid w:val="003F71DA"/>
    <w:rsid w:val="006127AB"/>
    <w:rsid w:val="00646A7A"/>
    <w:rsid w:val="00747222"/>
    <w:rsid w:val="007910D6"/>
    <w:rsid w:val="007A4310"/>
    <w:rsid w:val="008B0F4D"/>
    <w:rsid w:val="008D352E"/>
    <w:rsid w:val="00982BA8"/>
    <w:rsid w:val="00AB10D9"/>
    <w:rsid w:val="00B2203E"/>
    <w:rsid w:val="00CE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5AFE"/>
  <w15:chartTrackingRefBased/>
  <w15:docId w15:val="{B8DE0612-DEC6-44BB-A97B-2D220277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FAISHAL WIJDAN</dc:creator>
  <cp:keywords/>
  <dc:description/>
  <cp:lastModifiedBy>ADAM FAISHAL WIJDAN</cp:lastModifiedBy>
  <cp:revision>2</cp:revision>
  <dcterms:created xsi:type="dcterms:W3CDTF">2024-01-27T21:08:00Z</dcterms:created>
  <dcterms:modified xsi:type="dcterms:W3CDTF">2024-01-28T04:58:00Z</dcterms:modified>
</cp:coreProperties>
</file>