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B823" w14:textId="77777777" w:rsidR="00530DF8" w:rsidRPr="00530DF8" w:rsidRDefault="00530DF8" w:rsidP="00530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530DF8">
        <w:rPr>
          <w:rFonts w:ascii="Times New Roman" w:eastAsia="Times New Roman" w:hAnsi="Times New Roman" w:cs="Times New Roman"/>
          <w:b/>
          <w:bCs/>
          <w:kern w:val="36"/>
          <w:sz w:val="48"/>
          <w:szCs w:val="48"/>
          <w:lang w:eastAsia="en-IN" w:bidi="ta-IN"/>
          <w14:ligatures w14:val="none"/>
        </w:rPr>
        <w:t>Final Project Summary</w:t>
      </w:r>
    </w:p>
    <w:p w14:paraId="39C1C8B1"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This study examines the impact of </w:t>
      </w:r>
      <w:r w:rsidRPr="00530DF8">
        <w:rPr>
          <w:rFonts w:ascii="Times New Roman" w:eastAsia="Times New Roman" w:hAnsi="Times New Roman" w:cs="Times New Roman"/>
          <w:b/>
          <w:bCs/>
          <w:kern w:val="0"/>
          <w:sz w:val="24"/>
          <w:szCs w:val="24"/>
          <w:lang w:eastAsia="en-IN" w:bidi="ta-IN"/>
          <w14:ligatures w14:val="none"/>
        </w:rPr>
        <w:t>Geopolitical Risk (GPR)</w:t>
      </w:r>
      <w:r w:rsidRPr="00530DF8">
        <w:rPr>
          <w:rFonts w:ascii="Times New Roman" w:eastAsia="Times New Roman" w:hAnsi="Times New Roman" w:cs="Times New Roman"/>
          <w:kern w:val="0"/>
          <w:sz w:val="24"/>
          <w:szCs w:val="24"/>
          <w:lang w:eastAsia="en-IN" w:bidi="ta-IN"/>
          <w14:ligatures w14:val="none"/>
        </w:rPr>
        <w:t xml:space="preserve"> on key Indian financial variables—</w:t>
      </w:r>
      <w:r w:rsidRPr="00530DF8">
        <w:rPr>
          <w:rFonts w:ascii="Times New Roman" w:eastAsia="Times New Roman" w:hAnsi="Times New Roman" w:cs="Times New Roman"/>
          <w:b/>
          <w:bCs/>
          <w:kern w:val="0"/>
          <w:sz w:val="24"/>
          <w:szCs w:val="24"/>
          <w:lang w:eastAsia="en-IN" w:bidi="ta-IN"/>
          <w14:ligatures w14:val="none"/>
        </w:rPr>
        <w:t>gold prices, the Nifty 50 index, and the USD/INR exchange rate</w:t>
      </w:r>
      <w:r w:rsidRPr="00530DF8">
        <w:rPr>
          <w:rFonts w:ascii="Times New Roman" w:eastAsia="Times New Roman" w:hAnsi="Times New Roman" w:cs="Times New Roman"/>
          <w:kern w:val="0"/>
          <w:sz w:val="24"/>
          <w:szCs w:val="24"/>
          <w:lang w:eastAsia="en-IN" w:bidi="ta-IN"/>
          <w14:ligatures w14:val="none"/>
        </w:rPr>
        <w:t xml:space="preserve">—using monthly time-series data from </w:t>
      </w:r>
      <w:r w:rsidRPr="00530DF8">
        <w:rPr>
          <w:rFonts w:ascii="Times New Roman" w:eastAsia="Times New Roman" w:hAnsi="Times New Roman" w:cs="Times New Roman"/>
          <w:b/>
          <w:bCs/>
          <w:kern w:val="0"/>
          <w:sz w:val="24"/>
          <w:szCs w:val="24"/>
          <w:lang w:eastAsia="en-IN" w:bidi="ta-IN"/>
          <w14:ligatures w14:val="none"/>
        </w:rPr>
        <w:t>January 2020 to December 2025</w:t>
      </w:r>
      <w:r w:rsidRPr="00530DF8">
        <w:rPr>
          <w:rFonts w:ascii="Times New Roman" w:eastAsia="Times New Roman" w:hAnsi="Times New Roman" w:cs="Times New Roman"/>
          <w:kern w:val="0"/>
          <w:sz w:val="24"/>
          <w:szCs w:val="24"/>
          <w:lang w:eastAsia="en-IN" w:bidi="ta-IN"/>
          <w14:ligatures w14:val="none"/>
        </w:rPr>
        <w:t>. The objective is to understand how geopolitical uncertainty influences financial markets in India and whether these effects are uniform across asset classes.</w:t>
      </w:r>
    </w:p>
    <w:p w14:paraId="5A3D0E0F"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The analysis begins with </w:t>
      </w:r>
      <w:r w:rsidRPr="00530DF8">
        <w:rPr>
          <w:rFonts w:ascii="Times New Roman" w:eastAsia="Times New Roman" w:hAnsi="Times New Roman" w:cs="Times New Roman"/>
          <w:b/>
          <w:bCs/>
          <w:kern w:val="0"/>
          <w:sz w:val="24"/>
          <w:szCs w:val="24"/>
          <w:lang w:eastAsia="en-IN" w:bidi="ta-IN"/>
          <w14:ligatures w14:val="none"/>
        </w:rPr>
        <w:t>descriptive statistics and moving average analysis</w:t>
      </w:r>
      <w:r w:rsidRPr="00530DF8">
        <w:rPr>
          <w:rFonts w:ascii="Times New Roman" w:eastAsia="Times New Roman" w:hAnsi="Times New Roman" w:cs="Times New Roman"/>
          <w:kern w:val="0"/>
          <w:sz w:val="24"/>
          <w:szCs w:val="24"/>
          <w:lang w:eastAsia="en-IN" w:bidi="ta-IN"/>
          <w14:ligatures w14:val="none"/>
        </w:rPr>
        <w:t>, which reveal that GPR is highly volatile and shock-driven, while gold prices, equity markets, and exchange rates follow smoother long-term trends. This highlights the fundamentally different nature of geopolitical risk compared to financial variables.</w:t>
      </w:r>
    </w:p>
    <w:p w14:paraId="73513488"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To ensure econometric validity, </w:t>
      </w:r>
      <w:r w:rsidRPr="00530DF8">
        <w:rPr>
          <w:rFonts w:ascii="Times New Roman" w:eastAsia="Times New Roman" w:hAnsi="Times New Roman" w:cs="Times New Roman"/>
          <w:b/>
          <w:bCs/>
          <w:kern w:val="0"/>
          <w:sz w:val="24"/>
          <w:szCs w:val="24"/>
          <w:lang w:eastAsia="en-IN" w:bidi="ta-IN"/>
          <w14:ligatures w14:val="none"/>
        </w:rPr>
        <w:t>Augmented Dickey–Fuller (ADF) tests</w:t>
      </w:r>
      <w:r w:rsidRPr="00530DF8">
        <w:rPr>
          <w:rFonts w:ascii="Times New Roman" w:eastAsia="Times New Roman" w:hAnsi="Times New Roman" w:cs="Times New Roman"/>
          <w:kern w:val="0"/>
          <w:sz w:val="24"/>
          <w:szCs w:val="24"/>
          <w:lang w:eastAsia="en-IN" w:bidi="ta-IN"/>
          <w14:ligatures w14:val="none"/>
        </w:rPr>
        <w:t xml:space="preserve"> were conducted. The results indicate that GPR is stationary at level, while gold prices, the Nifty 50 index, and USD/INR are non-stationary in levels but become stationary after first differencing. Accordingly, appropriate transformations were applied before multivariate modeling.</w:t>
      </w:r>
    </w:p>
    <w:p w14:paraId="0D593281"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A </w:t>
      </w:r>
      <w:r w:rsidRPr="00530DF8">
        <w:rPr>
          <w:rFonts w:ascii="Times New Roman" w:eastAsia="Times New Roman" w:hAnsi="Times New Roman" w:cs="Times New Roman"/>
          <w:b/>
          <w:bCs/>
          <w:kern w:val="0"/>
          <w:sz w:val="24"/>
          <w:szCs w:val="24"/>
          <w:lang w:eastAsia="en-IN" w:bidi="ta-IN"/>
          <w14:ligatures w14:val="none"/>
        </w:rPr>
        <w:t>Vector Autoregression (VAR)</w:t>
      </w:r>
      <w:r w:rsidRPr="00530DF8">
        <w:rPr>
          <w:rFonts w:ascii="Times New Roman" w:eastAsia="Times New Roman" w:hAnsi="Times New Roman" w:cs="Times New Roman"/>
          <w:kern w:val="0"/>
          <w:sz w:val="24"/>
          <w:szCs w:val="24"/>
          <w:lang w:eastAsia="en-IN" w:bidi="ta-IN"/>
          <w14:ligatures w14:val="none"/>
        </w:rPr>
        <w:t xml:space="preserve"> framework was employed to capture dynamic interdependencies among the variables. Lag length selection based on information criteria favored a </w:t>
      </w:r>
      <w:r w:rsidRPr="00530DF8">
        <w:rPr>
          <w:rFonts w:ascii="Times New Roman" w:eastAsia="Times New Roman" w:hAnsi="Times New Roman" w:cs="Times New Roman"/>
          <w:b/>
          <w:bCs/>
          <w:kern w:val="0"/>
          <w:sz w:val="24"/>
          <w:szCs w:val="24"/>
          <w:lang w:eastAsia="en-IN" w:bidi="ta-IN"/>
          <w14:ligatures w14:val="none"/>
        </w:rPr>
        <w:t>VAR(1)</w:t>
      </w:r>
      <w:r w:rsidRPr="00530DF8">
        <w:rPr>
          <w:rFonts w:ascii="Times New Roman" w:eastAsia="Times New Roman" w:hAnsi="Times New Roman" w:cs="Times New Roman"/>
          <w:kern w:val="0"/>
          <w:sz w:val="24"/>
          <w:szCs w:val="24"/>
          <w:lang w:eastAsia="en-IN" w:bidi="ta-IN"/>
          <w14:ligatures w14:val="none"/>
        </w:rPr>
        <w:t xml:space="preserve"> specification, and model stability was confirmed using eigenvalue analysis. The VAR results show strong persistence in GPR, while limited direct short-run effects of GPR are observed on gold and equity returns.</w:t>
      </w:r>
    </w:p>
    <w:p w14:paraId="31F34453"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b/>
          <w:bCs/>
          <w:kern w:val="0"/>
          <w:sz w:val="24"/>
          <w:szCs w:val="24"/>
          <w:lang w:eastAsia="en-IN" w:bidi="ta-IN"/>
          <w14:ligatures w14:val="none"/>
        </w:rPr>
        <w:t>Granger causality tests</w:t>
      </w:r>
      <w:r w:rsidRPr="00530DF8">
        <w:rPr>
          <w:rFonts w:ascii="Times New Roman" w:eastAsia="Times New Roman" w:hAnsi="Times New Roman" w:cs="Times New Roman"/>
          <w:kern w:val="0"/>
          <w:sz w:val="24"/>
          <w:szCs w:val="24"/>
          <w:lang w:eastAsia="en-IN" w:bidi="ta-IN"/>
          <w14:ligatures w14:val="none"/>
        </w:rPr>
        <w:t xml:space="preserve"> reveal that geopolitical risk </w:t>
      </w:r>
      <w:r w:rsidRPr="00530DF8">
        <w:rPr>
          <w:rFonts w:ascii="Times New Roman" w:eastAsia="Times New Roman" w:hAnsi="Times New Roman" w:cs="Times New Roman"/>
          <w:b/>
          <w:bCs/>
          <w:kern w:val="0"/>
          <w:sz w:val="24"/>
          <w:szCs w:val="24"/>
          <w:lang w:eastAsia="en-IN" w:bidi="ta-IN"/>
          <w14:ligatures w14:val="none"/>
        </w:rPr>
        <w:t>Granger-causes movements in the USD/INR exchange rate</w:t>
      </w:r>
      <w:r w:rsidRPr="00530DF8">
        <w:rPr>
          <w:rFonts w:ascii="Times New Roman" w:eastAsia="Times New Roman" w:hAnsi="Times New Roman" w:cs="Times New Roman"/>
          <w:kern w:val="0"/>
          <w:sz w:val="24"/>
          <w:szCs w:val="24"/>
          <w:lang w:eastAsia="en-IN" w:bidi="ta-IN"/>
          <w14:ligatures w14:val="none"/>
        </w:rPr>
        <w:t>, indicating that currency markets are particularly sensitive to geopolitical shocks. However, no significant causal relationship is found between GPR and gold or the Nifty 50 in the short run, suggesting that these markets respond in a more indirect or non-linear manner.</w:t>
      </w:r>
    </w:p>
    <w:p w14:paraId="5C90E63D"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Further insights are obtained from </w:t>
      </w:r>
      <w:r w:rsidRPr="00530DF8">
        <w:rPr>
          <w:rFonts w:ascii="Times New Roman" w:eastAsia="Times New Roman" w:hAnsi="Times New Roman" w:cs="Times New Roman"/>
          <w:b/>
          <w:bCs/>
          <w:kern w:val="0"/>
          <w:sz w:val="24"/>
          <w:szCs w:val="24"/>
          <w:lang w:eastAsia="en-IN" w:bidi="ta-IN"/>
          <w14:ligatures w14:val="none"/>
        </w:rPr>
        <w:t>Impulse Response Functions (IRF)</w:t>
      </w:r>
      <w:r w:rsidRPr="00530DF8">
        <w:rPr>
          <w:rFonts w:ascii="Times New Roman" w:eastAsia="Times New Roman" w:hAnsi="Times New Roman" w:cs="Times New Roman"/>
          <w:kern w:val="0"/>
          <w:sz w:val="24"/>
          <w:szCs w:val="24"/>
          <w:lang w:eastAsia="en-IN" w:bidi="ta-IN"/>
          <w14:ligatures w14:val="none"/>
        </w:rPr>
        <w:t xml:space="preserve"> and </w:t>
      </w:r>
      <w:r w:rsidRPr="00530DF8">
        <w:rPr>
          <w:rFonts w:ascii="Times New Roman" w:eastAsia="Times New Roman" w:hAnsi="Times New Roman" w:cs="Times New Roman"/>
          <w:b/>
          <w:bCs/>
          <w:kern w:val="0"/>
          <w:sz w:val="24"/>
          <w:szCs w:val="24"/>
          <w:lang w:eastAsia="en-IN" w:bidi="ta-IN"/>
          <w14:ligatures w14:val="none"/>
        </w:rPr>
        <w:t>Forecast Error Variance Decomposition (FEVD)</w:t>
      </w:r>
      <w:r w:rsidRPr="00530DF8">
        <w:rPr>
          <w:rFonts w:ascii="Times New Roman" w:eastAsia="Times New Roman" w:hAnsi="Times New Roman" w:cs="Times New Roman"/>
          <w:kern w:val="0"/>
          <w:sz w:val="24"/>
          <w:szCs w:val="24"/>
          <w:lang w:eastAsia="en-IN" w:bidi="ta-IN"/>
          <w14:ligatures w14:val="none"/>
        </w:rPr>
        <w:t>. The FEVD results indicate that gold and equities are largely driven by their own shocks, while USD/INR shows a higher contribution from GPR-related innovations over time. This confirms that geopolitical risk primarily transmits through the currency channel in the Indian context.</w:t>
      </w:r>
    </w:p>
    <w:p w14:paraId="3DDD93F1" w14:textId="77777777" w:rsidR="00530DF8" w:rsidRPr="00530DF8" w:rsidRDefault="00530DF8" w:rsidP="00530DF8">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Overall, the findings suggest that </w:t>
      </w:r>
      <w:r w:rsidRPr="00530DF8">
        <w:rPr>
          <w:rFonts w:ascii="Times New Roman" w:eastAsia="Times New Roman" w:hAnsi="Times New Roman" w:cs="Times New Roman"/>
          <w:b/>
          <w:bCs/>
          <w:kern w:val="0"/>
          <w:sz w:val="24"/>
          <w:szCs w:val="24"/>
          <w:lang w:eastAsia="en-IN" w:bidi="ta-IN"/>
          <w14:ligatures w14:val="none"/>
        </w:rPr>
        <w:t>geopolitical risk affects Indian financial markets in an asymmetric manner</w:t>
      </w:r>
      <w:r w:rsidRPr="00530DF8">
        <w:rPr>
          <w:rFonts w:ascii="Times New Roman" w:eastAsia="Times New Roman" w:hAnsi="Times New Roman" w:cs="Times New Roman"/>
          <w:kern w:val="0"/>
          <w:sz w:val="24"/>
          <w:szCs w:val="24"/>
          <w:lang w:eastAsia="en-IN" w:bidi="ta-IN"/>
          <w14:ligatures w14:val="none"/>
        </w:rPr>
        <w:t>. Gold continues to function as a hedge asset, equities demonstrate resilience supported by domestic factors, and the exchange rate emerges as the most vulnerable channel during periods of heightened geopolitical uncertainty.</w:t>
      </w:r>
    </w:p>
    <w:p w14:paraId="31A73391" w14:textId="77777777" w:rsidR="00363625" w:rsidRDefault="00530DF8" w:rsidP="00363625">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 xml:space="preserve">From a managerial and policy perspective, the study highlights the importance of </w:t>
      </w:r>
      <w:r w:rsidRPr="00530DF8">
        <w:rPr>
          <w:rFonts w:ascii="Times New Roman" w:eastAsia="Times New Roman" w:hAnsi="Times New Roman" w:cs="Times New Roman"/>
          <w:b/>
          <w:bCs/>
          <w:kern w:val="0"/>
          <w:sz w:val="24"/>
          <w:szCs w:val="24"/>
          <w:lang w:eastAsia="en-IN" w:bidi="ta-IN"/>
          <w14:ligatures w14:val="none"/>
        </w:rPr>
        <w:t>currency risk management during geopolitical shocks</w:t>
      </w:r>
      <w:r w:rsidRPr="00530DF8">
        <w:rPr>
          <w:rFonts w:ascii="Times New Roman" w:eastAsia="Times New Roman" w:hAnsi="Times New Roman" w:cs="Times New Roman"/>
          <w:kern w:val="0"/>
          <w:sz w:val="24"/>
          <w:szCs w:val="24"/>
          <w:lang w:eastAsia="en-IN" w:bidi="ta-IN"/>
          <w14:ligatures w14:val="none"/>
        </w:rPr>
        <w:t>, the continued relevance of gold for portfolio diversification, and the need for policymakers to strengthen macroeconomic buffers to mitigate external uncertainty.</w:t>
      </w:r>
    </w:p>
    <w:p w14:paraId="0423A7B0" w14:textId="70FCE9EE" w:rsidR="00530DF8" w:rsidRPr="00530DF8" w:rsidRDefault="00530DF8" w:rsidP="00363625">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0DF8">
        <w:rPr>
          <w:rFonts w:ascii="Times New Roman" w:eastAsia="Times New Roman" w:hAnsi="Times New Roman" w:cs="Times New Roman"/>
          <w:kern w:val="0"/>
          <w:sz w:val="24"/>
          <w:szCs w:val="24"/>
          <w:lang w:eastAsia="en-IN" w:bidi="ta-IN"/>
          <w14:ligatures w14:val="none"/>
        </w:rPr>
        <w:t>The study finds that geopolitical risk impacts Indian financial markets asymmetrically, with the strongest transmission occurring through the exchange rate rather than equities or gold.</w:t>
      </w:r>
    </w:p>
    <w:sectPr w:rsidR="00530DF8" w:rsidRPr="00530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41EC4"/>
    <w:multiLevelType w:val="multilevel"/>
    <w:tmpl w:val="ED62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45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F8"/>
    <w:rsid w:val="00363625"/>
    <w:rsid w:val="004372AB"/>
    <w:rsid w:val="00530DF8"/>
    <w:rsid w:val="00744E3E"/>
    <w:rsid w:val="00876CBF"/>
    <w:rsid w:val="00C2006E"/>
    <w:rsid w:val="00D85F63"/>
    <w:rsid w:val="00FF12C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DD60"/>
  <w15:chartTrackingRefBased/>
  <w15:docId w15:val="{D756401A-4DC6-4010-80FD-612C060D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0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0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F8"/>
    <w:rPr>
      <w:rFonts w:eastAsiaTheme="majorEastAsia" w:cstheme="majorBidi"/>
      <w:color w:val="272727" w:themeColor="text1" w:themeTint="D8"/>
    </w:rPr>
  </w:style>
  <w:style w:type="paragraph" w:styleId="Title">
    <w:name w:val="Title"/>
    <w:basedOn w:val="Normal"/>
    <w:next w:val="Normal"/>
    <w:link w:val="TitleChar"/>
    <w:uiPriority w:val="10"/>
    <w:qFormat/>
    <w:rsid w:val="0053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F8"/>
    <w:pPr>
      <w:spacing w:before="160"/>
      <w:jc w:val="center"/>
    </w:pPr>
    <w:rPr>
      <w:i/>
      <w:iCs/>
      <w:color w:val="404040" w:themeColor="text1" w:themeTint="BF"/>
    </w:rPr>
  </w:style>
  <w:style w:type="character" w:customStyle="1" w:styleId="QuoteChar">
    <w:name w:val="Quote Char"/>
    <w:basedOn w:val="DefaultParagraphFont"/>
    <w:link w:val="Quote"/>
    <w:uiPriority w:val="29"/>
    <w:rsid w:val="00530DF8"/>
    <w:rPr>
      <w:i/>
      <w:iCs/>
      <w:color w:val="404040" w:themeColor="text1" w:themeTint="BF"/>
    </w:rPr>
  </w:style>
  <w:style w:type="paragraph" w:styleId="ListParagraph">
    <w:name w:val="List Paragraph"/>
    <w:basedOn w:val="Normal"/>
    <w:uiPriority w:val="34"/>
    <w:qFormat/>
    <w:rsid w:val="00530DF8"/>
    <w:pPr>
      <w:ind w:left="720"/>
      <w:contextualSpacing/>
    </w:pPr>
  </w:style>
  <w:style w:type="character" w:styleId="IntenseEmphasis">
    <w:name w:val="Intense Emphasis"/>
    <w:basedOn w:val="DefaultParagraphFont"/>
    <w:uiPriority w:val="21"/>
    <w:qFormat/>
    <w:rsid w:val="00530DF8"/>
    <w:rPr>
      <w:i/>
      <w:iCs/>
      <w:color w:val="2F5496" w:themeColor="accent1" w:themeShade="BF"/>
    </w:rPr>
  </w:style>
  <w:style w:type="paragraph" w:styleId="IntenseQuote">
    <w:name w:val="Intense Quote"/>
    <w:basedOn w:val="Normal"/>
    <w:next w:val="Normal"/>
    <w:link w:val="IntenseQuoteChar"/>
    <w:uiPriority w:val="30"/>
    <w:qFormat/>
    <w:rsid w:val="00530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DF8"/>
    <w:rPr>
      <w:i/>
      <w:iCs/>
      <w:color w:val="2F5496" w:themeColor="accent1" w:themeShade="BF"/>
    </w:rPr>
  </w:style>
  <w:style w:type="character" w:styleId="IntenseReference">
    <w:name w:val="Intense Reference"/>
    <w:basedOn w:val="DefaultParagraphFont"/>
    <w:uiPriority w:val="32"/>
    <w:qFormat/>
    <w:rsid w:val="00530DF8"/>
    <w:rPr>
      <w:b/>
      <w:bCs/>
      <w:smallCaps/>
      <w:color w:val="2F5496" w:themeColor="accent1" w:themeShade="BF"/>
      <w:spacing w:val="5"/>
    </w:rPr>
  </w:style>
  <w:style w:type="paragraph" w:styleId="NormalWeb">
    <w:name w:val="Normal (Web)"/>
    <w:basedOn w:val="Normal"/>
    <w:uiPriority w:val="99"/>
    <w:semiHidden/>
    <w:unhideWhenUsed/>
    <w:rsid w:val="00530DF8"/>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530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Mogneeshwar J K U</dc:creator>
  <cp:keywords/>
  <dc:description/>
  <cp:lastModifiedBy>Mogneeshwar J K U</cp:lastModifiedBy>
  <cp:revision>2</cp:revision>
  <dcterms:created xsi:type="dcterms:W3CDTF">2026-02-04T13:21:00Z</dcterms:created>
  <dcterms:modified xsi:type="dcterms:W3CDTF">2026-02-04T13:45:00Z</dcterms:modified>
</cp:coreProperties>
</file>