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256-class, 681,309-image Bengali benchmark unifying three corpora by grapheme</w:t>
      </w:r>
    </w:p>
    <w:p>
      <w:pPr>
        <w:pStyle w:val="Compact"/>
        <w:numPr>
          <w:ilvl w:val="0"/>
          <w:numId w:val="1001"/>
        </w:numPr>
      </w:pPr>
      <w:r>
        <w:t xml:space="preserve">Models transfer across corpora at chance: 0.98 same-corpus, 0.04 cross-corpus</w:t>
      </w:r>
    </w:p>
    <w:p>
      <w:pPr>
        <w:pStyle w:val="Compact"/>
        <w:numPr>
          <w:ilvl w:val="0"/>
          <w:numId w:val="1001"/>
        </w:numPr>
      </w:pPr>
      <w:r>
        <w:t xml:space="preserve">Single-corpus accuracy measures corpus familiarity, not character recognition</w:t>
      </w:r>
    </w:p>
    <w:p>
      <w:pPr>
        <w:pStyle w:val="Compact"/>
        <w:numPr>
          <w:ilvl w:val="0"/>
          <w:numId w:val="1001"/>
        </w:numPr>
      </w:pPr>
      <w:r>
        <w:t xml:space="preserve">Pretrained models differ by under two points once initialisation is controlled</w:t>
      </w:r>
    </w:p>
    <w:p>
      <w:pPr>
        <w:pStyle w:val="Compact"/>
        <w:numPr>
          <w:ilvl w:val="0"/>
          <w:numId w:val="1001"/>
        </w:numPr>
      </w:pPr>
      <w:r>
        <w:t xml:space="preserve">Apparent calibration gaps between architectures vanish under temperature scaling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2026-10-26T16:24:43Z</dcterms:created>
  <dcterms:modified xsi:type="dcterms:W3CDTF">2026-10-26T16:24:43Z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