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1.png" ContentType="image/png"/>
  <Override PartName="/word/media/rId15.png" ContentType="image/png"/>
  <Override PartName="/word/media/rId19.png" ContentType="image/png"/>
  <Override PartName="/word/media/rId30.png" ContentType="image/png"/>
  <Override PartName="/word/media/rId22.png" ContentType="image/png"/>
  <Override PartName="/word/media/rId26.png" ContentType="image/png"/>
  <Override PartName="/word/media/rId42.png" ContentType="image/png"/>
  <Override PartName="/word/media/rId39.png" ContentType="image/png"/>
  <Override PartName="/word/media/rId5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Single-Corpus Accuracy Overstates Bengali Compound-Character Recognition: A Unified 256-Class Benchmark and Cross-Corpus Evaluation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8" w:name="Xb6221126ab26ebc8ef5795ab0e775c2486d14b9"/>
    <w:p>
      <w:pPr>
        <w:pStyle w:val="Heading1"/>
      </w:pPr>
      <w:r>
        <w:t xml:space="preserve">Single-Corpus Accuracy Overstates Bengali Compound-Character Recognition: A Unified 256-Class Benchmark and Cross-Corpus Evaluation</w:t>
      </w:r>
    </w:p>
    <w:p>
      <w:pPr>
        <w:pStyle w:val="FirstParagraph"/>
      </w:pPr>
      <w:r>
        <w:rPr>
          <w:b/>
          <w:bCs/>
        </w:rPr>
        <w:t xml:space="preserve">Status of this draft.</w:t>
      </w:r>
      <w:r>
        <w:t xml:space="preserve"> </w:t>
      </w:r>
      <w:r>
        <w:t xml:space="preserve">All experiments are complete and every number below is measured. Fields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[FILL]</w:t>
      </w:r>
      <w:r>
        <w:t xml:space="preserve"> </w:t>
      </w:r>
      <w:r>
        <w:t xml:space="preserve">need information only the authors have (affiliations, funding, licences, venue).</w:t>
      </w:r>
    </w:p>
    <w:p>
      <w:pPr>
        <w:pStyle w:val="BodyText"/>
      </w:pPr>
      <w:r>
        <w:rPr>
          <w:b/>
          <w:bCs/>
        </w:rPr>
        <w:t xml:space="preserve">Note on the revision.</w:t>
      </w:r>
      <w:r>
        <w:t xml:space="preserve"> </w:t>
      </w:r>
      <w:r>
        <w:t xml:space="preserve">Restructured to lead with the benchmark and the cross-corpus finding,</w:t>
      </w:r>
      <w:r>
        <w:t xml:space="preserve"> </w:t>
      </w:r>
      <w:r>
        <w:t xml:space="preserve">carrying the architecture result inside them. An earlier version claimed a data-efficiency advantage</w:t>
      </w:r>
      <w:r>
        <w:t xml:space="preserve"> </w:t>
      </w:r>
      <w:r>
        <w:t xml:space="preserve">in accuracy; that claim came from runs whose backbones had inherited previously trained Bengali</w:t>
      </w:r>
      <w:r>
        <w:t xml:space="preserve"> </w:t>
      </w:r>
      <w:r>
        <w:t xml:space="preserve">weights, and survived neither the corrected initialisation nor seed repetition. The supported</w:t>
      </w:r>
      <w:r>
        <w:t xml:space="preserve"> </w:t>
      </w:r>
      <w:r>
        <w:t xml:space="preserve">architecture claim is about calibration, reported alongside the negative accuracy result.</w:t>
      </w:r>
    </w:p>
    <w:p>
      <w:r>
        <w:pict>
          <v:rect style="width:0;height:1.5pt" o:hralign="center" o:hrstd="t" o:hr="t"/>
        </w:pict>
      </w:r>
    </w:p>
    <w:bookmarkStart w:id="9" w:name="title-page"/>
    <w:p>
      <w:pPr>
        <w:pStyle w:val="Heading2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Single-Corpus Accuracy Overstates Bengali Compound-Character Recognition: A Unified</w:t>
      </w:r>
      <w:r>
        <w:t xml:space="preserve"> </w:t>
      </w:r>
      <w:r>
        <w:t xml:space="preserve">256-Class Benchmark and Cross-Corpus Evaluation</w:t>
      </w:r>
    </w:p>
    <w:p>
      <w:pPr>
        <w:pStyle w:val="BodyText"/>
      </w:pPr>
      <w:r>
        <w:rPr>
          <w:i/>
          <w:iCs/>
        </w:rPr>
        <w:t xml:space="preserve">Alternatives:</w:t>
      </w:r>
      <w:r>
        <w:t xml:space="preserve"> </w:t>
      </w:r>
      <w:r>
        <w:t xml:space="preserve">(a) Cross-Corpus Generalisation Fails at Chance on Bengali Compound Characters —</w:t>
      </w:r>
      <w:r>
        <w:t xml:space="preserve"> </w:t>
      </w:r>
      <w:r>
        <w:t xml:space="preserve">blunter, and the finding carries it; (b) A Unified 256-Class Bengali Compound-Character Benchmark</w:t>
      </w:r>
      <w:r>
        <w:t xml:space="preserve"> </w:t>
      </w:r>
      <w:r>
        <w:t xml:space="preserve">with Cross-Corpus Baselines — leads with the resource if the venue is dataset-oriented.</w:t>
      </w:r>
    </w:p>
    <w:p>
      <w:pPr>
        <w:pStyle w:val="BodyText"/>
      </w:pPr>
      <w:r>
        <w:rPr>
          <w:i/>
          <w:iCs/>
        </w:rPr>
        <w:t xml:space="preserve">Rejected:</w:t>
      </w:r>
      <w:r>
        <w:t xml:space="preserve"> </w:t>
      </w:r>
      <w:r>
        <w:t xml:space="preserve">any title foregrounding the four-architecture comparison. The architectures differ by</w:t>
      </w:r>
      <w:r>
        <w:t xml:space="preserve"> </w:t>
      </w:r>
      <w:r>
        <w:t xml:space="preserve">at most one accuracy point, and naming them promises a contribution the results do not deliver.</w:t>
      </w:r>
    </w:p>
    <w:p>
      <w:pPr>
        <w:pStyle w:val="BodyText"/>
      </w:pPr>
      <w:r>
        <w:rPr>
          <w:b/>
          <w:bCs/>
        </w:rPr>
        <w:t xml:space="preserve">Authors.</w:t>
      </w:r>
      <w:r>
        <w:t xml:space="preserve"> </w:t>
      </w:r>
      <w:r>
        <w:t xml:space="preserve">Uthsob Chakraborty</w:t>
      </w:r>
      <w:r>
        <w:rPr>
          <w:rStyle w:val="VerbatimChar"/>
        </w:rPr>
        <w:t xml:space="preserve">[FILL: full author list and order]</w:t>
      </w:r>
    </w:p>
    <w:p>
      <w:pPr>
        <w:pStyle w:val="BodyText"/>
      </w:pPr>
      <w:r>
        <w:rPr>
          <w:b/>
          <w:bCs/>
        </w:rPr>
        <w:t xml:space="preserve">Affiliations.</w:t>
      </w:r>
      <w:r>
        <w:t xml:space="preserve"> </w:t>
      </w:r>
      <w:r>
        <w:rPr>
          <w:rStyle w:val="VerbatimChar"/>
        </w:rPr>
        <w:t xml:space="preserve">[FILL: department, institution, city, country for each author]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Uthsob Chakraborty, uthsob9@gmail.com</w:t>
      </w:r>
      <w:r>
        <w:t xml:space="preserve"> </w:t>
      </w:r>
      <w:r>
        <w:rPr>
          <w:rStyle w:val="VerbatimChar"/>
        </w:rPr>
        <w:t xml:space="preserve">[FILL: confirm, add postal address]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rPr>
          <w:rStyle w:val="VerbatimChar"/>
        </w:rPr>
        <w:t xml:space="preserve">[FILL]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Bengali handwritten character recognition; compound characters (যুক্তাক্ষর); cross-corpus</w:t>
      </w:r>
      <w:r>
        <w:t xml:space="preserve"> </w:t>
      </w:r>
      <w:r>
        <w:t xml:space="preserve">generalisation; domain shift; benchmark; Vision Transformer; hybrid CNN–Transformer; model calibration</w:t>
      </w:r>
    </w:p>
    <w:p>
      <w:r>
        <w:pict>
          <v:rect style="width:0;height:1.5pt" o:hralign="center" o:hrstd="t" o:hr="t"/>
        </w:pict>
      </w:r>
    </w:p>
    <w:bookmarkEnd w:id="9"/>
    <w:bookmarkStart w:id="10" w:name="highlights"/>
    <w:p>
      <w:pPr>
        <w:pStyle w:val="Heading2"/>
      </w:pPr>
      <w:r>
        <w:t xml:space="preserve">Highlights</w:t>
      </w:r>
    </w:p>
    <w:p>
      <w:pPr>
        <w:pStyle w:val="FirstParagraph"/>
      </w:pPr>
      <w:r>
        <w:rPr>
          <w:i/>
          <w:iCs/>
        </w:rPr>
        <w:t xml:space="preserve">(Elsevier and several other venues require 3–5 bullets, ≤85 characters each. Trim to the</w:t>
      </w:r>
      <w:r>
        <w:rPr>
          <w:i/>
          <w:iCs/>
        </w:rPr>
        <w:t xml:space="preserve"> </w:t>
      </w:r>
      <w:r>
        <w:rPr>
          <w:i/>
          <w:iCs/>
        </w:rPr>
        <w:t xml:space="preserve">venue’s limit.)</w:t>
      </w:r>
    </w:p>
    <w:p>
      <w:pPr>
        <w:pStyle w:val="Compact"/>
        <w:numPr>
          <w:ilvl w:val="0"/>
          <w:numId w:val="1001"/>
        </w:numPr>
      </w:pPr>
      <w:r>
        <w:t xml:space="preserve">A 256-class, 681,309-image Bengali benchmark unifying three corpora by Unicode grapheme</w:t>
      </w:r>
    </w:p>
    <w:p>
      <w:pPr>
        <w:pStyle w:val="Compact"/>
        <w:numPr>
          <w:ilvl w:val="0"/>
          <w:numId w:val="1001"/>
        </w:numPr>
      </w:pPr>
      <w:r>
        <w:t xml:space="preserve">Models transfer across corpora at chance: 0.97 same-corpus, 0.03 cross-corpus</w:t>
      </w:r>
    </w:p>
    <w:p>
      <w:pPr>
        <w:pStyle w:val="Compact"/>
        <w:numPr>
          <w:ilvl w:val="0"/>
          <w:numId w:val="1001"/>
        </w:numPr>
      </w:pPr>
      <w:r>
        <w:t xml:space="preserve">Single-corpus accuracy measures corpus familiarity, not character recognition</w:t>
      </w:r>
    </w:p>
    <w:p>
      <w:pPr>
        <w:pStyle w:val="Compact"/>
        <w:numPr>
          <w:ilvl w:val="0"/>
          <w:numId w:val="1001"/>
        </w:numPr>
      </w:pPr>
      <w:r>
        <w:t xml:space="preserve">Four architectures compared; none separates on accuracy once initialisation is controlled</w:t>
      </w:r>
    </w:p>
    <w:p>
      <w:pPr>
        <w:pStyle w:val="Compact"/>
        <w:numPr>
          <w:ilvl w:val="0"/>
          <w:numId w:val="1001"/>
        </w:numPr>
      </w:pPr>
      <w:r>
        <w:t xml:space="preserve">Apparent calibration gaps between architectures vanish under temperature scaling</w:t>
      </w:r>
    </w:p>
    <w:p>
      <w:r>
        <w:pict>
          <v:rect style="width:0;height:1.5pt" o:hralign="center" o:hrstd="t" o:hr="t"/>
        </w:pic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(~300 words, per outline)</w:t>
      </w:r>
    </w:p>
    <w:p>
      <w:pPr>
        <w:pStyle w:val="BodyText"/>
      </w:pPr>
      <w:r>
        <w:t xml:space="preserve">Bengali is written in an alpha-syllabary whose compound characters (যুক্তাক্ষর) are formed by</w:t>
      </w:r>
      <w:r>
        <w:t xml:space="preserve"> </w:t>
      </w:r>
      <w:r>
        <w:t xml:space="preserve">conjoining two or more basic consonants, producing an open class of more than 170 structurally</w:t>
      </w:r>
      <w:r>
        <w:t xml:space="preserve"> </w:t>
      </w:r>
      <w:r>
        <w:t xml:space="preserve">intricate, mutually confusable glyphs. Progress on recognising them is limited less by architecture</w:t>
      </w:r>
      <w:r>
        <w:t xml:space="preserve"> </w:t>
      </w:r>
      <w:r>
        <w:t xml:space="preserve">than by data: the available corpora are fragmented, collected under incompatible conventions, and</w:t>
      </w:r>
      <w:r>
        <w:t xml:space="preserve"> </w:t>
      </w:r>
      <w:r>
        <w:t xml:space="preserve">individually too small to support a large-scale study.</w:t>
      </w:r>
    </w:p>
    <w:p>
      <w:pPr>
        <w:pStyle w:val="BodyText"/>
      </w:pPr>
      <w:r>
        <w:t xml:space="preserve">We therefore unify three publicly available Bengali handwriting corpora — RAS-Compound, Ekush, and</w:t>
      </w:r>
      <w:r>
        <w:t xml:space="preserve"> </w:t>
      </w:r>
      <w:r>
        <w:t xml:space="preserve">MatriVasha — into a single 256-class benchmark of 681,309 images. Labels are reconciled by Unicode</w:t>
      </w:r>
      <w:r>
        <w:t xml:space="preserve"> </w:t>
      </w:r>
      <w:r>
        <w:t xml:space="preserve">NFC normalisation of the underlying graphemes rather than by dataset-local folder indices, so the</w:t>
      </w:r>
      <w:r>
        <w:t xml:space="preserve"> </w:t>
      </w:r>
      <w:r>
        <w:t xml:space="preserve">same character collected by different projects collapses to one label while 159 classes contributed</w:t>
      </w:r>
      <w:r>
        <w:t xml:space="preserve"> </w:t>
      </w:r>
      <w:r>
        <w:t xml:space="preserve">by a single source are preserved. We characterise the result rather than merely assembling it: its</w:t>
      </w:r>
      <w:r>
        <w:t xml:space="preserve"> </w:t>
      </w:r>
      <w:r>
        <w:t xml:space="preserve">imbalance proves to be an artifact of source size rather than character frequency, and each</w:t>
      </w:r>
      <w:r>
        <w:t xml:space="preserve"> </w:t>
      </w:r>
      <w:r>
        <w:t xml:space="preserve">constituent corpus is internally near-balanced.</w:t>
      </w:r>
    </w:p>
    <w:p>
      <w:pPr>
        <w:pStyle w:val="BodyText"/>
      </w:pPr>
      <w:r>
        <w:t xml:space="preserve">We benchmark four architectures on it under one protocol: a from-scratch CNN, a fine-tuned ImageNet</w:t>
      </w:r>
      <w:r>
        <w:t xml:space="preserve"> </w:t>
      </w:r>
      <w:r>
        <w:t xml:space="preserve">ResNet18, a fine-tuned ViT-B/16, and ExtendedViT — a hybrid in which an ImageNet-pretrained ResNet18</w:t>
      </w:r>
      <w:r>
        <w:t xml:space="preserve"> </w:t>
      </w:r>
      <w:r>
        <w:t xml:space="preserve">tokenizes the image into 49 tokens for a four-layer Transformer encoder. ViT-B/16 leads at an equal</w:t>
      </w:r>
      <w:r>
        <w:t xml:space="preserve"> </w:t>
      </w:r>
      <w:r>
        <w:t xml:space="preserve">data budget (0.9662); on the full corpus ResNet18 and ExtendedViT are indistinguishable (0.9764 vs</w:t>
      </w:r>
      <w:r>
        <w:t xml:space="preserve"> </w:t>
      </w:r>
      <w:r>
        <w:t xml:space="preserve">0.9760, 27 images in 68,010).</w:t>
      </w:r>
    </w:p>
    <w:p>
      <w:pPr>
        <w:pStyle w:val="BodyText"/>
      </w:pPr>
      <w:r>
        <w:t xml:space="preserve">The benchmark’s most consequential result concerns none of these architectures individually. Trained</w:t>
      </w:r>
      <w:r>
        <w:t xml:space="preserve"> </w:t>
      </w:r>
      <w:r>
        <w:t xml:space="preserve">on one constituent corpus and tested on another, restricted to the classes they share, every model</w:t>
      </w:r>
      <w:r>
        <w:t xml:space="preserve"> </w:t>
      </w:r>
      <w:r>
        <w:t xml:space="preserve">falls from 0.96–1.00 same-corpus accuracy to 0.02–0.05 cross-corpus — at or barely above chance, in</w:t>
      </w:r>
      <w:r>
        <w:t xml:space="preserve"> </w:t>
      </w:r>
      <w:r>
        <w:t xml:space="preserve">both directions, for both architectures. We verify this is domain shift rather than label</w:t>
      </w:r>
      <w:r>
        <w:t xml:space="preserve"> </w:t>
      </w:r>
      <w:r>
        <w:t xml:space="preserve">disagreement. Single-corpus accuracy therefore measures familiarity with a corpus’s rendering</w:t>
      </w:r>
      <w:r>
        <w:t xml:space="preserve"> </w:t>
      </w:r>
      <w:r>
        <w:t xml:space="preserve">conventions rather than recognition of Bengali characters, which recasts merging as domain coverage</w:t>
      </w:r>
      <w:r>
        <w:t xml:space="preserve"> </w:t>
      </w:r>
      <w:r>
        <w:t xml:space="preserve">rather than dataset enlargement.</w:t>
      </w:r>
    </w:p>
    <w:p>
      <w:pPr>
        <w:pStyle w:val="BodyText"/>
      </w:pPr>
      <w:r>
        <w:t xml:space="preserve">The architectures themselves separate remarkably little. A controlled single-corpus sweep over</w:t>
      </w:r>
      <w:r>
        <w:t xml:space="preserve"> </w:t>
      </w:r>
      <w:r>
        <w:t xml:space="preserve">per-class budgets from 50 to 1,000, repeated across three seeds, finds no significant accuracy</w:t>
      </w:r>
      <w:r>
        <w:t xml:space="preserve"> </w:t>
      </w:r>
      <w:r>
        <w:t xml:space="preserve">difference between a convolutional baseline and a CNN–Transformer hybrid at any budget. The hybrid</w:t>
      </w:r>
      <w:r>
        <w:t xml:space="preserve"> </w:t>
      </w:r>
      <w:r>
        <w:t xml:space="preserve">does show roughly half the baseline’s expected calibration error — but temperature scaling, a single</w:t>
      </w:r>
      <w:r>
        <w:t xml:space="preserve"> </w:t>
      </w:r>
      <w:r>
        <w:t xml:space="preserve">fitted scalar, removes that difference entirely and leaves the scaled baseline better calibrated</w:t>
      </w:r>
      <w:r>
        <w:t xml:space="preserve"> </w:t>
      </w:r>
      <w:r>
        <w:t xml:space="preserve">than the unscaled hybrid, so it is not an architectural property. We report three further</w:t>
      </w:r>
      <w:r>
        <w:t xml:space="preserve"> </w:t>
      </w:r>
      <w:r>
        <w:t xml:space="preserve">methodological cautions arising from this benchmark: warm-starting from a previously trained</w:t>
      </w:r>
      <w:r>
        <w:t xml:space="preserve"> </w:t>
      </w:r>
      <w:r>
        <w:t xml:space="preserve">checkpoint, routine practice in this literature, inflated our own result by 1.43 accuracy points;</w:t>
      </w:r>
      <w:r>
        <w:t xml:space="preserve"> </w:t>
      </w:r>
      <w:r>
        <w:t xml:space="preserve">macro-F1 does not measure long-tail performance when class rarity is confounded with source; and</w:t>
      </w:r>
      <w:r>
        <w:t xml:space="preserve"> </w:t>
      </w:r>
      <w:r>
        <w:t xml:space="preserve">uncorrected calibration comparisons between architectures should not be trusted.</w:t>
      </w:r>
    </w:p>
    <w:p>
      <w:r>
        <w:pict>
          <v:rect style="width:0;height:1.5pt" o:hralign="center" o:hrstd="t" o:hr="t"/>
        </w:pict>
      </w:r>
    </w:p>
    <w:bookmarkEnd w:id="11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Bengali is the seventh most spoken language in the world, with approximately 284 million speakers</w:t>
      </w:r>
      <w:r>
        <w:t xml:space="preserve"> </w:t>
      </w:r>
      <w:r>
        <w:t xml:space="preserve">[Ethnologue, 27th ed.]. Its script is an abugida of 11 vowels and 39 consonants, 10 numerals, and an</w:t>
      </w:r>
      <w:r>
        <w:t xml:space="preserve"> </w:t>
      </w:r>
      <w:r>
        <w:t xml:space="preserve">open set of compound characters formed by conjoining two or more consonants. Counting diacritics and</w:t>
      </w:r>
      <w:r>
        <w:t xml:space="preserve"> </w:t>
      </w:r>
      <w:r>
        <w:t xml:space="preserve">modifiers, roughly 13,000 grapheme variations are possible [30], [32], of which more than 170 are</w:t>
      </w:r>
      <w:r>
        <w:t xml:space="preserve"> </w:t>
      </w:r>
      <w:r>
        <w:t xml:space="preserve">conventionally treated as distinct conjunct classes [7].</w:t>
      </w:r>
    </w:p>
    <w:p>
      <w:pPr>
        <w:pStyle w:val="BodyText"/>
      </w:pPr>
      <w:r>
        <w:t xml:space="preserve">Handwritten recognition of this script is hard for reasons that recur across the literature: the</w:t>
      </w:r>
      <w:r>
        <w:t xml:space="preserve"> </w:t>
      </w:r>
      <w:r>
        <w:t xml:space="preserve">cursive connecting head-line (মাত্রা) that binds characters into a visual unit; very high inter-class</w:t>
      </w:r>
      <w:r>
        <w:t xml:space="preserve"> </w:t>
      </w:r>
      <w:r>
        <w:t xml:space="preserve">similarity, where two distinct conjuncts may differ by a single stroke or dot; wide variation in</w:t>
      </w:r>
      <w:r>
        <w:t xml:space="preserve"> </w:t>
      </w:r>
      <w:r>
        <w:t xml:space="preserve">individual writing style; and a frequency distribution over characters that approximately follows</w:t>
      </w:r>
      <w:r>
        <w:t xml:space="preserve"> </w:t>
      </w:r>
      <w:r>
        <w:t xml:space="preserve">Zipf’s law, leaving many compound classes represented by only a handful of samples [33].</w:t>
      </w:r>
    </w:p>
    <w:p>
      <w:pPr>
        <w:pStyle w:val="BodyText"/>
      </w:pPr>
      <w:r>
        <w:t xml:space="preserve">Compound characters concentrate all of these difficulties. Classical feature-engineering approaches</w:t>
      </w:r>
      <w:r>
        <w:t xml:space="preserve"> </w:t>
      </w:r>
      <w:r>
        <w:t xml:space="preserve">reached only 79–87% on compound benchmarks [2]–[5], and although deep convolutional networks lifted</w:t>
      </w:r>
      <w:r>
        <w:t xml:space="preserve"> </w:t>
      </w:r>
      <w:r>
        <w:t xml:space="preserve">this to 90–99% depending on dataset balance [9], [16], [23], the reported ceiling is strongly</w:t>
      </w:r>
      <w:r>
        <w:t xml:space="preserve"> </w:t>
      </w:r>
      <w:r>
        <w:t xml:space="preserve">dependent on how balanced and how large the evaluation set is. The Vision Transformer [22] has since</w:t>
      </w:r>
      <w:r>
        <w:t xml:space="preserve"> </w:t>
      </w:r>
      <w:r>
        <w:t xml:space="preserve">been shown to outperform VGG-16 and ResNet-50 on Bengali</w:t>
      </w:r>
      <w:r>
        <w:t xml:space="preserve"> </w:t>
      </w:r>
      <w:r>
        <w:rPr>
          <w:i/>
          <w:iCs/>
        </w:rPr>
        <w:t xml:space="preserve">basic</w:t>
      </w:r>
      <w:r>
        <w:t xml:space="preserve"> </w:t>
      </w:r>
      <w:r>
        <w:t xml:space="preserve">characters — 98.26% against 94.54%</w:t>
      </w:r>
      <w:r>
        <w:t xml:space="preserve"> </w:t>
      </w:r>
      <w:r>
        <w:t xml:space="preserve">and 93.12% respectively [17] — but its application to compound characters remains sparse, and Parvez</w:t>
      </w:r>
      <w:r>
        <w:t xml:space="preserve"> </w:t>
      </w:r>
      <w:r>
        <w:t xml:space="preserve">et al. explicitly identify this as a critical research gap.</w:t>
      </w:r>
    </w:p>
    <w:p>
      <w:pPr>
        <w:pStyle w:val="BodyText"/>
      </w:pPr>
      <w:r>
        <w:t xml:space="preserve">Two considerations complicate a naive transfer of ViT to this problem. First, ViT lacks the</w:t>
      </w:r>
      <w:r>
        <w:t xml:space="preserve"> </w:t>
      </w:r>
      <w:r>
        <w:t xml:space="preserve">translation equivariance and locality that convolutions encode as architectural priors, and</w:t>
      </w:r>
      <w:r>
        <w:t xml:space="preserve"> </w:t>
      </w:r>
      <w:r>
        <w:t xml:space="preserve">consequently underperforms comparably sized ResNets when training data is merely mid-sized rather</w:t>
      </w:r>
      <w:r>
        <w:t xml:space="preserve"> </w:t>
      </w:r>
      <w:r>
        <w:t xml:space="preserve">than web-scale [22]. Bengali compound-character data is emphatically not web-scale. Second, the</w:t>
      </w:r>
      <w:r>
        <w:t xml:space="preserve"> </w:t>
      </w:r>
      <w:r>
        <w:t xml:space="preserve">available corpora are fragmented: each is collected under different conventions, at different</w:t>
      </w:r>
      <w:r>
        <w:t xml:space="preserve"> </w:t>
      </w:r>
      <w:r>
        <w:t xml:space="preserve">resolutions, with different and only partially overlapping class inventories, so no single one of</w:t>
      </w:r>
      <w:r>
        <w:t xml:space="preserve"> </w:t>
      </w:r>
      <w:r>
        <w:t xml:space="preserve">them supports a large-scale study.</w:t>
      </w:r>
    </w:p>
    <w:p>
      <w:pPr>
        <w:pStyle w:val="BodyText"/>
      </w:pPr>
      <w:r>
        <w:t xml:space="preserve">This paper makes four contributions, and they are connected: the benchmark is what made the</w:t>
      </w:r>
      <w:r>
        <w:t xml:space="preserve"> </w:t>
      </w:r>
      <w:r>
        <w:t xml:space="preserve">remaining three measurable.</w:t>
      </w:r>
    </w:p>
    <w:p>
      <w:pPr>
        <w:pStyle w:val="BodyText"/>
      </w:pPr>
      <w:r>
        <w:rPr>
          <w:b/>
          <w:bCs/>
        </w:rPr>
        <w:t xml:space="preserve">A unified benchmark.</w:t>
      </w:r>
      <w:r>
        <w:t xml:space="preserve"> </w:t>
      </w:r>
      <w:r>
        <w:t xml:space="preserve">We merge RAS-Compound, Ekush, and MatriVasha into one 256-class corpus of</w:t>
      </w:r>
      <w:r>
        <w:t xml:space="preserve"> </w:t>
      </w:r>
      <w:r>
        <w:t xml:space="preserve">681,309 images by reconciling labels at the level of Unicode-normalised Bengali graphemes rather than</w:t>
      </w:r>
      <w:r>
        <w:t xml:space="preserve"> </w:t>
      </w:r>
      <w:r>
        <w:t xml:space="preserve">dataset-local folder indices (Section 3.2). To our knowledge this is the largest unified isolated</w:t>
      </w:r>
      <w:r>
        <w:t xml:space="preserve"> </w:t>
      </w:r>
      <w:r>
        <w:t xml:space="preserve">Bengali character set assembled for compound-character evaluation. We characterise it rather than</w:t>
      </w:r>
      <w:r>
        <w:t xml:space="preserve"> </w:t>
      </w:r>
      <w:r>
        <w:t xml:space="preserve">merely assembling it: its imbalance is an artifact of source size rather than character frequency</w:t>
      </w:r>
      <w:r>
        <w:t xml:space="preserve"> </w:t>
      </w:r>
      <w:r>
        <w:t xml:space="preserve">(Section 3.2), and — our most consequential finding — models trained on any one constituent corpus</w:t>
      </w:r>
      <w:r>
        <w:t xml:space="preserve"> </w:t>
      </w:r>
      <w:r>
        <w:t xml:space="preserve">transfer to another</w:t>
      </w:r>
      <w:r>
        <w:t xml:space="preserve"> </w:t>
      </w:r>
      <w:r>
        <w:rPr>
          <w:b/>
          <w:bCs/>
        </w:rPr>
        <w:t xml:space="preserve">at chance</w:t>
      </w:r>
      <w:r>
        <w:t xml:space="preserve"> </w:t>
      </w:r>
      <w:r>
        <w:t xml:space="preserve">(Section 5.5). No single Bengali corpus supports a model that</w:t>
      </w:r>
      <w:r>
        <w:t xml:space="preserve"> </w:t>
      </w:r>
      <w:r>
        <w:t xml:space="preserve">generalises, which recasts merging as domain coverage rather than dataset enlargement and casts</w:t>
      </w:r>
      <w:r>
        <w:t xml:space="preserve"> </w:t>
      </w:r>
      <w:r>
        <w:t xml:space="preserve">doubt on single-corpus accuracies reported throughout the literature.</w:t>
      </w:r>
    </w:p>
    <w:p>
      <w:pPr>
        <w:pStyle w:val="BodyText"/>
      </w:pPr>
      <w:r>
        <w:rPr>
          <w:b/>
          <w:bCs/>
        </w:rPr>
        <w:t xml:space="preserve">Four architectures under one protocol.</w:t>
      </w:r>
      <w:r>
        <w:t xml:space="preserve"> </w:t>
      </w:r>
      <w:r>
        <w:t xml:space="preserve">A from-scratch CNN, a fine-tuned ImageNet ResNet18, a</w:t>
      </w:r>
      <w:r>
        <w:t xml:space="preserve"> </w:t>
      </w:r>
      <w:r>
        <w:t xml:space="preserve">fine-tuned ViT-B/16, and our hybrid, all trained and evaluated on a byte-identical split at two</w:t>
      </w:r>
      <w:r>
        <w:t xml:space="preserve"> </w:t>
      </w:r>
      <w:r>
        <w:t xml:space="preserve">data budgets (Section 4). ViT-B/16 leads at an equal budget, reproducing on compound characters the</w:t>
      </w:r>
      <w:r>
        <w:t xml:space="preserve"> </w:t>
      </w:r>
      <w:r>
        <w:t xml:space="preserve">ordering Parvez et al. [17] reported for basic characters. Without pretraining, a CNN reaches 0.013</w:t>
      </w:r>
      <w:r>
        <w:t xml:space="preserve"> </w:t>
      </w:r>
      <w:r>
        <w:t xml:space="preserve">accuracy on the minority corpus that supplies 27 otherwise-unavailable classes — on a merged corpus</w:t>
      </w:r>
      <w:r>
        <w:t xml:space="preserve"> </w:t>
      </w:r>
      <w:r>
        <w:t xml:space="preserve">of unequal sources, transfer learning is what makes the minority source learnable at all.</w:t>
      </w:r>
    </w:p>
    <w:p>
      <w:pPr>
        <w:pStyle w:val="BodyText"/>
      </w:pPr>
      <w:r>
        <w:rPr>
          <w:b/>
          <w:bCs/>
        </w:rPr>
        <w:t xml:space="preserve">A hybrid architecture, evaluated and not sustained.</w:t>
      </w:r>
      <w:r>
        <w:t xml:space="preserve"> </w:t>
      </w:r>
      <w:r>
        <w:t xml:space="preserve">We include ExtendedViT, which uses an</w:t>
      </w:r>
      <w:r>
        <w:t xml:space="preserve"> </w:t>
      </w:r>
      <w:r>
        <w:t xml:space="preserve">ImageNet-pretrained ResNet18 as a learned tokenizer feeding a Transformer encoder (Section 3.4). A</w:t>
      </w:r>
      <w:r>
        <w:t xml:space="preserve"> </w:t>
      </w:r>
      <w:r>
        <w:t xml:space="preserve">controlled single-corpus sweep over per-class budgets from 50 to 1,000, repeated across seeds, finds</w:t>
      </w:r>
      <w:r>
        <w:t xml:space="preserve"> </w:t>
      </w:r>
      <w:r>
        <w:rPr>
          <w:b/>
          <w:bCs/>
        </w:rPr>
        <w:t xml:space="preserve">no significant accuracy advantage at any budget</w:t>
      </w:r>
      <w:r>
        <w:t xml:space="preserve">; an apparent two-fold calibration advantage</w:t>
      </w:r>
      <w:r>
        <w:t xml:space="preserve"> </w:t>
      </w:r>
      <w:r>
        <w:t xml:space="preserve">proves fully correctable by temperature scaling and is therefore not architectural (Section 5.4). We</w:t>
      </w:r>
      <w:r>
        <w:t xml:space="preserve"> </w:t>
      </w:r>
      <w:r>
        <w:t xml:space="preserve">report it as a baseline rather than a contribution. Its one durable property is efficiency: 17 ms</w:t>
      </w:r>
      <w:r>
        <w:t xml:space="preserve"> </w:t>
      </w:r>
      <w:r>
        <w:t xml:space="preserve">single-image CPU inference against ViT-B/16’s 56 ms, for roughly one accuracy point less.</w:t>
      </w:r>
    </w:p>
    <w:p>
      <w:pPr>
        <w:pStyle w:val="BodyText"/>
      </w:pPr>
      <w:r>
        <w:rPr>
          <w:b/>
          <w:bCs/>
        </w:rPr>
        <w:t xml:space="preserve">Three methodological cautions,</w:t>
      </w:r>
      <w:r>
        <w:t xml:space="preserve"> </w:t>
      </w:r>
      <w:r>
        <w:t xml:space="preserve">each found by attempting to falsify a claim of our own.</w:t>
      </w:r>
      <w:r>
        <w:t xml:space="preserve"> </w:t>
      </w:r>
      <w:r>
        <w:rPr>
          <w:i/>
          <w:iCs/>
        </w:rPr>
        <w:t xml:space="preserve">Initialisation:</w:t>
      </w:r>
      <w:r>
        <w:t xml:space="preserve"> </w:t>
      </w:r>
      <w:r>
        <w:t xml:space="preserve">both pretrained baselines inherited previously trained Bengali weights, routine</w:t>
      </w:r>
      <w:r>
        <w:t xml:space="preserve"> </w:t>
      </w:r>
      <w:r>
        <w:t xml:space="preserve">practice that inflated our equal-budget result by 1.43 points and moved first-epoch validation</w:t>
      </w:r>
      <w:r>
        <w:t xml:space="preserve"> </w:t>
      </w:r>
      <w:r>
        <w:t xml:space="preserve">accuracy from 0.234 to 0.703 (Section 5.8).</w:t>
      </w:r>
      <w:r>
        <w:t xml:space="preserve"> </w:t>
      </w:r>
      <w:r>
        <w:rPr>
          <w:i/>
          <w:iCs/>
        </w:rPr>
        <w:t xml:space="preserve">Macro-F1:</w:t>
      </w:r>
      <w:r>
        <w:t xml:space="preserve"> </w:t>
      </w:r>
      <w:r>
        <w:t xml:space="preserve">on this corpus the rarest classes score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F1, because rarity is confounded with source image quality, so macro-F1 does not measure</w:t>
      </w:r>
      <w:r>
        <w:t xml:space="preserve"> </w:t>
      </w:r>
      <w:r>
        <w:t xml:space="preserve">long-tail performance (Section 5.10).</w:t>
      </w:r>
      <w:r>
        <w:t xml:space="preserve"> </w:t>
      </w:r>
      <w:r>
        <w:rPr>
          <w:i/>
          <w:iCs/>
        </w:rPr>
        <w:t xml:space="preserve">Calibration:</w:t>
      </w:r>
      <w:r>
        <w:t xml:space="preserve"> </w:t>
      </w:r>
      <w:r>
        <w:t xml:space="preserve">architecture-level ECE differences are</w:t>
      </w:r>
      <w:r>
        <w:t xml:space="preserve"> </w:t>
      </w:r>
      <w:r>
        <w:t xml:space="preserve">correctable post hoc and should always be reported temperature-scaled (Section 5.4).</w:t>
      </w:r>
    </w:p>
    <w:p>
      <w:r>
        <w:pict>
          <v:rect style="width:0;height:1.5pt" o:hralign="center" o:hrstd="t" o:hr="t"/>
        </w:pict>
      </w:r>
    </w:p>
    <w:bookmarkEnd w:id="12"/>
    <w:bookmarkStart w:id="14" w:name="literature-review"/>
    <w:p>
      <w:pPr>
        <w:pStyle w:val="Heading2"/>
      </w:pPr>
      <w:r>
        <w:t xml:space="preserve">2. Literature Review</w:t>
      </w:r>
    </w:p>
    <w:p>
      <w:pPr>
        <w:pStyle w:val="BlockText"/>
      </w:pPr>
      <w:r>
        <w:t xml:space="preserve">Insert the existing standalone review here (Sections 2.1–2.10 of</w:t>
      </w:r>
      <w:r>
        <w:t xml:space="preserve"> </w:t>
      </w:r>
      <w:r>
        <w:rPr>
          <w:rStyle w:val="VerbatimChar"/>
        </w:rPr>
        <w:t xml:space="preserve">Literature_Review_Bengali_ViT_Compound_Characters.docx</w:t>
      </w:r>
      <w:r>
        <w:t xml:space="preserve">),</w:t>
      </w:r>
      <w:r>
        <w:t xml:space="preserve"> </w:t>
      </w:r>
      <w:r>
        <w:rPr>
          <w:b/>
          <w:bCs/>
        </w:rPr>
        <w:t xml:space="preserve">plus the new subsection 2.7 drafted</w:t>
      </w:r>
      <w:r>
        <w:rPr>
          <w:b/>
          <w:bCs/>
        </w:rPr>
        <w:t xml:space="preserve"> </w:t>
      </w:r>
      <w:r>
        <w:rPr>
          <w:b/>
          <w:bCs/>
        </w:rPr>
        <w:t xml:space="preserve">below</w:t>
      </w:r>
      <w:r>
        <w:t xml:space="preserve">, renumbering the existing 2.7–2.10 to 2.8–2.11. The existing review covers classical</w:t>
      </w:r>
      <w:r>
        <w:t xml:space="preserve"> </w:t>
      </w:r>
      <w:r>
        <w:t xml:space="preserve">approaches, CNN methods, ViT and transformer approaches, compound-character work, ImageNet</w:t>
      </w:r>
      <w:r>
        <w:t xml:space="preserve"> </w:t>
      </w:r>
      <w:r>
        <w:t xml:space="preserve">transfer learning, benchmark datasets, reported accuracies, and the research gaps. It contains no</w:t>
      </w:r>
      <w:r>
        <w:t xml:space="preserve"> </w:t>
      </w:r>
      <w:r>
        <w:t xml:space="preserve">coverage of cross-dataset evaluation or domain generalisation, which is now this paper’s central</w:t>
      </w:r>
      <w:r>
        <w:t xml:space="preserve"> </w:t>
      </w:r>
      <w:r>
        <w:t xml:space="preserve">finding — hence the addition.</w:t>
      </w:r>
    </w:p>
    <w:bookmarkStart w:id="13" w:name="X111807855793843e81d3ce20ca77994915cdaf4"/>
    <w:p>
      <w:pPr>
        <w:pStyle w:val="Heading3"/>
      </w:pPr>
      <w:r>
        <w:t xml:space="preserve">2.7 Cross-Dataset Evaluation and Domain Generalisation</w:t>
      </w:r>
      <w:r>
        <w:t xml:space="preserve"> </w:t>
      </w:r>
      <w:r>
        <w:rPr>
          <w:i/>
          <w:iCs/>
        </w:rPr>
        <w:t xml:space="preserve">(new subsection to insert)</w:t>
      </w:r>
    </w:p>
    <w:p>
      <w:pPr>
        <w:pStyle w:val="BlockText"/>
      </w:pPr>
      <w:r>
        <w:rPr>
          <w:b/>
          <w:bCs/>
        </w:rPr>
        <w:t xml:space="preserve">Drafting note.</w:t>
      </w:r>
      <w:r>
        <w:t xml:space="preserve"> </w:t>
      </w:r>
      <w:r>
        <w:t xml:space="preserve">Citations marked ⚑ are not in the existing numbered scheme and must be added to</w:t>
      </w:r>
      <w:r>
        <w:t xml:space="preserve"> </w:t>
      </w:r>
      <w:r>
        <w:t xml:space="preserve">the reference list. Verify each against the source before submission; the claims attributed to them</w:t>
      </w:r>
      <w:r>
        <w:t xml:space="preserve"> </w:t>
      </w:r>
      <w:r>
        <w:t xml:space="preserve">are standard in the domain-generalisation literature but the specific numbers should be checked.</w:t>
      </w:r>
    </w:p>
    <w:p>
      <w:pPr>
        <w:pStyle w:val="FirstParagraph"/>
      </w:pPr>
      <w:r>
        <w:t xml:space="preserve">A recurring feature of the Bangla HCR literature is that models are trained and evaluated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a single corpus, with the train/test split drawn from the same collection. Reported accuracies</w:t>
      </w:r>
      <w:r>
        <w:t xml:space="preserve"> </w:t>
      </w:r>
      <w:r>
        <w:t xml:space="preserve">therefore describe within-corpus competence. Several studies do report results across multiple</w:t>
      </w:r>
      <w:r>
        <w:t xml:space="preserve"> </w:t>
      </w:r>
      <w:r>
        <w:t xml:space="preserve">benchmarks — BanglaNet [35] across CMATERdb, BanglaLekha-Isolated and Ekush; CompoundDenseNet [23]</w:t>
      </w:r>
      <w:r>
        <w:t xml:space="preserve"> </w:t>
      </w:r>
      <w:r>
        <w:t xml:space="preserve">across the same three, at 96.2–98.5%; Borno [15] trained on roughly one million images spanning</w:t>
      </w:r>
      <w:r>
        <w:t xml:space="preserve"> </w:t>
      </w:r>
      <w:r>
        <w:t xml:space="preserve">several datasets — but in each case the model is trained and tested on each corpus separately. This</w:t>
      </w:r>
      <w:r>
        <w:t xml:space="preserve"> </w:t>
      </w:r>
      <w:r>
        <w:t xml:space="preserve">is multi-benchmark</w:t>
      </w:r>
      <w:r>
        <w:t xml:space="preserve"> </w:t>
      </w:r>
      <w:r>
        <w:rPr>
          <w:i/>
          <w:iCs/>
        </w:rPr>
        <w:t xml:space="preserve">reporting</w:t>
      </w:r>
      <w:r>
        <w:t xml:space="preserve">, not a test of transfer: it establishes that an architecture works on</w:t>
      </w:r>
      <w:r>
        <w:t xml:space="preserve"> </w:t>
      </w:r>
      <w:r>
        <w:t xml:space="preserve">several datasets when trained on each, not that a model trained on one generalises to another.</w:t>
      </w:r>
    </w:p>
    <w:p>
      <w:pPr>
        <w:pStyle w:val="BodyText"/>
      </w:pPr>
      <w:r>
        <w:t xml:space="preserve">Genuine held-out-corpus evaluation is rare. The clearest instance in the reviewed literature is</w:t>
      </w:r>
      <w:r>
        <w:t xml:space="preserve"> </w:t>
      </w:r>
      <w:r>
        <w:t xml:space="preserve">Raquib et al. [25], who train on their own 78-class dataset and evaluate on the external CHBCR</w:t>
      </w:r>
      <w:r>
        <w:t xml:space="preserve"> </w:t>
      </w:r>
      <w:r>
        <w:t xml:space="preserve">benchmark, reporting 96.49% against 98.84% in-domain — a drop of roughly two points, which would</w:t>
      </w:r>
      <w:r>
        <w:t xml:space="preserve"> </w:t>
      </w:r>
      <w:r>
        <w:t xml:space="preserve">suggest that cross-dataset transfer is largely intact. We are not aware of a systematic</w:t>
      </w:r>
      <w:r>
        <w:t xml:space="preserve"> </w:t>
      </w:r>
      <w:r>
        <w:t xml:space="preserve">train-on-one, test-on-another study across the major Bangla isolated-character corpora, and Section</w:t>
      </w:r>
      <w:r>
        <w:t xml:space="preserve"> </w:t>
      </w:r>
      <w:r>
        <w:t xml:space="preserve">5.5 of this paper reports a substantially different picture when one is run.</w:t>
      </w:r>
    </w:p>
    <w:p>
      <w:pPr>
        <w:pStyle w:val="BodyText"/>
      </w:pPr>
      <w:r>
        <w:t xml:space="preserve">The wider computer-vision literature has long held that dataset-specific bias inflates within-dataset</w:t>
      </w:r>
      <w:r>
        <w:t xml:space="preserve"> </w:t>
      </w:r>
      <w:r>
        <w:t xml:space="preserve">performance. Torralba and Efros ⚑ showed that a classifier can identify which of several standard</w:t>
      </w:r>
      <w:r>
        <w:t xml:space="preserve"> </w:t>
      </w:r>
      <w:r>
        <w:t xml:space="preserve">datasets an image came from with high accuracy — a direct demonstration that datasets carry</w:t>
      </w:r>
      <w:r>
        <w:t xml:space="preserve"> </w:t>
      </w:r>
      <w:r>
        <w:t xml:space="preserve">signatures unrelated to their nominal content — and that models trained on one dataset degrade</w:t>
      </w:r>
      <w:r>
        <w:t xml:space="preserve"> </w:t>
      </w:r>
      <w:r>
        <w:t xml:space="preserve">markedly when evaluated on another purporting to cover the same categories. Recht et al. ⚑ found</w:t>
      </w:r>
      <w:r>
        <w:t xml:space="preserve"> </w:t>
      </w:r>
      <w:r>
        <w:t xml:space="preserve">measurable accuracy drops for ImageNet classifiers on a newly collected test set constructed to</w:t>
      </w:r>
      <w:r>
        <w:t xml:space="preserve"> </w:t>
      </w:r>
      <w:r>
        <w:t xml:space="preserve">follow the original protocol, indicating that even careful replication of a collection procedure</w:t>
      </w:r>
      <w:r>
        <w:t xml:space="preserve"> </w:t>
      </w:r>
      <w:r>
        <w:t xml:space="preserve">shifts the distribution. Domain adaptation theory ⚑ formalises this: generalisation error on a</w:t>
      </w:r>
      <w:r>
        <w:t xml:space="preserve"> </w:t>
      </w:r>
      <w:r>
        <w:t xml:space="preserve">target domain is bounded by source error plus a divergence term between the domains, so arbitrarily</w:t>
      </w:r>
      <w:r>
        <w:t xml:space="preserve"> </w:t>
      </w:r>
      <w:r>
        <w:t xml:space="preserve">low source error does not constrain target error when the divergence is large.</w:t>
      </w:r>
    </w:p>
    <w:p>
      <w:pPr>
        <w:pStyle w:val="BodyText"/>
      </w:pPr>
      <w:r>
        <w:t xml:space="preserve">For handwriting specifically the sources of divergence are concrete and well understood: capture</w:t>
      </w:r>
      <w:r>
        <w:t xml:space="preserve"> </w:t>
      </w:r>
      <w:r>
        <w:t xml:space="preserve">device and resolution, binarisation and ink polarity, writing instrument, paper, and — most</w:t>
      </w:r>
      <w:r>
        <w:t xml:space="preserve"> </w:t>
      </w:r>
      <w:r>
        <w:t xml:space="preserve">importantly — the writer population, since each corpus recruits a distinct set of contributors with</w:t>
      </w:r>
      <w:r>
        <w:t xml:space="preserve"> </w:t>
      </w:r>
      <w:r>
        <w:t xml:space="preserve">their own regional and generational script conventions. Section 3.2 documents exactly these</w:t>
      </w:r>
      <w:r>
        <w:t xml:space="preserve"> </w:t>
      </w:r>
      <w:r>
        <w:t xml:space="preserve">differences among the three corpora merged here: RAS-Compound stores high-resolution binarised</w:t>
      </w:r>
      <w:r>
        <w:t xml:space="preserve"> </w:t>
      </w:r>
      <w:r>
        <w:t xml:space="preserve">white-on-black glyphs, Ekush is natively 28×28, and MatriVasha is black-on-white.</w:t>
      </w:r>
    </w:p>
    <w:p>
      <w:pPr>
        <w:pStyle w:val="BodyText"/>
      </w:pPr>
      <w:r>
        <w:t xml:space="preserve">The gap this identifies is therefore methodological rather than architectural. If within-corpus</w:t>
      </w:r>
      <w:r>
        <w:t xml:space="preserve"> </w:t>
      </w:r>
      <w:r>
        <w:t xml:space="preserve">accuracy is the field’s only reported metric, and if that metric substantially overstates</w:t>
      </w:r>
      <w:r>
        <w:t xml:space="preserve"> </w:t>
      </w:r>
      <w:r>
        <w:t xml:space="preserve">performance on newly collected handwriting, then a decade of reported improvements may partly</w:t>
      </w:r>
      <w:r>
        <w:t xml:space="preserve"> </w:t>
      </w:r>
      <w:r>
        <w:t xml:space="preserve">reflect increasingly effective fitting of corpus-specific signatures. Establishing whether this is</w:t>
      </w:r>
      <w:r>
        <w:t xml:space="preserve"> </w:t>
      </w:r>
      <w:r>
        <w:t xml:space="preserve">so requires held-out-corpus evaluation as a standard protocol, which — to our knowledge — has not</w:t>
      </w:r>
      <w:r>
        <w:t xml:space="preserve"> </w:t>
      </w:r>
      <w:r>
        <w:t xml:space="preserve">been systematically applied to Bangla compound characters. That is the gap Section 5.5 addresses.</w:t>
      </w:r>
    </w:p>
    <w:p>
      <w:pPr>
        <w:pStyle w:val="BlockText"/>
      </w:pPr>
      <w:r>
        <w:rPr>
          <w:b/>
          <w:bCs/>
        </w:rPr>
        <w:t xml:space="preserve">Add to Section 2.9 (Research Gaps), as a seventh gap:</w:t>
      </w:r>
      <w:r>
        <w:t xml:space="preserve"> </w:t>
      </w:r>
      <w:r>
        <w:rPr>
          <w:i/>
          <w:iCs/>
        </w:rPr>
        <w:t xml:space="preserve">No systematic cross-corpus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exists for Bangla handwritten characters.</w:t>
      </w:r>
      <w:r>
        <w:t xml:space="preserve"> </w:t>
      </w:r>
      <w:r>
        <w:t xml:space="preserve">Multi-benchmark reporting is common, but</w:t>
      </w:r>
      <w:r>
        <w:t xml:space="preserve"> </w:t>
      </w:r>
      <w:r>
        <w:t xml:space="preserve">train-on-one/test-on-another transfer is essentially unmeasured, leaving open whether reported</w:t>
      </w:r>
      <w:r>
        <w:t xml:space="preserve"> </w:t>
      </w:r>
      <w:r>
        <w:t xml:space="preserve">accuracies reflect character recognition or corpus familiarity.</w:t>
      </w:r>
    </w:p>
    <w:p>
      <w:pPr>
        <w:pStyle w:val="FirstParagraph"/>
      </w:pPr>
      <w:r>
        <w:t xml:space="preserve">Two points from that review bear directly on the design that follows and are worth restating here.</w:t>
      </w:r>
      <w:r>
        <w:t xml:space="preserve"> </w:t>
      </w:r>
      <w:r>
        <w:t xml:space="preserve">Dosovitskiy et al. [22] show that ViT trails a comparably sized ResNet when trained on ImageNet-1k</w:t>
      </w:r>
      <w:r>
        <w:t xml:space="preserve"> </w:t>
      </w:r>
      <w:r>
        <w:t xml:space="preserve">alone, becomes comparable with ImageNet-21k pretraining, and only surpasses it at JFT-300M scale —</w:t>
      </w:r>
      <w:r>
        <w:t xml:space="preserve"> </w:t>
      </w:r>
      <w:r>
        <w:t xml:space="preserve">“large-scale pretraining trumps inductive bias.”</w:t>
      </w:r>
      <w:r>
        <w:t xml:space="preserve"> </w:t>
      </w:r>
      <w:r>
        <w:t xml:space="preserve">For a low-resource script, the corollary is that a</w:t>
      </w:r>
      <w:r>
        <w:t xml:space="preserve"> </w:t>
      </w:r>
      <w:r>
        <w:t xml:space="preserve">pure ViT is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favourable architecture unless a strong prior is supplied externally. And the</w:t>
      </w:r>
      <w:r>
        <w:t xml:space="preserve"> </w:t>
      </w:r>
      <w:r>
        <w:t xml:space="preserve">hybrid designs that do exist for Bengali — ResViT [19], the EfficientNetB3–ViT–Conformer of Raquib et</w:t>
      </w:r>
      <w:r>
        <w:t xml:space="preserve"> </w:t>
      </w:r>
      <w:r>
        <w:t xml:space="preserve">al. [25] — combine CNN and transformer branches</w:t>
      </w:r>
      <w:r>
        <w:t xml:space="preserve"> </w:t>
      </w:r>
      <w:r>
        <w:rPr>
          <w:i/>
          <w:iCs/>
        </w:rPr>
        <w:t xml:space="preserve">in parallel</w:t>
      </w:r>
      <w:r>
        <w:t xml:space="preserve"> </w:t>
      </w:r>
      <w:r>
        <w:t xml:space="preserve">and fuse their outputs. ExtendedViT</w:t>
      </w:r>
      <w:r>
        <w:t xml:space="preserve"> </w:t>
      </w:r>
      <w:r>
        <w:t xml:space="preserve">instead composes them</w:t>
      </w:r>
      <w:r>
        <w:t xml:space="preserve"> </w:t>
      </w:r>
      <w:r>
        <w:rPr>
          <w:i/>
          <w:iCs/>
        </w:rPr>
        <w:t xml:space="preserve">serially</w:t>
      </w:r>
      <w:r>
        <w:t xml:space="preserve">, using convolution to produce the token sequence that attention then</w:t>
      </w:r>
      <w:r>
        <w:t xml:space="preserve"> </w:t>
      </w:r>
      <w:r>
        <w:t xml:space="preserve">operates over, which is the hybrid variant described in the original ViT paper’s appendix but not</w:t>
      </w:r>
      <w:r>
        <w:t xml:space="preserve"> </w:t>
      </w:r>
      <w:r>
        <w:t xml:space="preserve">previously evaluated on this script.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6" w:name="methodology"/>
    <w:p>
      <w:pPr>
        <w:pStyle w:val="Heading2"/>
      </w:pPr>
      <w:r>
        <w:t xml:space="preserve">3. Methodology</w:t>
      </w:r>
    </w:p>
    <w:bookmarkStart w:id="18" w:name="overall-workflow"/>
    <w:p>
      <w:pPr>
        <w:pStyle w:val="Heading3"/>
      </w:pPr>
      <w:r>
        <w:t xml:space="preserve">3.1 Overall Workflow</w:t>
      </w:r>
    </w:p>
    <w:p>
      <w:pPr>
        <w:pStyle w:val="FirstParagraph"/>
      </w:pPr>
      <w:r>
        <w:rPr>
          <w:b/>
          <w:bCs/>
        </w:rPr>
        <w:t xml:space="preserve">Figure 1</w:t>
      </w:r>
      <w:r>
        <w:t xml:space="preserve"> </w:t>
      </w:r>
      <w:r>
        <w:t xml:space="preserve">(</w:t>
      </w:r>
      <w:r>
        <w:rPr>
          <w:rStyle w:val="VerbatimChar"/>
        </w:rPr>
        <w:t xml:space="preserve">fig1_workflow.png</w:t>
      </w:r>
      <w:r>
        <w:t xml:space="preserve">) shows the end-to-end pipeline: three source corpora →</w:t>
      </w:r>
      <w:r>
        <w:t xml:space="preserve"> </w:t>
      </w:r>
      <w:r>
        <w:t xml:space="preserve">grapheme-level label reconciliation → unified 256-class manifest → stratified split → polarity</w:t>
      </w:r>
      <w:r>
        <w:t xml:space="preserve"> </w:t>
      </w:r>
      <w:r>
        <w:t xml:space="preserve">normalisation and augmentation → four architectures trained under an identical protocol →</w:t>
      </w:r>
      <w:r>
        <w:t xml:space="preserve"> </w:t>
      </w:r>
      <w:r>
        <w:t xml:space="preserve">evaluation on one shared test set.</w:t>
      </w:r>
    </w:p>
    <w:p>
      <w:pPr>
        <w:pStyle w:val="CaptionedFigure"/>
      </w:pPr>
      <w:r>
        <w:drawing>
          <wp:inline>
            <wp:extent cx="5334000" cy="3251122"/>
            <wp:effectExtent b="0" l="0" r="0" t="0"/>
            <wp:docPr descr="Figure 1. Overall workflow: three corpora, grapheme-level label reconciliation, one shared split, four architectures, one test set." title="" id="16" name="Picture"/>
            <a:graphic>
              <a:graphicData uri="http://schemas.openxmlformats.org/drawingml/2006/picture">
                <pic:pic>
                  <pic:nvPicPr>
                    <pic:cNvPr descr="fig1_workflo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Overall workflow: three corpora, grapheme-level label reconciliation, one shared split, four architectures, one test set.</w:t>
      </w:r>
    </w:p>
    <w:p>
      <w:pPr>
        <w:pStyle w:val="BodyText"/>
      </w:pPr>
      <w:r>
        <w:t xml:space="preserve">The pipeline is deliberately organised so that every architecture consumes byte-identical data.</w:t>
      </w:r>
      <w:r>
        <w:t xml:space="preserve"> </w:t>
      </w:r>
      <w:r>
        <w:t xml:space="preserve">Dataset scanning, label reconciliation, splitting, and image transformation are implemented once and</w:t>
      </w:r>
      <w:r>
        <w:t xml:space="preserve"> </w:t>
      </w:r>
      <w:r>
        <w:t xml:space="preserve">shared; the architecture is the only variable that changes between runs. This matters because the</w:t>
      </w:r>
      <w:r>
        <w:t xml:space="preserve"> </w:t>
      </w:r>
      <w:r>
        <w:t xml:space="preserve">comparison in Section 6 turns on differences of one to two accuracy points, which are easily</w:t>
      </w:r>
      <w:r>
        <w:t xml:space="preserve"> </w:t>
      </w:r>
      <w:r>
        <w:t xml:space="preserve">manufactured by an inconsistent split.</w:t>
      </w:r>
    </w:p>
    <w:bookmarkEnd w:id="18"/>
    <w:bookmarkStart w:id="25" w:name="dataset"/>
    <w:p>
      <w:pPr>
        <w:pStyle w:val="Heading3"/>
      </w:pPr>
      <w:r>
        <w:t xml:space="preserve">3.2 Dataset</w:t>
      </w:r>
    </w:p>
    <w:p>
      <w:pPr>
        <w:pStyle w:val="FirstParagraph"/>
      </w:pPr>
      <w:r>
        <w:t xml:space="preserve">We combine three corpora.</w:t>
      </w:r>
      <w:r>
        <w:t xml:space="preserve"> </w:t>
      </w:r>
      <w:r>
        <w:rPr>
          <w:b/>
          <w:bCs/>
        </w:rPr>
        <w:t xml:space="preserve">RAS-Compound</w:t>
      </w:r>
      <w:r>
        <w:t xml:space="preserve"> </w:t>
      </w:r>
      <w:r>
        <w:t xml:space="preserve">is a small, purpose-built compound-character set.</w:t>
      </w:r>
      <w:r>
        <w:t xml:space="preserve"> </w:t>
      </w:r>
      <w:r>
        <w:rPr>
          <w:b/>
          <w:bCs/>
        </w:rPr>
        <w:t xml:space="preserve">Ekush</w:t>
      </w:r>
      <w:r>
        <w:t xml:space="preserve"> </w:t>
      </w:r>
      <w:r>
        <w:t xml:space="preserve">[Rabby et al., 2018] is among the largest isolated Bengali character collections, gathered</w:t>
      </w:r>
      <w:r>
        <w:t xml:space="preserve"> </w:t>
      </w:r>
      <w:r>
        <w:t xml:space="preserve">from 3,086 writers.</w:t>
      </w:r>
      <w:r>
        <w:t xml:space="preserve"> </w:t>
      </w:r>
      <w:r>
        <w:rPr>
          <w:b/>
          <w:bCs/>
        </w:rPr>
        <w:t xml:space="preserve">MatriVasha</w:t>
      </w:r>
      <w:r>
        <w:t xml:space="preserve"> </w:t>
      </w:r>
      <w:r>
        <w:t xml:space="preserve">is a compound-character corpus collected with per-writer gender</w:t>
      </w:r>
      <w:r>
        <w:t xml:space="preserve"> </w:t>
      </w:r>
      <w:r>
        <w:t xml:space="preserve">metadata, which we do not use as a label but which contributes writer diversity.</w:t>
      </w:r>
    </w:p>
    <w:p>
      <w:pPr>
        <w:pStyle w:val="BodyText"/>
      </w:pPr>
      <w:r>
        <w:rPr>
          <w:b/>
          <w:bCs/>
        </w:rPr>
        <w:t xml:space="preserve">Table 1. Composition of the unified corpus.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Classes unique to this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images/class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RAS-Compound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MatriVasha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306,461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681,309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2,661</w:t>
            </w:r>
          </w:p>
        </w:tc>
      </w:tr>
    </w:tbl>
    <w:p>
      <w:pPr>
        <w:pStyle w:val="BodyText"/>
      </w:pPr>
      <w:r>
        <w:t xml:space="preserve">Class inventories overlap only partially: 37 classes are shared between RAS-Compound and Ekush, 58</w:t>
      </w:r>
      <w:r>
        <w:t xml:space="preserve"> </w:t>
      </w:r>
      <w:r>
        <w:t xml:space="preserve">between RAS-Compound and MatriVasha, 8 between Ekush and MatriVasha, and just 3 appear in all three.</w:t>
      </w:r>
      <w:r>
        <w:t xml:space="preserve"> </w:t>
      </w:r>
      <w:r>
        <w:t xml:space="preserve">159 of the 256 classes are contributed by exactly one source. The merge is therefore not a</w:t>
      </w:r>
      <w:r>
        <w:t xml:space="preserve"> </w:t>
      </w:r>
      <w:r>
        <w:t xml:space="preserve">redundant enlargement of an existing set — it materially extends class coverage, which is the</w:t>
      </w:r>
      <w:r>
        <w:t xml:space="preserve"> </w:t>
      </w:r>
      <w:r>
        <w:t xml:space="preserve">stated need in the compound-character literature [23].</w:t>
      </w:r>
    </w:p>
    <w:p>
      <w:pPr>
        <w:pStyle w:val="BodyText"/>
      </w:pPr>
      <w:r>
        <w:rPr>
          <w:b/>
          <w:bCs/>
        </w:rPr>
        <w:t xml:space="preserve">Label reconciliation.</w:t>
      </w:r>
      <w:r>
        <w:t xml:space="preserve"> </w:t>
      </w:r>
      <w:r>
        <w:t xml:space="preserve">Each source indexes its classes by a local folder number whose meaning is</w:t>
      </w:r>
      <w:r>
        <w:t xml:space="preserve"> </w:t>
      </w:r>
      <w:r>
        <w:t xml:space="preserve">defined only by that project’s own mapping file. Merging on folder index would conflate unrelated</w:t>
      </w:r>
      <w:r>
        <w:t xml:space="preserve"> </w:t>
      </w:r>
      <w:r>
        <w:t xml:space="preserve">characters. We instead resolve every folder to its Bengali grapheme via the source’s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ras_class_mapping.csv</w:t>
      </w:r>
      <w:r>
        <w:t xml:space="preserve">, Ekush’s</w:t>
      </w:r>
      <w:r>
        <w:t xml:space="preserve"> </w:t>
      </w:r>
      <w:r>
        <w:rPr>
          <w:rStyle w:val="VerbatimChar"/>
        </w:rPr>
        <w:t xml:space="preserve">metaData_img.csv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matrivasha_mapping.csv</w:t>
      </w:r>
      <w:r>
        <w:t xml:space="preserve">), apply Unicode NFC</w:t>
      </w:r>
      <w:r>
        <w:t xml:space="preserve"> </w:t>
      </w:r>
      <w:r>
        <w:t xml:space="preserve">normalisation, and take the union of the resulting grapheme set as the label space. NFC matters</w:t>
      </w:r>
      <w:r>
        <w:t xml:space="preserve"> </w:t>
      </w:r>
      <w:r>
        <w:t xml:space="preserve">because the same conjunct may be encoded with different code-point sequences across projects; without</w:t>
      </w:r>
      <w:r>
        <w:t xml:space="preserve"> </w:t>
      </w:r>
      <w:r>
        <w:t xml:space="preserve">normalisation, visually and semantically identical characters would occupy separate classes.</w:t>
      </w:r>
    </w:p>
    <w:p>
      <w:pPr>
        <w:pStyle w:val="BodyText"/>
      </w:pPr>
      <w:r>
        <w:rPr>
          <w:b/>
          <w:bCs/>
        </w:rPr>
        <w:t xml:space="preserve">Figure 2</w:t>
      </w:r>
      <w:r>
        <w:t xml:space="preserve"> </w:t>
      </w:r>
      <w:r>
        <w:t xml:space="preserve">(</w:t>
      </w:r>
      <w:r>
        <w:rPr>
          <w:rStyle w:val="VerbatimChar"/>
        </w:rPr>
        <w:t xml:space="preserve">fig2_dataset.png</w:t>
      </w:r>
      <w:r>
        <w:t xml:space="preserve">) shows (a) the sorted per-class frequency curve on a log axis and</w:t>
      </w:r>
      <w:r>
        <w:t xml:space="preserve"> </w:t>
      </w:r>
      <w:r>
        <w:t xml:space="preserve">(b) the relative contribution of each source.</w:t>
      </w:r>
      <w:r>
        <w:t xml:space="preserve"> </w:t>
      </w:r>
      <w:r>
        <w:rPr>
          <w:b/>
          <w:bCs/>
        </w:rPr>
        <w:t xml:space="preserve">Figure 4</w:t>
      </w:r>
      <w:r>
        <w:t xml:space="preserve"> </w:t>
      </w:r>
      <w:r>
        <w:t xml:space="preserve">(</w:t>
      </w:r>
      <w:r>
        <w:rPr>
          <w:rStyle w:val="VerbatimChar"/>
        </w:rPr>
        <w:t xml:space="preserve">fig4_samples.png</w:t>
      </w:r>
      <w:r>
        <w:t xml:space="preserve">) shows the same three</w:t>
      </w:r>
      <w:r>
        <w:t xml:space="preserve"> </w:t>
      </w:r>
      <w:r>
        <w:t xml:space="preserve">characters as collected by each corpus, and makes the heterogeneity concrete: RAS-Compound stores</w:t>
      </w:r>
      <w:r>
        <w:t xml:space="preserve"> </w:t>
      </w:r>
      <w:r>
        <w:t xml:space="preserve">high-resolution white-on-black binarised glyphs, Ekush is natively 28×28 and visibly pixelated when</w:t>
      </w:r>
      <w:r>
        <w:t xml:space="preserve"> </w:t>
      </w:r>
      <w:r>
        <w:t xml:space="preserve">upsampled, and MatriVasha is</w:t>
      </w:r>
      <w:r>
        <w:t xml:space="preserve"> </w:t>
      </w:r>
      <w:r>
        <w:rPr>
          <w:b/>
          <w:bCs/>
        </w:rPr>
        <w:t xml:space="preserve">black-on-white</w:t>
      </w:r>
      <w:r>
        <w:t xml:space="preserve"> </w:t>
      </w:r>
      <w:r>
        <w:t xml:space="preserve">— the opposite ink polarity. Any merge of these three</w:t>
      </w:r>
      <w:r>
        <w:t xml:space="preserve"> </w:t>
      </w:r>
      <w:r>
        <w:t xml:space="preserve">must reconcile that variation before a single model can consume them, which is the subject of the</w:t>
      </w:r>
      <w:r>
        <w:t xml:space="preserve"> </w:t>
      </w:r>
      <w:r>
        <w:t xml:space="preserve">next section.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Figure 2. Dataset composition. (a) Per-class frequency, log scale. (b) Images contributed by each corpus." title="" id="20" name="Picture"/>
            <a:graphic>
              <a:graphicData uri="http://schemas.openxmlformats.org/drawingml/2006/picture">
                <pic:pic>
                  <pic:nvPicPr>
                    <pic:cNvPr descr="fig2_datase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Dataset composition. (a) Per-class frequency, log scale. (b) Images contributed by each corpus.</w:t>
      </w:r>
    </w:p>
    <w:p>
      <w:pPr>
        <w:pStyle w:val="CaptionedFigure"/>
      </w:pPr>
      <w:r>
        <w:drawing>
          <wp:inline>
            <wp:extent cx="4273326" cy="4594974"/>
            <wp:effectExtent b="0" l="0" r="0" t="0"/>
            <wp:docPr descr="Figure 4. The same three characters as collected by each corpus. Note the resolution difference and MatriVasha’s inverted ink polarity." title="" id="23" name="Picture"/>
            <a:graphic>
              <a:graphicData uri="http://schemas.openxmlformats.org/drawingml/2006/picture">
                <pic:pic>
                  <pic:nvPicPr>
                    <pic:cNvPr descr="fig4_sampl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326" cy="459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The same three characters as collected by each corpus. Note the resolution difference and MatriVasha’s inverted ink polarity.</w:t>
      </w:r>
    </w:p>
    <w:p>
      <w:pPr>
        <w:pStyle w:val="BodyText"/>
      </w:pPr>
      <w:r>
        <w:rPr>
          <w:b/>
          <w:bCs/>
        </w:rPr>
        <w:t xml:space="preserve">Class imbalance.</w:t>
      </w:r>
      <w:r>
        <w:t xml:space="preserve"> </w:t>
      </w:r>
      <w:r>
        <w:t xml:space="preserve">Class frequencies range from 59 to 5,740 images with a median of 2,636. The</w:t>
      </w:r>
      <w:r>
        <w:t xml:space="preserve"> </w:t>
      </w:r>
      <w:r>
        <w:t xml:space="preserve">distribution is not Zipfian, as might be expected from natural Bengali text frequency [33], but</w:t>
      </w:r>
      <w:r>
        <w:t xml:space="preserve"> </w:t>
      </w:r>
      <w:r>
        <w:t xml:space="preserve">sharply</w:t>
      </w:r>
      <w:r>
        <w:t xml:space="preserve"> </w:t>
      </w:r>
      <w:r>
        <w:rPr>
          <w:i/>
          <w:iCs/>
        </w:rPr>
        <w:t xml:space="preserve">bimodal</w:t>
      </w:r>
      <w:r>
        <w:t xml:space="preserve">: 229 classes form a broad, comparatively flat body between roughly 2,000 and 5,700</w:t>
      </w:r>
      <w:r>
        <w:t xml:space="preserve"> </w:t>
      </w:r>
      <w:r>
        <w:t xml:space="preserve">samples, and the remaining 27 fall off a cliff to fewer than 100 (Figure 2a). Those 27 are exactly</w:t>
      </w:r>
      <w:r>
        <w:t xml:space="preserve"> </w:t>
      </w:r>
      <w:r>
        <w:t xml:space="preserve">the classes contributed uniquely by RAS-Compound, whose 7,830 images spread across 119 classes</w:t>
      </w:r>
      <w:r>
        <w:t xml:space="preserve"> </w:t>
      </w:r>
      <w:r>
        <w:t xml:space="preserve">average only 66 per class.</w:t>
      </w:r>
    </w:p>
    <w:p>
      <w:pPr>
        <w:pStyle w:val="BodyText"/>
      </w:pPr>
      <w:r>
        <w:rPr>
          <w:b/>
          <w:bCs/>
        </w:rPr>
        <w:t xml:space="preserve">The imbalance is an artifact of source size, not of character frequency.</w:t>
      </w:r>
      <w:r>
        <w:t xml:space="preserve"> </w:t>
      </w:r>
      <w:r>
        <w:t xml:space="preserve">Each corpus is</w:t>
      </w:r>
      <w:r>
        <w:t xml:space="preserve"> </w:t>
      </w:r>
      <w:r>
        <w:t xml:space="preserve">internally near-balanced: within Ekush, per-class counts run from 514 to 4,067 with an interquartile</w:t>
      </w:r>
      <w:r>
        <w:t xml:space="preserve"> </w:t>
      </w:r>
      <w:r>
        <w:t xml:space="preserve">range of just 3,056–3,079; within MatriVasha, 2,548–2,563; within RAS-Compound, a uniform 34–70. The</w:t>
      </w:r>
      <w:r>
        <w:t xml:space="preserve"> </w:t>
      </w:r>
      <w:r>
        <w:t xml:space="preserve">bimodality in Figure 2(a) therefore arises entirely from RAS-Compound being a small collection</w:t>
      </w:r>
      <w:r>
        <w:t xml:space="preserve"> </w:t>
      </w:r>
      <w:r>
        <w:t xml:space="preserve">(≈67 images per class) whose 27 unique classes no other corpus supplies — not from those conjuncts</w:t>
      </w:r>
      <w:r>
        <w:t xml:space="preserve"> </w:t>
      </w:r>
      <w:r>
        <w:t xml:space="preserve">being intrinsically rarer in written Bengali.</w:t>
      </w:r>
    </w:p>
    <w:p>
      <w:pPr>
        <w:pStyle w:val="BodyText"/>
      </w:pPr>
      <w:r>
        <w:t xml:space="preserve">This distinction matters for interpreting any per-class result. Because class rarity and source</w:t>
      </w:r>
      <w:r>
        <w:t xml:space="preserve"> </w:t>
      </w:r>
      <w:r>
        <w:t xml:space="preserve">identity are perfectly confounded in this corpus — every low-frequency class is a RAS-Compound class,</w:t>
      </w:r>
      <w:r>
        <w:t xml:space="preserve"> </w:t>
      </w:r>
      <w:r>
        <w:t xml:space="preserve">and RAS-Compound has a distinctive image convention (high-resolution, cleanly binarised) — a model</w:t>
      </w:r>
      <w:r>
        <w:t xml:space="preserve"> </w:t>
      </w:r>
      <w:r>
        <w:t xml:space="preserve">that performs better on rare classes cannot be shown to handle</w:t>
      </w:r>
      <w:r>
        <w:t xml:space="preserve"> </w:t>
      </w:r>
      <w:r>
        <w:rPr>
          <w:i/>
          <w:iCs/>
        </w:rPr>
        <w:t xml:space="preserve">rarity</w:t>
      </w:r>
      <w:r>
        <w:t xml:space="preserve"> </w:t>
      </w:r>
      <w:r>
        <w:t xml:space="preserve">better rather than simply</w:t>
      </w:r>
      <w:r>
        <w:t xml:space="preserve"> </w:t>
      </w:r>
      <w:r>
        <w:t xml:space="preserve">handling</w:t>
      </w:r>
      <w:r>
        <w:t xml:space="preserve"> </w:t>
      </w:r>
      <w:r>
        <w:rPr>
          <w:i/>
          <w:iCs/>
        </w:rPr>
        <w:t xml:space="preserve">that corpus’s image style</w:t>
      </w:r>
      <w:r>
        <w:t xml:space="preserve"> </w:t>
      </w:r>
      <w:r>
        <w:t xml:space="preserve">better. We therefore do not claim rare-class advantage for any</w:t>
      </w:r>
      <w:r>
        <w:t xml:space="preserve"> </w:t>
      </w:r>
      <w:r>
        <w:t xml:space="preserve">architecture, and we report macro-averaged F1 alongside accuracy as a descriptive statistic rather</w:t>
      </w:r>
      <w:r>
        <w:t xml:space="preserve"> </w:t>
      </w:r>
      <w:r>
        <w:t xml:space="preserve">than as evidence about the long tail. Establishing genuine data-efficiency behaviour requires</w:t>
      </w:r>
      <w:r>
        <w:t xml:space="preserve"> </w:t>
      </w:r>
      <w:r>
        <w:t xml:space="preserve">controlled subsampling within a single source (Section 7).</w:t>
      </w:r>
    </w:p>
    <w:bookmarkEnd w:id="25"/>
    <w:bookmarkStart w:id="29" w:name="preprocessing-and-data-splitting"/>
    <w:p>
      <w:pPr>
        <w:pStyle w:val="Heading3"/>
      </w:pPr>
      <w:r>
        <w:t xml:space="preserve">3.3 Preprocessing and Data Splitting</w:t>
      </w:r>
    </w:p>
    <w:p>
      <w:pPr>
        <w:pStyle w:val="FirstParagraph"/>
      </w:pPr>
      <w:r>
        <w:rPr>
          <w:b/>
          <w:bCs/>
        </w:rPr>
        <w:t xml:space="preserve">Polarity normalisation.</w:t>
      </w:r>
      <w:r>
        <w:t xml:space="preserve"> </w:t>
      </w:r>
      <w:r>
        <w:t xml:space="preserve">As Figure 4 shows, the three sources do not agree on ink polarity:</w:t>
      </w:r>
      <w:r>
        <w:t xml:space="preserve"> </w:t>
      </w:r>
      <w:r>
        <w:t xml:space="preserve">RAS-Compound and Ekush store light ink on a dark ground, MatriVasha the inverse. Left unaddressed,</w:t>
      </w:r>
      <w:r>
        <w:t xml:space="preserve"> </w:t>
      </w:r>
      <w:r>
        <w:t xml:space="preserve">the same character would present to the network as two different visual patterns depending on its</w:t>
      </w:r>
      <w:r>
        <w:t xml:space="preserve"> </w:t>
      </w:r>
      <w:r>
        <w:t xml:space="preserve">source, and the model would be forced to learn each convention separately. We normalise by comparing</w:t>
      </w:r>
      <w:r>
        <w:t xml:space="preserve"> </w:t>
      </w:r>
      <w:r>
        <w:t xml:space="preserve">the mean intensity of the image border against the global mean and inverting when the border is</w:t>
      </w:r>
      <w:r>
        <w:t xml:space="preserve"> </w:t>
      </w:r>
      <w:r>
        <w:t xml:space="preserve">brighter, which yields bright ink on a dark ground regardless of source convention. This is applied</w:t>
      </w:r>
      <w:r>
        <w:t xml:space="preserve"> </w:t>
      </w:r>
      <w:r>
        <w:t xml:space="preserve">before all other transformations.</w:t>
      </w:r>
      <w:r>
        <w:t xml:space="preserve"> </w:t>
      </w:r>
      <w:r>
        <w:rPr>
          <w:b/>
          <w:bCs/>
        </w:rPr>
        <w:t xml:space="preserve">Figure 5</w:t>
      </w:r>
      <w:r>
        <w:t xml:space="preserve"> </w:t>
      </w:r>
      <w:r>
        <w:t xml:space="preserve">(</w:t>
      </w:r>
      <w:r>
        <w:rPr>
          <w:rStyle w:val="VerbatimChar"/>
        </w:rPr>
        <w:t xml:space="preserve">fig5_preprocessing.png</w:t>
      </w:r>
      <w:r>
        <w:t xml:space="preserve">) traces one glyph per source</w:t>
      </w:r>
      <w:r>
        <w:t xml:space="preserve"> </w:t>
      </w:r>
      <w:r>
        <w:t xml:space="preserve">through normalisation and three augmentation draws; the MatriVasha row shows the inversion taking</w:t>
      </w:r>
      <w:r>
        <w:t xml:space="preserve"> </w:t>
      </w:r>
      <w:r>
        <w:t xml:space="preserve">effect.</w:t>
      </w:r>
    </w:p>
    <w:p>
      <w:pPr>
        <w:pStyle w:val="CaptionedFigure"/>
      </w:pPr>
      <w:r>
        <w:drawing>
          <wp:inline>
            <wp:extent cx="5334000" cy="3501059"/>
            <wp:effectExtent b="0" l="0" r="0" t="0"/>
            <wp:docPr descr="Figure 5. One glyph per corpus through polarity normalisation and three augmentation draws." title="" id="27" name="Picture"/>
            <a:graphic>
              <a:graphicData uri="http://schemas.openxmlformats.org/drawingml/2006/picture">
                <pic:pic>
                  <pic:nvPicPr>
                    <pic:cNvPr descr="fig5_preprocessing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One glyph per corpus through polarity normalisation and three augmentation draws.</w:t>
      </w:r>
    </w:p>
    <w:p>
      <w:pPr>
        <w:pStyle w:val="BodyText"/>
      </w:pPr>
      <w:r>
        <w:rPr>
          <w:b/>
          <w:bCs/>
        </w:rPr>
        <w:t xml:space="preserve">Transformations.</w:t>
      </w:r>
      <w:r>
        <w:t xml:space="preserve"> </w:t>
      </w:r>
      <w:r>
        <w:t xml:space="preserve">Images are converted to three-channel grayscale (the pretrained backbones expect</w:t>
      </w:r>
      <w:r>
        <w:t xml:space="preserve"> </w:t>
      </w:r>
      <w:r>
        <w:t xml:space="preserve">three channels) and resized to 224×224. Training additionally applies random rotation of ±15°,</w:t>
      </w:r>
      <w:r>
        <w:t xml:space="preserve"> </w:t>
      </w:r>
      <w:r>
        <w:t xml:space="preserve">random affine translation of up to 10% with 5° shear, and colour jitter of 0.3 in brightness and</w:t>
      </w:r>
      <w:r>
        <w:t xml:space="preserve"> </w:t>
      </w:r>
      <w:r>
        <w:t xml:space="preserve">contrast. Horizontal flipping is deliberately excluded: Bengali characters are direction-sensitive</w:t>
      </w:r>
      <w:r>
        <w:t xml:space="preserve"> </w:t>
      </w:r>
      <w:r>
        <w:t xml:space="preserve">and a mirrored glyph is not a valid sample of its own class. All images are normalised to zero mean</w:t>
      </w:r>
      <w:r>
        <w:t xml:space="preserve"> </w:t>
      </w:r>
      <w:r>
        <w:t xml:space="preserve">and unit variance per channel using μ = σ = 0.5.</w:t>
      </w:r>
    </w:p>
    <w:p>
      <w:pPr>
        <w:pStyle w:val="BodyText"/>
      </w:pPr>
      <w:r>
        <w:rPr>
          <w:b/>
          <w:bCs/>
        </w:rPr>
        <w:t xml:space="preserve">Splitting.</w:t>
      </w:r>
      <w:r>
        <w:t xml:space="preserve"> </w:t>
      </w:r>
      <w:r>
        <w:t xml:space="preserve">We use a stratified 80/10/10 split computed per class with a fixed seed, so that rare</w:t>
      </w:r>
      <w:r>
        <w:t xml:space="preserve"> </w:t>
      </w:r>
      <w:r>
        <w:t xml:space="preserve">classes are represented in all three partitions rather than concentrated in whichever partition</w:t>
      </w:r>
      <w:r>
        <w:t xml:space="preserve"> </w:t>
      </w:r>
      <w:r>
        <w:t xml:space="preserve">chance assigns them. Classes with fewer than three samples contribute entirely to training. The full</w:t>
      </w:r>
      <w:r>
        <w:t xml:space="preserve"> </w:t>
      </w:r>
      <w:r>
        <w:t xml:space="preserve">corpus yields 545,289 training, 68,010 validation, and 68,010 test images. The split is computed</w:t>
      </w:r>
      <w:r>
        <w:t xml:space="preserve"> </w:t>
      </w:r>
      <w:r>
        <w:t xml:space="preserve">once from the manifest and reused by every architecture; the test partition is never used for model</w:t>
      </w:r>
      <w:r>
        <w:t xml:space="preserve"> </w:t>
      </w:r>
      <w:r>
        <w:t xml:space="preserve">selection, which is performed on validation accuracy alone.</w:t>
      </w:r>
    </w:p>
    <w:bookmarkEnd w:id="29"/>
    <w:bookmarkStart w:id="33" w:name="proposed-method-extendedvit"/>
    <w:p>
      <w:pPr>
        <w:pStyle w:val="Heading3"/>
      </w:pPr>
      <w:r>
        <w:t xml:space="preserve">3.4 Proposed Method: ExtendedViT</w:t>
      </w:r>
    </w:p>
    <w:p>
      <w:pPr>
        <w:pStyle w:val="FirstParagraph"/>
      </w:pPr>
      <w:r>
        <w:t xml:space="preserve">ExtendedViT composes a convolutional backbone and a Transformer encoder serially, using the former</w:t>
      </w:r>
      <w:r>
        <w:t xml:space="preserve"> </w:t>
      </w:r>
      <w:r>
        <w:t xml:space="preserve">as a learned tokenizer for the latter.</w:t>
      </w:r>
    </w:p>
    <w:p>
      <w:pPr>
        <w:pStyle w:val="BodyText"/>
      </w:pPr>
      <w:r>
        <w:rPr>
          <w:b/>
          <w:bCs/>
        </w:rPr>
        <w:t xml:space="preserve">Convolutional tokenizer.</w:t>
      </w:r>
      <w:r>
        <w:t xml:space="preserve"> </w:t>
      </w:r>
      <w:r>
        <w:t xml:space="preserve">An input image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224</m:t>
            </m:r>
            <m:r>
              <m:rPr>
                <m:sty m:val="p"/>
              </m:rPr>
              <m:t>×</m:t>
            </m:r>
            <m:r>
              <m:t>224</m:t>
            </m:r>
          </m:sup>
        </m:sSup>
      </m:oMath>
      <w:r>
        <w:t xml:space="preserve"> </w:t>
      </w:r>
      <w:r>
        <w:t xml:space="preserve">is passed</w:t>
      </w:r>
      <w:r>
        <w:t xml:space="preserve"> </w:t>
      </w:r>
      <w:r>
        <w:t xml:space="preserve">through the convolutional stages of an ImageNet-pretrained ResNet18, up to and including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and excluding the global pooling and classification head: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ResNet18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512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Tokenisation.</w:t>
      </w:r>
      <w:r>
        <w:t xml:space="preserve"> </w:t>
      </w:r>
      <w:r>
        <w:t xml:space="preserve">The spatial map is flattened along its spatial axes into a sequence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tokens of dimension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512</m:t>
        </m:r>
      </m:oMath>
      <w:r>
        <w:t xml:space="preserve">, where each token summarises a 32×32-pixel receptive region of the</w:t>
      </w:r>
      <w:r>
        <w:t xml:space="preserve"> </w:t>
      </w:r>
      <w:r>
        <w:t xml:space="preserve">input: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flatten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49</m:t>
              </m:r>
              <m:r>
                <m:rPr>
                  <m:sty m:val="p"/>
                </m:rPr>
                <m:t>×</m:t>
              </m:r>
              <m:r>
                <m:t>512</m:t>
              </m:r>
            </m:sup>
          </m:sSup>
        </m:oMath>
      </m:oMathPara>
    </w:p>
    <w:p>
      <w:pPr>
        <w:pStyle w:val="FirstParagraph"/>
      </w:pPr>
      <w:r>
        <w:t xml:space="preserve">A learnable classification token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cls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is prepended and a</w:t>
      </w:r>
      <w:r>
        <w:t xml:space="preserve"> </w:t>
      </w:r>
      <w:r>
        <w:t xml:space="preserve">learnable positional embedding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is added: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cls</m:t>
              </m:r>
            </m:sub>
          </m:sSub>
          <m:r>
            <m:t> </m:t>
          </m:r>
          <m:r>
            <m:rPr>
              <m:sty m:val="p"/>
            </m:rPr>
            <m:t>;</m:t>
          </m:r>
          <m:r>
            <m:t> </m:t>
          </m:r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 </m:t>
          </m:r>
          <m:r>
            <m:rPr>
              <m:sty m:val="p"/>
            </m:rPr>
            <m:t>;</m:t>
          </m:r>
          <m:r>
            <m:t> </m:t>
          </m:r>
          <m:sSubSup>
            <m:e>
              <m:r>
                <m:t>F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 </m:t>
          </m:r>
          <m:r>
            <m:rPr>
              <m:sty m:val="p"/>
            </m:rPr>
            <m:t>;</m:t>
          </m:r>
          <m:r>
            <m:t> </m:t>
          </m:r>
          <m:r>
            <m:rPr>
              <m:sty m:val="p"/>
            </m:rPr>
            <m:t>…</m:t>
          </m:r>
          <m:r>
            <m:t> </m:t>
          </m:r>
          <m:r>
            <m:rPr>
              <m:sty m:val="p"/>
            </m:rPr>
            <m:t>;</m:t>
          </m:r>
          <m:r>
            <m:t> </m:t>
          </m:r>
          <m:sSubSup>
            <m:e>
              <m:r>
                <m:t>F</m:t>
              </m:r>
            </m:e>
            <m:sub>
              <m:r>
                <m:t>49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</m:oMath>
      </m:oMathPara>
    </w:p>
    <w:p>
      <w:pPr>
        <w:pStyle w:val="FirstParagraph"/>
      </w:pPr>
      <w:r>
        <w:t xml:space="preserve">Both are initialised from a truncated normal distribution with standard deviation 0.02.</w:t>
      </w:r>
    </w:p>
    <w:p>
      <w:pPr>
        <w:pStyle w:val="BodyText"/>
      </w:pPr>
      <w:r>
        <w:rPr>
          <w:b/>
          <w:bCs/>
        </w:rPr>
        <w:t xml:space="preserve">Transformer encoder.</w:t>
      </w:r>
      <w:r>
        <w:t xml:space="preserve"> </w:t>
      </w:r>
      <w:r>
        <w:t xml:space="preserve">The 50-token sequence passes through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post-norm encoder layers, each</w:t>
      </w:r>
      <w:r>
        <w:t xml:space="preserve"> </w:t>
      </w:r>
      <w:r>
        <w:t xml:space="preserve">comprising multi-head self-attention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heads and a position-wise feed-forward network of</w:t>
      </w:r>
      <w:r>
        <w:t xml:space="preserve"> </w:t>
      </w:r>
      <w:r>
        <w:t xml:space="preserve">inner dimension 2048, with residual connections and layer normalisation: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ℓ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MSA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ℓ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FFN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z</m:t>
                  </m:r>
                </m:e>
                <m:sub>
                  <m:r>
                    <m:t>ℓ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ℓ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…</m:t>
          </m:r>
          <m:r>
            <m:t>L</m:t>
          </m:r>
        </m:oMath>
      </m:oMathPara>
    </w:p>
    <w:p>
      <w:pPr>
        <w:pStyle w:val="FirstParagraph"/>
      </w:pPr>
      <w:r>
        <w:t xml:space="preserve">where multi-head self-attention is defined as usual over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heads of dimension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64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MSA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h</m:t>
                  </m:r>
                </m:sub>
              </m:sSub>
            </m:e>
          </m:d>
          <m:sSup>
            <m:e>
              <m:r>
                <m:t>W</m:t>
              </m:r>
            </m:e>
            <m:sup>
              <m:r>
                <m:t>O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z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Q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z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z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V</m:t>
            </m:r>
          </m:sup>
        </m:sSubSup>
      </m:oMath>
      <w:r>
        <w:t xml:space="preserve">. Dropout of 0.1 is applied within each layer.</w:t>
      </w:r>
    </w:p>
    <w:p>
      <w:pPr>
        <w:pStyle w:val="BodyText"/>
      </w:pPr>
      <w:r>
        <w:rPr>
          <w:b/>
          <w:bCs/>
        </w:rPr>
        <w:t xml:space="preserve">Classification.</w:t>
      </w:r>
      <w:r>
        <w:t xml:space="preserve"> </w:t>
      </w:r>
      <w:r>
        <w:t xml:space="preserve">The final classification token is layer-normalised and projected to the label</w:t>
      </w:r>
      <w:r>
        <w:t xml:space="preserve"> </w:t>
      </w:r>
      <w:r>
        <w:t xml:space="preserve">space: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head</m:t>
                  </m:r>
                </m:sub>
              </m:sSub>
              <m:r>
                <m:t> 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z</m:t>
                  </m:r>
                </m:e>
                <m:sub>
                  <m:r>
                    <m:t>L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256</m:t>
              </m:r>
              <m:r>
                <m:rPr>
                  <m:sty m:val="p"/>
                </m:rPr>
                <m:t>×</m:t>
              </m:r>
              <m:r>
                <m:t>512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Design rationale.</w:t>
      </w:r>
      <w:r>
        <w:t xml:space="preserve"> </w:t>
      </w:r>
      <w:r>
        <w:t xml:space="preserve">Standard ViT tokenises by linear projection of raw 16×16 pixel patches, which</w:t>
      </w:r>
      <w:r>
        <w:t xml:space="preserve"> </w:t>
      </w:r>
      <w:r>
        <w:t xml:space="preserve">supplies the encoder with no spatial prior whatsoever and is exactly why ViT needs web-scale</w:t>
      </w:r>
      <w:r>
        <w:t xml:space="preserve"> </w:t>
      </w:r>
      <w:r>
        <w:t xml:space="preserve">pretraining to compete [22]. Substituting a pretrained convolutional stack for that projection means</w:t>
      </w:r>
      <w:r>
        <w:t xml:space="preserve"> </w:t>
      </w:r>
      <w:r>
        <w:t xml:space="preserve">each token already encodes a locally translation-equivariant, hierarchically composed feature —</w:t>
      </w:r>
      <w:r>
        <w:t xml:space="preserve"> </w:t>
      </w:r>
      <w:r>
        <w:t xml:space="preserve">ImageNet’s inductive bias arrives with the weights. Attention then operates over 50 tokens rather</w:t>
      </w:r>
      <w:r>
        <w:t xml:space="preserve"> </w:t>
      </w:r>
      <w:r>
        <w:t xml:space="preserve">than the 197 of ViT-B/16, an approximately 15× reduction in attention cost, which is what makes</w:t>
      </w:r>
      <w:r>
        <w:t xml:space="preserve"> </w:t>
      </w:r>
      <w:r>
        <w:t xml:space="preserve">CPU-only inference tractable (Section 3.6). For compound characters specifically, the motivation is</w:t>
      </w:r>
      <w:r>
        <w:t xml:space="preserve"> </w:t>
      </w:r>
      <w:r>
        <w:t xml:space="preserve">that a conjunct is defined by the</w:t>
      </w:r>
      <w:r>
        <w:t xml:space="preserve"> </w:t>
      </w:r>
      <w:r>
        <w:rPr>
          <w:i/>
          <w:iCs/>
        </w:rPr>
        <w:t xml:space="preserve">relationship</w:t>
      </w:r>
      <w:r>
        <w:t xml:space="preserve"> </w:t>
      </w:r>
      <w:r>
        <w:t xml:space="preserve">between its constituent consonant forms and their</w:t>
      </w:r>
      <w:r>
        <w:t xml:space="preserve"> </w:t>
      </w:r>
      <w:r>
        <w:t xml:space="preserve">placement relative to the head-line; convolution captures the constituents, and self-attention over</w:t>
      </w:r>
      <w:r>
        <w:t xml:space="preserve"> </w:t>
      </w:r>
      <w:r>
        <w:t xml:space="preserve">the full glyph captures the relationship.</w:t>
      </w:r>
    </w:p>
    <w:p>
      <w:pPr>
        <w:pStyle w:val="BodyText"/>
      </w:pPr>
      <w:r>
        <w:rPr>
          <w:b/>
          <w:bCs/>
        </w:rPr>
        <w:t xml:space="preserve">Figure 3</w:t>
      </w:r>
      <w:r>
        <w:t xml:space="preserve"> </w:t>
      </w:r>
      <w:r>
        <w:t xml:space="preserve">(</w:t>
      </w:r>
      <w:r>
        <w:rPr>
          <w:rStyle w:val="VerbatimChar"/>
        </w:rPr>
        <w:t xml:space="preserve">fig3_architecture.png</w:t>
      </w:r>
      <w:r>
        <w:t xml:space="preserve">) shows the data flow with tensor shapes annotated at each</w:t>
      </w:r>
      <w:r>
        <w:t xml:space="preserve"> </w:t>
      </w:r>
      <w:r>
        <w:t xml:space="preserve">stage.</w:t>
      </w:r>
    </w:p>
    <w:p>
      <w:pPr>
        <w:pStyle w:val="CaptionedFigure"/>
      </w:pPr>
      <w:r>
        <w:drawing>
          <wp:inline>
            <wp:extent cx="5334000" cy="1270540"/>
            <wp:effectExtent b="0" l="0" r="0" t="0"/>
            <wp:docPr descr="Figure 3. ExtendedViT: a ResNet18 tokenizer feeding a four-layer Transformer encoder, with tensor shapes at each stage." title="" id="31" name="Picture"/>
            <a:graphic>
              <a:graphicData uri="http://schemas.openxmlformats.org/drawingml/2006/picture">
                <pic:pic>
                  <pic:nvPicPr>
                    <pic:cNvPr descr="fig3_architectu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ExtendedViT: a ResNet18 tokenizer feeding a four-layer Transformer encoder, with tensor shapes at each stage.</w:t>
      </w:r>
    </w:p>
    <w:p>
      <w:pPr>
        <w:pStyle w:val="BodyText"/>
      </w:pPr>
      <w:r>
        <w:rPr>
          <w:b/>
          <w:bCs/>
        </w:rPr>
        <w:t xml:space="preserve">Table 2. ExtendedViT layer summary.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3 × 224 × 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conv1 + bn1 + maxpool</w:t>
            </w:r>
          </w:p>
        </w:tc>
        <w:tc>
          <w:tcPr/>
          <w:p>
            <w:pPr>
              <w:pStyle w:val="Compact"/>
            </w:pPr>
            <w:r>
              <w:t xml:space="preserve">64 × 56 × 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layer1–layer4</w:t>
            </w:r>
          </w:p>
        </w:tc>
        <w:tc>
          <w:tcPr/>
          <w:p>
            <w:pPr>
              <w:pStyle w:val="Compact"/>
            </w:pPr>
            <w:r>
              <w:t xml:space="preserve">512 × 7 ×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11,166,912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Flatten → tokens</w:t>
            </w:r>
          </w:p>
        </w:tc>
        <w:tc>
          <w:tcPr/>
          <w:p>
            <w:pPr>
              <w:pStyle w:val="Compact"/>
            </w:pPr>
            <w:r>
              <w:t xml:space="preserve">49 × 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token + positional embedding</w:t>
            </w:r>
          </w:p>
        </w:tc>
        <w:tc>
          <w:tcPr/>
          <w:p>
            <w:pPr>
              <w:pStyle w:val="Compact"/>
            </w:pPr>
            <w:r>
              <w:t xml:space="preserve">50 × 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encoder × 4</w:t>
            </w:r>
          </w:p>
        </w:tc>
        <w:tc>
          <w:tcPr/>
          <w:p>
            <w:pPr>
              <w:pStyle w:val="Compact"/>
            </w:pPr>
            <w:r>
              <w:t xml:space="preserve">50 × 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12,608,000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LayerNorm + linear head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132,352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23,942,912</w:t>
            </w:r>
          </w:p>
        </w:tc>
      </w:tr>
    </w:tbl>
    <w:bookmarkEnd w:id="33"/>
    <w:bookmarkStart w:id="34" w:name="baseline-architectures"/>
    <w:p>
      <w:pPr>
        <w:pStyle w:val="Heading3"/>
      </w:pPr>
      <w:r>
        <w:t xml:space="preserve">3.5 Baseline Architectures</w:t>
      </w:r>
    </w:p>
    <w:p>
      <w:pPr>
        <w:pStyle w:val="FirstParagraph"/>
      </w:pPr>
      <w:r>
        <w:t xml:space="preserve">Three baselines span the categories identified in the review.</w:t>
      </w:r>
    </w:p>
    <w:p>
      <w:pPr>
        <w:pStyle w:val="BodyText"/>
      </w:pPr>
      <w:r>
        <w:rPr>
          <w:b/>
          <w:bCs/>
        </w:rPr>
        <w:t xml:space="preserve">Scratch CNN.</w:t>
      </w:r>
      <w:r>
        <w:t xml:space="preserve"> </w:t>
      </w:r>
      <w:r>
        <w:t xml:space="preserve">A compact separable-convolution network — one standard 3×3 convolution followed by</w:t>
      </w:r>
      <w:r>
        <w:t xml:space="preserve"> </w:t>
      </w:r>
      <w:r>
        <w:t xml:space="preserve">three depthwise-separable blocks with max-pooling, global average pooling, and a 128-unit hidden</w:t>
      </w:r>
      <w:r>
        <w:t xml:space="preserve"> </w:t>
      </w:r>
      <w:r>
        <w:t xml:space="preserve">layer — totalling 62,208 parameters, trained from random initialisation. It quantifies what is</w:t>
      </w:r>
      <w:r>
        <w:t xml:space="preserve"> </w:t>
      </w:r>
      <w:r>
        <w:t xml:space="preserve">achievable without any transfer learning.</w:t>
      </w:r>
    </w:p>
    <w:p>
      <w:pPr>
        <w:pStyle w:val="BodyText"/>
      </w:pPr>
      <w:r>
        <w:rPr>
          <w:b/>
          <w:bCs/>
        </w:rPr>
        <w:t xml:space="preserve">ResNet18 (ImageNet).</w:t>
      </w:r>
      <w:r>
        <w:t xml:space="preserve"> </w:t>
      </w:r>
      <w:r>
        <w:t xml:space="preserve">The same backbone ExtendedViT uses, with a linear classifier replacing the</w:t>
      </w:r>
      <w:r>
        <w:t xml:space="preserve"> </w:t>
      </w:r>
      <w:r>
        <w:t xml:space="preserve">1000-way head, fine-tuned end to end. It is the control that isolates the contribution of the</w:t>
      </w:r>
      <w:r>
        <w:t xml:space="preserve"> </w:t>
      </w:r>
      <w:r>
        <w:t xml:space="preserve">transformer encoder: any difference between it and ExtendedViT is attributable to the attention</w:t>
      </w:r>
      <w:r>
        <w:t xml:space="preserve"> </w:t>
      </w:r>
      <w:r>
        <w:t xml:space="preserve">stack, since the convolutional trunk is identical.</w:t>
      </w:r>
    </w:p>
    <w:p>
      <w:pPr>
        <w:pStyle w:val="BodyText"/>
      </w:pPr>
      <w:r>
        <w:rPr>
          <w:b/>
          <w:bCs/>
        </w:rPr>
        <w:t xml:space="preserve">ViT-B/16 (ImageNet).</w:t>
      </w:r>
      <w:r>
        <w:t xml:space="preserve"> </w:t>
      </w:r>
      <w:r>
        <w:t xml:space="preserve">A standard Vision Transformer with 16×16 patch embedding and 12 encoder</w:t>
      </w:r>
      <w:r>
        <w:t xml:space="preserve"> </w:t>
      </w:r>
      <w:r>
        <w:t xml:space="preserve">layers (86.3M parameters), fine-tuned with a custom head. It represents the pure-transformer</w:t>
      </w:r>
      <w:r>
        <w:t xml:space="preserve"> </w:t>
      </w:r>
      <w:r>
        <w:t xml:space="preserve">approach that [17] found superior on basic characters.</w:t>
      </w:r>
    </w:p>
    <w:bookmarkEnd w:id="34"/>
    <w:bookmarkStart w:id="35" w:name="training-configuration-and-inference"/>
    <w:p>
      <w:pPr>
        <w:pStyle w:val="Heading3"/>
      </w:pPr>
      <w:r>
        <w:t xml:space="preserve">3.6 Training Configuration and Inference</w:t>
      </w:r>
    </w:p>
    <w:p>
      <w:pPr>
        <w:pStyle w:val="FirstParagraph"/>
      </w:pPr>
      <w:r>
        <w:rPr>
          <w:b/>
          <w:bCs/>
        </w:rPr>
        <w:t xml:space="preserve">Optimisation.</w:t>
      </w:r>
      <w:r>
        <w:t xml:space="preserve"> </w:t>
      </w:r>
      <w:r>
        <w:t xml:space="preserve">All models use AdamW with weight decay 10⁻⁴, cross-entropy loss with label</w:t>
      </w:r>
      <w:r>
        <w:t xml:space="preserve"> </w:t>
      </w:r>
      <w:r>
        <w:t xml:space="preserve">smoothing 0.1, and a cosine-annealing schedule decaying to 10⁻⁶ over 8 epochs at batch size 32.</w:t>
      </w:r>
      <w:r>
        <w:t xml:space="preserve"> </w:t>
      </w:r>
      <w:r>
        <w:t xml:space="preserve">Gradient norms are clipped to 1.0. Pretrained models use discriminative learning rates: the</w:t>
      </w:r>
      <w:r>
        <w:t xml:space="preserve"> </w:t>
      </w:r>
      <w:r>
        <w:t xml:space="preserve">pretrained backbone trains at one tenth the rate of newly initialised parameters, preventing the</w:t>
      </w:r>
      <w:r>
        <w:t xml:space="preserve"> </w:t>
      </w:r>
      <w:r>
        <w:t xml:space="preserve">randomly initialised head from destroying pretrained features early in training. Base learning rates</w:t>
      </w:r>
      <w:r>
        <w:t xml:space="preserve"> </w:t>
      </w:r>
      <w:r>
        <w:t xml:space="preserve">are 10⁻³ for the scratch CNN, 3×10⁻⁴ for ResNet18 and ExtendedViT, and 10⁻⁴ for ViT-B/16, which</w:t>
      </w:r>
      <w:r>
        <w:t xml:space="preserve"> </w:t>
      </w:r>
      <w:r>
        <w:t xml:space="preserve">diverges at higher rates. Model selection is by best validation accuracy.</w:t>
      </w:r>
    </w:p>
    <w:p>
      <w:pPr>
        <w:pStyle w:val="BodyText"/>
      </w:pPr>
      <w:r>
        <w:rPr>
          <w:b/>
          <w:bCs/>
        </w:rPr>
        <w:t xml:space="preserve">CPU inference.</w:t>
      </w:r>
      <w:r>
        <w:t xml:space="preserve"> </w:t>
      </w:r>
      <w:r>
        <w:t xml:space="preserve">Deployment targets are assumed to lack a GPU, so inference latency is measured</w:t>
      </w:r>
      <w:r>
        <w:t xml:space="preserve"> </w:t>
      </w:r>
      <w:r>
        <w:t xml:space="preserve">single-image on CPU. This is a design constraint rather than an afterthought: it is what motivates</w:t>
      </w:r>
      <w:r>
        <w:t xml:space="preserve"> </w:t>
      </w:r>
      <w:r>
        <w:t xml:space="preserve">the 49-token design over full patch tokenisation, and it is reported alongside accuracy in Section 6</w:t>
      </w:r>
      <w:r>
        <w:t xml:space="preserve"> </w:t>
      </w:r>
      <w:r>
        <w:t xml:space="preserve">so that the accuracy/latency trade-off is explicit.</w:t>
      </w:r>
    </w:p>
    <w:p>
      <w:pPr>
        <w:pStyle w:val="BodyText"/>
      </w:pPr>
      <w:r>
        <w:rPr>
          <w:b/>
          <w:bCs/>
        </w:rPr>
        <w:t xml:space="preserve">Implementation.</w:t>
      </w:r>
      <w:r>
        <w:t xml:space="preserve"> </w:t>
      </w:r>
      <w:r>
        <w:t xml:space="preserve">PyTorch 2.13 with torchvision 0.28 and timm 1.0.28, trained on Apple Silicon via</w:t>
      </w:r>
      <w:r>
        <w:t xml:space="preserve"> </w:t>
      </w:r>
      <w:r>
        <w:t xml:space="preserve">the Metal Performance Shaders backend.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perimental-design"/>
    <w:p>
      <w:pPr>
        <w:pStyle w:val="Heading2"/>
      </w:pPr>
      <w:r>
        <w:t xml:space="preserve">4. Experimental Design</w:t>
      </w:r>
    </w:p>
    <w:p>
      <w:pPr>
        <w:pStyle w:val="FirstParagraph"/>
      </w:pPr>
      <w:r>
        <w:t xml:space="preserve">Two data budgets are evaluated.</w:t>
      </w:r>
    </w:p>
    <w:p>
      <w:pPr>
        <w:pStyle w:val="BodyText"/>
      </w:pPr>
      <w:r>
        <w:rPr>
          <w:b/>
          <w:bCs/>
        </w:rPr>
        <w:t xml:space="preserve">Full corpus.</w:t>
      </w:r>
      <w:r>
        <w:t xml:space="preserve"> </w:t>
      </w:r>
      <w:r>
        <w:t xml:space="preserve">All 681,309 images, 545,289 of them for training. This is the headline setting and</w:t>
      </w:r>
      <w:r>
        <w:t xml:space="preserve"> </w:t>
      </w:r>
      <w:r>
        <w:t xml:space="preserve">reflects the best attainable performance.</w:t>
      </w:r>
    </w:p>
    <w:p>
      <w:pPr>
        <w:pStyle w:val="BodyText"/>
      </w:pPr>
      <w:r>
        <w:rPr>
          <w:b/>
          <w:bCs/>
        </w:rPr>
        <w:t xml:space="preserve">Equal budget.</w:t>
      </w:r>
      <w:r>
        <w:t xml:space="preserve"> </w:t>
      </w:r>
      <w:r>
        <w:t xml:space="preserve">At most 300 images per class sampled before splitting, yielding 56,414 training,</w:t>
      </w:r>
      <w:r>
        <w:t xml:space="preserve"> </w:t>
      </w:r>
      <w:r>
        <w:t xml:space="preserve">7,035 validation, and 7,035 test images. This exists because ViT-B/16 requires approximately 70 hours</w:t>
      </w:r>
      <w:r>
        <w:t xml:space="preserve"> </w:t>
      </w:r>
      <w:r>
        <w:t xml:space="preserve">per full-corpus run on our hardware, against 3 to 13 hours for the other three architectures.</w:t>
      </w:r>
      <w:r>
        <w:t xml:space="preserve"> </w:t>
      </w:r>
      <w:r>
        <w:t xml:space="preserve">Rather than compare a data-starved ViT against fully trained rivals — which would measure the data</w:t>
      </w:r>
      <w:r>
        <w:t xml:space="preserve"> </w:t>
      </w:r>
      <w:r>
        <w:t xml:space="preserve">budget rather than the architecture — we equalise the budget so all four are directly comparable.</w:t>
      </w:r>
    </w:p>
    <w:p>
      <w:pPr>
        <w:pStyle w:val="BodyText"/>
      </w:pPr>
      <w:r>
        <w:rPr>
          <w:b/>
          <w:bCs/>
        </w:rPr>
        <w:t xml:space="preserve">Controlled budget sweep.</w:t>
      </w:r>
      <w:r>
        <w:t xml:space="preserve"> </w:t>
      </w:r>
      <w:r>
        <w:t xml:space="preserve">Neither setting above isolates the effect of data volume, for two</w:t>
      </w:r>
      <w:r>
        <w:t xml:space="preserve"> </w:t>
      </w:r>
      <w:r>
        <w:t xml:space="preserve">reasons. First, they differ in the mix of source corpora as well as in size. Second, and more</w:t>
      </w:r>
      <w:r>
        <w:t xml:space="preserve"> </w:t>
      </w:r>
      <w:r>
        <w:t xml:space="preserve">seriously, both pretrained baselines silently inherited previously trained Bengali weights —</w:t>
      </w:r>
      <w:r>
        <w:t xml:space="preserve"> </w:t>
      </w:r>
      <w:r>
        <w:t xml:space="preserve">ResNet18 from an earlier RAS-only checkpoint, ExtendedViT from the full-corpus ResNet18 — so at a</w:t>
      </w:r>
      <w:r>
        <w:t xml:space="preserve"> </w:t>
      </w:r>
      <w:r>
        <w:t xml:space="preserve">restricted budget each had seen data the comparison nominally withheld. Removing that inheritance</w:t>
      </w:r>
      <w:r>
        <w:t xml:space="preserve"> </w:t>
      </w:r>
      <w:r>
        <w:t xml:space="preserve">changes first-epoch validation accuracy from 0.703 to 0.234, so its effect is large.</w:t>
      </w:r>
    </w:p>
    <w:p>
      <w:pPr>
        <w:pStyle w:val="BodyText"/>
      </w:pPr>
      <w:r>
        <w:t xml:space="preserve">We therefore run a third experiment designed specifically to measure data efficiency. Training is</w:t>
      </w:r>
      <w:r>
        <w:t xml:space="preserve"> </w:t>
      </w:r>
      <w:r>
        <w:t xml:space="preserve">restricted to</w:t>
      </w:r>
      <w:r>
        <w:t xml:space="preserve"> </w:t>
      </w:r>
      <w:r>
        <w:rPr>
          <w:b/>
          <w:bCs/>
        </w:rPr>
        <w:t xml:space="preserve">Ekush alone</w:t>
      </w:r>
      <w:r>
        <w:t xml:space="preserve"> </w:t>
      </w:r>
      <w:r>
        <w:t xml:space="preserve">(122 classes, one image convention, per-class counts near-uniform at</w:t>
      </w:r>
      <w:r>
        <w:t xml:space="preserve"> </w:t>
      </w:r>
      <w:r>
        <w:t xml:space="preserve">3,056–3,079), with labels remapped to a contiguous 122-class space and per-class budgets of 50, 100,</w:t>
      </w:r>
      <w:r>
        <w:t xml:space="preserve"> </w:t>
      </w:r>
      <w:r>
        <w:t xml:space="preserve">300 and 1,000. Both architectures are initialised from ImageNet only, so neither inherits</w:t>
      </w:r>
      <w:r>
        <w:t xml:space="preserve"> </w:t>
      </w:r>
      <w:r>
        <w:t xml:space="preserve">Bengali-pretrained weights. Per-class budget is thus the sole variable. The 50 and 100 settings are</w:t>
      </w:r>
      <w:r>
        <w:t xml:space="preserve"> </w:t>
      </w:r>
      <w:r>
        <w:t xml:space="preserve">repeated across three seeds, varying initialisation, shuffling and augmentation while holding the</w:t>
      </w:r>
      <w:r>
        <w:t xml:space="preserve"> </w:t>
      </w:r>
      <w:r>
        <w:t xml:space="preserve">split fixed, so all runs share one test set and the variance measured is training stochasticity.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We report top-1 accuracy; character error rate, which for isolated single-character</w:t>
      </w:r>
      <w:r>
        <w:t xml:space="preserve"> </w:t>
      </w:r>
      <w:r>
        <w:t xml:space="preserve">classification equals the top-1 error rate; macro-averaged F1; negative log-likelihood; expected</w:t>
      </w:r>
      <w:r>
        <w:t xml:space="preserve"> </w:t>
      </w:r>
      <w:r>
        <w:t xml:space="preserve">calibration error over 15 equal-width confidence bins; mean predicted confidence; parameter count;</w:t>
      </w:r>
      <w:r>
        <w:t xml:space="preserve"> </w:t>
      </w:r>
      <w:r>
        <w:t xml:space="preserve">checkpoint size; and single-image CPU latency. Accuracy is additionally disaggregated by source</w:t>
      </w:r>
      <w:r>
        <w:t xml:space="preserve"> </w:t>
      </w:r>
      <w:r>
        <w:t xml:space="preserve">corpus. ECE is included because cross-entropy conflates calibration with accuracy, and the effect we</w:t>
      </w:r>
      <w:r>
        <w:t xml:space="preserve"> </w:t>
      </w:r>
      <w:r>
        <w:t xml:space="preserve">find is specifically one of calibration.</w:t>
      </w:r>
    </w:p>
    <w:p>
      <w:r>
        <w:pict>
          <v:rect style="width:0;height:1.5pt" o:hralign="center" o:hrstd="t" o:hr="t"/>
        </w:pict>
      </w:r>
    </w:p>
    <w:bookmarkEnd w:id="37"/>
    <w:bookmarkStart w:id="66" w:name="results"/>
    <w:p>
      <w:pPr>
        <w:pStyle w:val="Heading2"/>
      </w:pPr>
      <w:r>
        <w:t xml:space="preserve">5. Results</w:t>
      </w:r>
    </w:p>
    <w:bookmarkStart w:id="38" w:name="full-corpus"/>
    <w:p>
      <w:pPr>
        <w:pStyle w:val="Heading3"/>
      </w:pPr>
      <w:r>
        <w:t xml:space="preserve">5.1 Full Corpus</w:t>
      </w:r>
    </w:p>
    <w:p>
      <w:pPr>
        <w:pStyle w:val="FirstParagraph"/>
      </w:pPr>
      <w:r>
        <w:rPr>
          <w:b/>
          <w:bCs/>
        </w:rPr>
        <w:t xml:space="preserve">Table 3. Full corpus (681,309 images, 256 classes; 68,010 test images).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MatriVasha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 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11.31M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ViT-B/16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run (≈70 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ResNet18 and ExtendedViT are separated by 0.04 accuracy points — 27 images out of 68,010 — and their</w:t>
      </w:r>
      <w:r>
        <w:t xml:space="preserve"> </w:t>
      </w:r>
      <w:r>
        <w:t xml:space="preserve">macro-F1 scores differ by 0.0001 in the opposite direction. The two are indistinguishable when data</w:t>
      </w:r>
      <w:r>
        <w:t xml:space="preserve"> </w:t>
      </w:r>
      <w:r>
        <w:t xml:space="preserve">is abundant. Note that ResNet18’s figure is, if anything, favourable to it: this run inherited an</w:t>
      </w:r>
      <w:r>
        <w:t xml:space="preserve"> </w:t>
      </w:r>
      <w:r>
        <w:t xml:space="preserve">earlier RAS-only Bengali checkpoint (Section 4).</w:t>
      </w:r>
    </w:p>
    <w:p>
      <w:pPr>
        <w:pStyle w:val="BodyText"/>
      </w:pPr>
      <w:r>
        <w:t xml:space="preserve">The scratch CNN result is instructive beyond its aggregate 0.6786. Its accuracy on RAS-Compound is</w:t>
      </w:r>
      <w:r>
        <w:t xml:space="preserve"> </w:t>
      </w:r>
      <w:r>
        <w:rPr>
          <w:b/>
          <w:bCs/>
        </w:rPr>
        <w:t xml:space="preserve">0.0129</w:t>
      </w:r>
      <w:r>
        <w:t xml:space="preserve"> </w:t>
      </w:r>
      <w:r>
        <w:t xml:space="preserve">against 0.7070 on Ekush. RAS-Compound contributes 1.1% of the images but 27 classes found</w:t>
      </w:r>
      <w:r>
        <w:t xml:space="preserve"> </w:t>
      </w:r>
      <w:r>
        <w:t xml:space="preserve">in no other corpus; without a pretrained prior the model effectively never learns them, while the</w:t>
      </w:r>
      <w:r>
        <w:t xml:space="preserve"> </w:t>
      </w:r>
      <w:r>
        <w:t xml:space="preserve">pretrained models reach 0.99 on the same classes. On a merged corpus of unequal sources, transfer</w:t>
      </w:r>
      <w:r>
        <w:t xml:space="preserve"> </w:t>
      </w:r>
      <w:r>
        <w:t xml:space="preserve">learning is not an optimisation — it is what makes the minority source learnable at all.</w:t>
      </w:r>
    </w:p>
    <w:bookmarkEnd w:id="38"/>
    <w:bookmarkStart w:id="45" w:name="equal-budget-300-images-per-class"/>
    <w:p>
      <w:pPr>
        <w:pStyle w:val="Heading3"/>
      </w:pPr>
      <w:r>
        <w:t xml:space="preserve">5.2 Equal Budget (300 images per class)</w:t>
      </w:r>
    </w:p>
    <w:p>
      <w:pPr>
        <w:pStyle w:val="FirstParagraph"/>
      </w:pPr>
      <w:r>
        <w:rPr>
          <w:b/>
          <w:bCs/>
        </w:rPr>
        <w:t xml:space="preserve">Table 4. Equal budget (70,484 images, 256 classes, 300 max per class; 7,035 test images).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Backbone 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 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0.1934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0.9577</w:t>
            </w:r>
          </w:p>
        </w:tc>
        <w:tc>
          <w:tcPr/>
          <w:p>
            <w:pPr>
              <w:pStyle w:val="Compact"/>
            </w:pPr>
            <w:r>
              <w:t xml:space="preserve">⚠ RAS-only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0.9609</w:t>
            </w:r>
          </w:p>
        </w:tc>
        <w:tc>
          <w:tcPr/>
          <w:p>
            <w:pPr>
              <w:pStyle w:val="Compact"/>
            </w:pPr>
            <w:r>
              <w:t xml:space="preserve">ImageNet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ViT-B/16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86.33M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0.9689</w:t>
            </w:r>
          </w:p>
        </w:tc>
        <w:tc>
          <w:tcPr/>
          <w:p>
            <w:pPr>
              <w:pStyle w:val="Compact"/>
            </w:pPr>
            <w:r>
              <w:t xml:space="preserve">ImageNet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ExtendedViT, warm-started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23.94M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0.9719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0.0281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0.9739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⚠ full-corpus checkpoint</w:t>
            </w:r>
          </w:p>
        </w:tc>
      </w:tr>
    </w:tbl>
    <w:p>
      <w:pPr>
        <w:pStyle w:val="BodyText"/>
      </w:pPr>
      <w:r>
        <w:t xml:space="preserve">The final row is reported for transparency and</w:t>
      </w:r>
      <w:r>
        <w:t xml:space="preserve"> </w:t>
      </w:r>
      <w:r>
        <w:rPr>
          <w:b/>
          <w:bCs/>
        </w:rPr>
        <w:t xml:space="preserve">excluded from comparison</w:t>
      </w:r>
      <w:r>
        <w:t xml:space="preserve">: its backbone was</w:t>
      </w:r>
      <w:r>
        <w:t xml:space="preserve"> </w:t>
      </w:r>
      <w:r>
        <w:t xml:space="preserve">initialised from a ResNet18 trained on the entire corpus, so it had access to data this setting</w:t>
      </w:r>
      <w:r>
        <w:t xml:space="preserve"> </w:t>
      </w:r>
      <w:r>
        <w:t xml:space="preserve">withholds. Its 0.9719 is not a valid equal-budget result, and the 1.75-point margin over ResNet18 it</w:t>
      </w:r>
      <w:r>
        <w:t xml:space="preserve"> </w:t>
      </w:r>
      <w:r>
        <w:t xml:space="preserve">appears to show is an artifact of that inheritance.</w:t>
      </w:r>
    </w:p>
    <w:p>
      <w:pPr>
        <w:pStyle w:val="BodyText"/>
      </w:pPr>
      <w:r>
        <w:t xml:space="preserve">Among the properly initialised models, ViT-B/16 is strongest at 0.9662, ahead of ExtendedViT’s</w:t>
      </w:r>
      <w:r>
        <w:t xml:space="preserve"> </w:t>
      </w:r>
      <w:r>
        <w:t xml:space="preserve">0.9576 and ResNet18’s 0.9544 — and ResNet18’s figure is itself inflated by an inherited RAS-only</w:t>
      </w:r>
      <w:r>
        <w:t xml:space="preserve"> </w:t>
      </w:r>
      <w:r>
        <w:t xml:space="preserve">checkpoint. That pure ViT leads here is consistent with Parvez et al. [17], who found ViT superior</w:t>
      </w:r>
      <w:r>
        <w:t xml:space="preserve"> </w:t>
      </w:r>
      <w:r>
        <w:t xml:space="preserve">to VGG-16 and ResNet-50 on Bengali basic characters; we reproduce that ordering on compound</w:t>
      </w:r>
      <w:r>
        <w:t xml:space="preserve"> </w:t>
      </w:r>
      <w:r>
        <w:t xml:space="preserve">characters and a 256-class label space. It comes at 3.6× the parameters and 3.3× the inference cost</w:t>
      </w:r>
      <w:r>
        <w:t xml:space="preserve"> </w:t>
      </w:r>
      <w:r>
        <w:t xml:space="preserve">(Section 5.6).</w:t>
      </w:r>
    </w:p>
    <w:p>
      <w:pPr>
        <w:pStyle w:val="BodyText"/>
      </w:pPr>
      <w:r>
        <w:rPr>
          <w:b/>
          <w:bCs/>
        </w:rPr>
        <w:t xml:space="preserve">Figure 7</w:t>
      </w:r>
      <w:r>
        <w:t xml:space="preserve"> </w:t>
      </w:r>
      <w:r>
        <w:t xml:space="preserve">(</w:t>
      </w:r>
      <w:r>
        <w:rPr>
          <w:rStyle w:val="VerbatimChar"/>
        </w:rPr>
        <w:t xml:space="preserve">fig7_results.png</w:t>
      </w:r>
      <w:r>
        <w:t xml:space="preserve">) summarises Tables 3 and 4, with the warm-started run shown hatched</w:t>
      </w:r>
      <w:r>
        <w:t xml:space="preserve"> </w:t>
      </w:r>
      <w:r>
        <w:t xml:space="preserve">and marked excluded.</w:t>
      </w:r>
    </w:p>
    <w:p>
      <w:pPr>
        <w:pStyle w:val="CaptionedFigure"/>
      </w:pPr>
      <w:r>
        <w:drawing>
          <wp:inline>
            <wp:extent cx="5334000" cy="2700120"/>
            <wp:effectExtent b="0" l="0" r="0" t="0"/>
            <wp:docPr descr="Figure 7. Accuracy by method: 300 images per class (left bar) and the full corpus (right). The warm-started run is hatched and excluded." title="" id="40" name="Picture"/>
            <a:graphic>
              <a:graphicData uri="http://schemas.openxmlformats.org/drawingml/2006/picture">
                <pic:pic>
                  <pic:nvPicPr>
                    <pic:cNvPr descr="fig7_resul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Accuracy by method: 300 images per class (left bar) and the full corpus (right). The warm-started run is hatched and excluded.</w:t>
      </w:r>
    </w:p>
    <w:p>
      <w:pPr>
        <w:pStyle w:val="BodyText"/>
      </w:pPr>
      <w:r>
        <w:t xml:space="preserve">The scratch CNN’s 0.2115 against its 0.6786 on the full corpus — a 46-point swing from data volume</w:t>
      </w:r>
      <w:r>
        <w:t xml:space="preserve"> </w:t>
      </w:r>
      <w:r>
        <w:t xml:space="preserve">alone, versus roughly 2 points for the pretrained models — is the largest data-efficiency effect in</w:t>
      </w:r>
      <w:r>
        <w:t xml:space="preserve"> </w:t>
      </w:r>
      <w:r>
        <w:t xml:space="preserve">the study, and it belongs to the baseline rather than to any proposed architecture.</w:t>
      </w:r>
    </w:p>
    <w:p>
      <w:pPr>
        <w:pStyle w:val="BodyText"/>
      </w:pPr>
      <w:r>
        <w:rPr>
          <w:b/>
          <w:bCs/>
        </w:rPr>
        <w:t xml:space="preserve">Figure 6</w:t>
      </w:r>
      <w:r>
        <w:t xml:space="preserve"> </w:t>
      </w:r>
      <w:r>
        <w:t xml:space="preserve">(</w:t>
      </w:r>
      <w:r>
        <w:rPr>
          <w:rStyle w:val="VerbatimChar"/>
        </w:rPr>
        <w:t xml:space="preserve">fig6_training_curves.png</w:t>
      </w:r>
      <w:r>
        <w:t xml:space="preserve">) gives validation accuracy and loss per epoch. ExtendedViT</w:t>
      </w:r>
      <w:r>
        <w:t xml:space="preserve"> </w:t>
      </w:r>
      <w:r>
        <w:t xml:space="preserve">leads from the first epoch and converges fastest; the inset resolves the three pretrained models,</w:t>
      </w:r>
      <w:r>
        <w:t xml:space="preserve"> </w:t>
      </w:r>
      <w:r>
        <w:t xml:space="preserve">which are otherwise indistinguishable against the scratch CNN’s trajectory. Note that part of</w:t>
      </w:r>
      <w:r>
        <w:t xml:space="preserve"> </w:t>
      </w:r>
      <w:r>
        <w:t xml:space="preserve">ExtendedViT’s first-epoch lead is attributable to the warm-start discussed in Section 6.</w:t>
      </w:r>
    </w:p>
    <w:p>
      <w:pPr>
        <w:pStyle w:val="CaptionedFigure"/>
      </w:pPr>
      <w:r>
        <w:drawing>
          <wp:inline>
            <wp:extent cx="5334000" cy="1906048"/>
            <wp:effectExtent b="0" l="0" r="0" t="0"/>
            <wp:docPr descr="Figure 6. Validation accuracy and loss per epoch at the equal-budget setting; inset resolves the three pretrained models." title="" id="43" name="Picture"/>
            <a:graphic>
              <a:graphicData uri="http://schemas.openxmlformats.org/drawingml/2006/picture">
                <pic:pic>
                  <pic:nvPicPr>
                    <pic:cNvPr descr="fig6_training_curv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Validation accuracy and loss per epoch at the equal-budget setting; inset resolves the three pretrained models.</w:t>
      </w:r>
    </w:p>
    <w:bookmarkEnd w:id="45"/>
    <w:bookmarkStart w:id="49" w:name="X2b11b8c772710079e4bb4e96932e40003e72c61"/>
    <w:p>
      <w:pPr>
        <w:pStyle w:val="Heading3"/>
      </w:pPr>
      <w:r>
        <w:t xml:space="preserve">5.3 Controlled Budget Sweep: No Accuracy Advantage</w:t>
      </w:r>
    </w:p>
    <w:p>
      <w:pPr>
        <w:pStyle w:val="FirstParagraph"/>
      </w:pPr>
      <w:r>
        <w:t xml:space="preserve">Tables 3 and 4 differ in source composition as well as size, and both contain contaminated</w:t>
      </w:r>
      <w:r>
        <w:t xml:space="preserve"> </w:t>
      </w:r>
      <w:r>
        <w:t xml:space="preserve">initialisations, so neither isolates data volume. The Ekush-only sweep does.</w:t>
      </w:r>
      <w:r>
        <w:t xml:space="preserve"> </w:t>
      </w:r>
      <w:r>
        <w:rPr>
          <w:b/>
          <w:bCs/>
        </w:rPr>
        <w:t xml:space="preserve">Figure 10</w:t>
      </w:r>
      <w:r>
        <w:t xml:space="preserve"> </w:t>
      </w:r>
      <w:r>
        <w:t xml:space="preserve">(</w:t>
      </w:r>
      <w:r>
        <w:rPr>
          <w:rStyle w:val="VerbatimChar"/>
        </w:rPr>
        <w:t xml:space="preserve">fig10_data_efficiency_sweep.png</w:t>
      </w:r>
      <w:r>
        <w:t xml:space="preserve">) plots the outcome; Table 5 gives the numbers, with 50 and 100</w:t>
      </w:r>
      <w:r>
        <w:t xml:space="preserve"> </w:t>
      </w:r>
      <w:r>
        <w:t xml:space="preserve">per class averaged over three seeds and reported as mean ± standard deviation.</w:t>
      </w:r>
    </w:p>
    <w:p>
      <w:pPr>
        <w:pStyle w:val="CaptionedFigure"/>
      </w:pPr>
      <w:r>
        <w:drawing>
          <wp:inline>
            <wp:extent cx="5334000" cy="1915188"/>
            <wp:effectExtent b="0" l="0" r="0" t="0"/>
            <wp:docPr descr="Figure 10. Ekush-only budget sweep, ImageNet init throughout. (a) Accuracy differences fall within seed noise. (b) Calibration error before temperature scaling." title="" id="47" name="Picture"/>
            <a:graphic>
              <a:graphicData uri="http://schemas.openxmlformats.org/drawingml/2006/picture">
                <pic:pic>
                  <pic:nvPicPr>
                    <pic:cNvPr descr="fig10_data_efficiency_swee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Ekush-only budget sweep, ImageNet init throughout. (a) Accuracy differences fall within seed noise. (b) Calibration error before temperature scaling.</w:t>
      </w:r>
    </w:p>
    <w:p>
      <w:pPr>
        <w:pStyle w:val="BodyText"/>
      </w:pPr>
      <w:r>
        <w:rPr>
          <w:b/>
          <w:bCs/>
        </w:rPr>
        <w:t xml:space="preserve">Table 5. Ekush-only sweep (122 classes, ImageNet init throughout). Accuracy in points.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Images/class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88.20 ± 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89.89 ± 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+1.70 ± 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92.05 ± 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92.40 ± 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+0.35 ± 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accuracy advantage survives.</w:t>
      </w:r>
      <w:r>
        <w:t xml:space="preserve"> </w:t>
      </w:r>
      <w:r>
        <w:t xml:space="preserve">The largest difference, +1.70 points at 50 images per class,</w:t>
      </w:r>
      <w:r>
        <w:t xml:space="preserve"> </w:t>
      </w:r>
      <w:r>
        <w:t xml:space="preserve">carries a standard error of 0.73 (t = 2.33, p ≈ 0.10 on three seeds) and is not significant;</w:t>
      </w:r>
      <w:r>
        <w:t xml:space="preserve"> </w:t>
      </w:r>
      <w:r>
        <w:t xml:space="preserve">ExtendedViT’s own seed-to-seed spread at that budget, ±1.12, exceeds the effect it would</w:t>
      </w:r>
      <w:r>
        <w:t xml:space="preserve"> </w:t>
      </w:r>
      <w:r>
        <w:t xml:space="preserve">demonstrate. At 100 the difference is +0.35 ± 0.49, and at 300 and 1,000 ResNet18 is fractionally</w:t>
      </w:r>
      <w:r>
        <w:t xml:space="preserve"> </w:t>
      </w:r>
      <w:r>
        <w:t xml:space="preserve">ahead. A single-seed run at 50 per class initially showed +2.46 points, which repetition reduced to</w:t>
      </w:r>
      <w:r>
        <w:t xml:space="preserve"> </w:t>
      </w:r>
      <w:r>
        <w:t xml:space="preserve">+1.70 — an illustration of why single-seed differences at this magnitude should not be reported as</w:t>
      </w:r>
      <w:r>
        <w:t xml:space="preserve"> </w:t>
      </w:r>
      <w:r>
        <w:t xml:space="preserve">findings.</w:t>
      </w:r>
    </w:p>
    <w:p>
      <w:pPr>
        <w:pStyle w:val="BodyText"/>
      </w:pPr>
      <w:r>
        <w:t xml:space="preserve">We therefore state plainly that the hypothesis motivating this work — that a Transformer encoder</w:t>
      </w:r>
      <w:r>
        <w:t xml:space="preserve"> </w:t>
      </w:r>
      <w:r>
        <w:t xml:space="preserve">atop a convolutional tokenizer generalises more efficiently from few examples, in top-1 terms — is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.</w:t>
      </w:r>
    </w:p>
    <w:bookmarkEnd w:id="49"/>
    <w:bookmarkStart w:id="50" w:name="Xe353e490c59dc6268d81e8e0e53306d5487683f"/>
    <w:p>
      <w:pPr>
        <w:pStyle w:val="Heading3"/>
      </w:pPr>
      <w:r>
        <w:t xml:space="preserve">5.4 Calibration, and Why It Is Not an Architectural Advantage</w:t>
      </w:r>
    </w:p>
    <w:p>
      <w:pPr>
        <w:pStyle w:val="FirstParagraph"/>
      </w:pPr>
      <w:r>
        <w:t xml:space="preserve">The same runs separate decisively on the quality of their probability estimates.</w:t>
      </w:r>
    </w:p>
    <w:p>
      <w:pPr>
        <w:pStyle w:val="BodyText"/>
      </w:pPr>
      <w:r>
        <w:rPr>
          <w:b/>
          <w:bCs/>
        </w:rPr>
        <w:t xml:space="preserve">Table 6. Expected calibration error, Ekush-only sweep (15 bins; lower is better).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Images/class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 ± 0.005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0.106 ± 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 ± 0.008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0.079 ± 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ExtendedViT approximately halves ResNet18’s calibration error at every budget. The separation is</w:t>
      </w:r>
      <w:r>
        <w:t xml:space="preserve"> </w:t>
      </w:r>
      <w:r>
        <w:t xml:space="preserve">large relative to seed variance (t &gt; 17 at both replicated budgets, with non-overlapping ranges),</w:t>
      </w:r>
      <w:r>
        <w:t xml:space="preserve"> </w:t>
      </w:r>
      <w:r>
        <w:t xml:space="preserve">and the ratio narrows monotonically as data grows — 2.31×, 2.13×, 1.91×, 1.41× — the shape expected</w:t>
      </w:r>
      <w:r>
        <w:t xml:space="preserve"> </w:t>
      </w:r>
      <w:r>
        <w:t xml:space="preserve">of an effect that compensates for limited data. Negative log-likelihood follows the same pattern</w:t>
      </w:r>
      <w:r>
        <w:t xml:space="preserve"> </w:t>
      </w:r>
      <w:r>
        <w:t xml:space="preserve">(0.498 vs 0.717 at 50 per class; 0.234 vs 0.240 at 1,000).</w:t>
      </w:r>
    </w:p>
    <w:p>
      <w:pPr>
        <w:pStyle w:val="BodyText"/>
      </w:pPr>
      <w:r>
        <w:t xml:space="preserve">The mechanism is visible in mean predicted confidence. At 50 images per class ResNet18 averages</w:t>
      </w:r>
      <w:r>
        <w:t xml:space="preserve"> </w:t>
      </w:r>
      <w:r>
        <w:t xml:space="preserve">0.638 confidence against 0.887 accuracy, a 25-point under-confidence gap; ExtendedViT averages 0.794</w:t>
      </w:r>
      <w:r>
        <w:t xml:space="preserve"> </w:t>
      </w:r>
      <w:r>
        <w:t xml:space="preserve">against 0.911, a 12-point gap. Both are under-confident — label smoothing of 0.1 caps attainable</w:t>
      </w:r>
      <w:r>
        <w:t xml:space="preserve"> </w:t>
      </w:r>
      <w:r>
        <w:t xml:space="preserve">confidence, and this inflates the absolute ECE of both models — but ResNet18 markedly more so. Since</w:t>
      </w:r>
      <w:r>
        <w:t xml:space="preserve"> </w:t>
      </w:r>
      <w:r>
        <w:t xml:space="preserve">both models train with identical smoothing, the comparison is unaffected; absolute values should not</w:t>
      </w:r>
      <w:r>
        <w:t xml:space="preserve"> </w:t>
      </w:r>
      <w:r>
        <w:t xml:space="preserve">be compared against ECE figures from studies that omit smoothing.</w:t>
      </w:r>
    </w:p>
    <w:p>
      <w:pPr>
        <w:pStyle w:val="BodyText"/>
      </w:pPr>
      <w:r>
        <w:t xml:space="preserve">The encoder is therefore not finding additional correct answers. It is producing sharper, better</w:t>
      </w:r>
      <w:r>
        <w:t xml:space="preserve"> </w:t>
      </w:r>
      <w:r>
        <w:t xml:space="preserve">calibrated probability estimates from the same evidence — which raises the question of whether the</w:t>
      </w:r>
      <w:r>
        <w:t xml:space="preserve"> </w:t>
      </w:r>
      <w:r>
        <w:t xml:space="preserve">architecture is required to obtain them.</w:t>
      </w:r>
    </w:p>
    <w:p>
      <w:pPr>
        <w:pStyle w:val="BodyText"/>
      </w:pPr>
      <w:r>
        <w:rPr>
          <w:b/>
          <w:bCs/>
        </w:rPr>
        <w:t xml:space="preserve">It is not.</w:t>
      </w:r>
      <w:r>
        <w:t xml:space="preserve"> </w:t>
      </w:r>
      <w:r>
        <w:t xml:space="preserve">Temperature scaling [Guo et al., 2017] is the standard post-hoc calibration</w:t>
      </w:r>
      <w:r>
        <w:t xml:space="preserve"> </w:t>
      </w:r>
      <w:r>
        <w:t xml:space="preserve">correction: divide the logits by a single scalar fitted by minimising validation NLL, leaving</w:t>
      </w:r>
      <w:r>
        <w:t xml:space="preserve"> </w:t>
      </w:r>
      <w:r>
        <w:t xml:space="preserve">accuracy exactly unchanged. Applying it to both models dissolves the gap.</w:t>
      </w:r>
    </w:p>
    <w:p>
      <w:pPr>
        <w:pStyle w:val="BodyText"/>
      </w:pPr>
      <w:r>
        <w:rPr>
          <w:b/>
          <w:bCs/>
        </w:rPr>
        <w:t xml:space="preserve">Table 7. Temperature scaling, Ekush-only sweep. Accuracy is unchanged by construction.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scaled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NLL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NLL scaled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50/class</w:t>
            </w:r>
          </w:p>
        </w:tc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50/class</w:t>
            </w:r>
          </w:p>
        </w:tc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100/class</w:t>
            </w:r>
          </w:p>
        </w:tc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100/class</w:t>
            </w:r>
          </w:p>
        </w:tc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0.3285</w:t>
            </w:r>
          </w:p>
        </w:tc>
      </w:tr>
    </w:tbl>
    <w:p>
      <w:pPr>
        <w:pStyle w:val="BodyText"/>
      </w:pPr>
      <w:r>
        <w:t xml:space="preserve">At 50 images per class a temperature-scaled ResNet18 (0.0250) is</w:t>
      </w:r>
      <w:r>
        <w:t xml:space="preserve"> </w:t>
      </w:r>
      <w:r>
        <w:rPr>
          <w:b/>
          <w:bCs/>
        </w:rPr>
        <w:t xml:space="preserve">better calibrated than an</w:t>
      </w:r>
      <w:r>
        <w:rPr>
          <w:b/>
          <w:bCs/>
        </w:rPr>
        <w:t xml:space="preserve"> </w:t>
      </w:r>
      <w:r>
        <w:rPr>
          <w:b/>
          <w:bCs/>
        </w:rPr>
        <w:t xml:space="preserve">unscaled ExtendedViT</w:t>
      </w:r>
      <w:r>
        <w:t xml:space="preserve"> </w:t>
      </w:r>
      <w:r>
        <w:t xml:space="preserve">(0.1171, and 0.0341 once itself scaled). The fitted temperatures are below 1</w:t>
      </w:r>
      <w:r>
        <w:t xml:space="preserve"> </w:t>
      </w:r>
      <w:r>
        <w:t xml:space="preserve">for both models, confirming that both were under-confident — an expected consequence of the label</w:t>
      </w:r>
      <w:r>
        <w:t xml:space="preserve"> </w:t>
      </w:r>
      <w:r>
        <w:t xml:space="preserve">smoothing used throughout — with ResNet18 simply further from calibrated than the hybrid.</w:t>
      </w:r>
    </w:p>
    <w:p>
      <w:pPr>
        <w:pStyle w:val="BodyText"/>
      </w:pPr>
      <w:r>
        <w:t xml:space="preserve">The encoder was therefore compensating for a defect that one scalar removes more cheaply and more</w:t>
      </w:r>
      <w:r>
        <w:t xml:space="preserve"> </w:t>
      </w:r>
      <w:r>
        <w:t xml:space="preserve">completely.</w:t>
      </w:r>
      <w:r>
        <w:t xml:space="preserve"> </w:t>
      </w:r>
      <w:r>
        <w:rPr>
          <w:b/>
          <w:bCs/>
        </w:rPr>
        <w:t xml:space="preserve">We conclude that the calibration difference is not an architectural advantage.</w:t>
      </w:r>
      <w:r>
        <w:t xml:space="preserve"> </w:t>
      </w:r>
      <w:r>
        <w:t xml:space="preserve">It is</w:t>
      </w:r>
      <w:r>
        <w:t xml:space="preserve"> </w:t>
      </w:r>
      <w:r>
        <w:t xml:space="preserve">a difference in how far each architecture’s raw confidences sit from their empirical accuracy under</w:t>
      </w:r>
      <w:r>
        <w:t xml:space="preserve"> </w:t>
      </w:r>
      <w:r>
        <w:t xml:space="preserve">label smoothing, and it is fully correctable post hoc. Reporting it as an architectural property —</w:t>
      </w:r>
      <w:r>
        <w:t xml:space="preserve"> </w:t>
      </w:r>
      <w:r>
        <w:t xml:space="preserve">as we were prepared to do before running this control — would have been wrong.</w:t>
      </w:r>
    </w:p>
    <w:p>
      <w:pPr>
        <w:pStyle w:val="BodyText"/>
      </w:pPr>
      <w:r>
        <w:t xml:space="preserve">The broader methodological point generalises beyond this paper: uncorrected ECE comparisons between</w:t>
      </w:r>
      <w:r>
        <w:t xml:space="preserve"> </w:t>
      </w:r>
      <w:r>
        <w:t xml:space="preserve">architectures measure the interaction between an architecture and a training recipe, not a property</w:t>
      </w:r>
      <w:r>
        <w:t xml:space="preserve"> </w:t>
      </w:r>
      <w:r>
        <w:t xml:space="preserve">of the architecture. Any calibration comparison should report temperature-scaled figures alongside</w:t>
      </w:r>
      <w:r>
        <w:t xml:space="preserve"> </w:t>
      </w:r>
      <w:r>
        <w:t xml:space="preserve">raw ones.</w:t>
      </w:r>
    </w:p>
    <w:bookmarkEnd w:id="50"/>
    <w:bookmarkStart w:id="54" w:name="cross-corpus-generalisation"/>
    <w:p>
      <w:pPr>
        <w:pStyle w:val="Heading3"/>
      </w:pPr>
      <w:r>
        <w:t xml:space="preserve">5.5 Cross-Corpus Generalisation</w:t>
      </w:r>
    </w:p>
    <w:p>
      <w:pPr>
        <w:pStyle w:val="FirstParagraph"/>
      </w:pPr>
      <w:r>
        <w:t xml:space="preserve">A within-corpus split measures whether a model learned the characters; it does not measure whether</w:t>
      </w:r>
      <w:r>
        <w:t xml:space="preserve"> </w:t>
      </w:r>
      <w:r>
        <w:t xml:space="preserve">it learned them independently of how a particular project collected its images. Since merging</w:t>
      </w:r>
      <w:r>
        <w:t xml:space="preserve"> </w:t>
      </w:r>
      <w:r>
        <w:t xml:space="preserve">corpora implicitly promises the latter, we test it directly: train on one corpus, evaluate on</w:t>
      </w:r>
      <w:r>
        <w:t xml:space="preserve"> </w:t>
      </w:r>
      <w:r>
        <w:t xml:space="preserve">another, restricted to the classes the two share so the label space is identical on both sides. The</w:t>
      </w:r>
      <w:r>
        <w:t xml:space="preserve"> </w:t>
      </w:r>
      <w:r>
        <w:t xml:space="preserve">only thing that changes between training and test is the collection convention — resolution, ink</w:t>
      </w:r>
      <w:r>
        <w:t xml:space="preserve"> </w:t>
      </w:r>
      <w:r>
        <w:t xml:space="preserve">polarity, and writing population.</w:t>
      </w:r>
    </w:p>
    <w:p>
      <w:pPr>
        <w:pStyle w:val="BodyText"/>
      </w:pPr>
      <w:r>
        <w:t xml:space="preserve">RAS-Compound and MatriVasha share 58 classes; RAS-Compound and Ekush share 37. Ekush and MatriVasha</w:t>
      </w:r>
      <w:r>
        <w:t xml:space="preserve"> </w:t>
      </w:r>
      <w:r>
        <w:t xml:space="preserve">share only 8, too few to be informative, so that pair is omitted. Backbones are ImageNet-initialised</w:t>
      </w:r>
      <w:r>
        <w:t xml:space="preserve"> </w:t>
      </w:r>
      <w:r>
        <w:t xml:space="preserve">only, since a Bengali checkpoint would leak the target corpus into the source model.</w:t>
      </w:r>
    </w:p>
    <w:p>
      <w:pPr>
        <w:pStyle w:val="BodyText"/>
      </w:pPr>
      <w:r>
        <w:rPr>
          <w:b/>
          <w:bCs/>
        </w:rPr>
        <w:t xml:space="preserve">Table 8. Cross-corpus generalisation (300 images per class, shared classes only).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Train →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Same-corpus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Cross-corpus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MatriVasha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MatriVasha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RAS → MatriVasha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RAS → MatriVasha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Ekush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Ekush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RAS → 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RAS → 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Generalisation across corpora collapses to chance.</w:t>
      </w:r>
      <w:r>
        <w:t xml:space="preserve"> </w:t>
      </w:r>
      <w:r>
        <w:t xml:space="preserve">Every model scores 0.96–1.00 on its own</w:t>
      </w:r>
      <w:r>
        <w:t xml:space="preserve"> </w:t>
      </w:r>
      <w:r>
        <w:t xml:space="preserve">corpus’s held-out split and 0.021–0.055 on another corpus’s images of</w:t>
      </w:r>
      <w:r>
        <w:t xml:space="preserve"> </w:t>
      </w:r>
      <w:r>
        <w:rPr>
          <w:i/>
          <w:iCs/>
        </w:rPr>
        <w:t xml:space="preserve">the same characters</w:t>
      </w:r>
      <w:r>
        <w:t xml:space="preserve"> </w:t>
      </w:r>
      <w:r>
        <w:t xml:space="preserve">— between</w:t>
      </w:r>
      <w:r>
        <w:t xml:space="preserve"> </w:t>
      </w:r>
      <w:r>
        <w:t xml:space="preserve">0.8× and 2.0× the chance rate of a 37- or 58-way classifier. The result holds in both directions,</w:t>
      </w:r>
      <w:r>
        <w:t xml:space="preserve"> </w:t>
      </w:r>
      <w:r>
        <w:t xml:space="preserve">for both architectures, and across both corpus pairs. Figure 11 (</w:t>
      </w:r>
      <w:r>
        <w:rPr>
          <w:rStyle w:val="VerbatimChar"/>
        </w:rPr>
        <w:t xml:space="preserve">fig11_cross_source.png</w:t>
      </w:r>
      <w:r>
        <w:t xml:space="preserve">) plots it.</w:t>
      </w:r>
    </w:p>
    <w:p>
      <w:pPr>
        <w:pStyle w:val="CaptionedFigure"/>
      </w:pPr>
      <w:r>
        <w:drawing>
          <wp:inline>
            <wp:extent cx="5334000" cy="2430216"/>
            <wp:effectExtent b="0" l="0" r="0" t="0"/>
            <wp:docPr descr="Figure 11. Cross-corpus generalisation collapses to chance on the classes each pair shares." title="" id="52" name="Picture"/>
            <a:graphic>
              <a:graphicData uri="http://schemas.openxmlformats.org/drawingml/2006/picture">
                <pic:pic>
                  <pic:nvPicPr>
                    <pic:cNvPr descr="fig11_cross_sour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 Cross-corpus generalisation collapses to chance on the classes each pair shares.</w:t>
      </w:r>
    </w:p>
    <w:p>
      <w:pPr>
        <w:pStyle w:val="BodyText"/>
      </w:pPr>
      <w:r>
        <w:rPr>
          <w:b/>
          <w:bCs/>
        </w:rPr>
        <w:t xml:space="preserve">This is not a labelling artifact.</w:t>
      </w:r>
      <w:r>
        <w:t xml:space="preserve"> </w:t>
      </w:r>
      <w:r>
        <w:t xml:space="preserve">Near-chance transfer would follow trivially if the corpora’s</w:t>
      </w:r>
      <w:r>
        <w:t xml:space="preserve"> </w:t>
      </w:r>
      <w:r>
        <w:t xml:space="preserve">class mappings disagreed, which would also invalidate the merged benchmark. We tested this directly:</w:t>
      </w:r>
      <w:r>
        <w:t xml:space="preserve"> </w:t>
      </w:r>
      <w:r>
        <w:t xml:space="preserve">the merged full-corpus model classifies RAS-Compound’s shared-class test samples at 0.9921 and</w:t>
      </w:r>
      <w:r>
        <w:t xml:space="preserve"> </w:t>
      </w:r>
      <w:r>
        <w:t xml:space="preserve">MatriVasha’s at 0.9800. Both corpora’s renderings of a class map to the same label correctly, so the</w:t>
      </w:r>
      <w:r>
        <w:t xml:space="preserve"> </w:t>
      </w:r>
      <w:r>
        <w:t xml:space="preserve">grapheme-level reconciliation of Section 3.2 is sound and the collapse reflects genuine domain shift.</w:t>
      </w:r>
    </w:p>
    <w:p>
      <w:pPr>
        <w:pStyle w:val="BodyText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A model trained on a single Bengali corpus does not learn to recognise Bengali</w:t>
      </w:r>
      <w:r>
        <w:t xml:space="preserve"> </w:t>
      </w:r>
      <w:r>
        <w:t xml:space="preserve">compound characters; it learns to recognise one project’s rendering of them — its resolution, its</w:t>
      </w:r>
      <w:r>
        <w:t xml:space="preserve"> </w:t>
      </w:r>
      <w:r>
        <w:t xml:space="preserve">binarisation, its ink polarity, its writer population. The 97.6% our merged model achieves across all</w:t>
      </w:r>
      <w:r>
        <w:t xml:space="preserve"> </w:t>
      </w:r>
      <w:r>
        <w:t xml:space="preserve">three corpora is attainable only because it saw all three in training. It is not evidence of a</w:t>
      </w:r>
      <w:r>
        <w:t xml:space="preserve"> </w:t>
      </w:r>
      <w:r>
        <w:t xml:space="preserve">general character recogniser, and neither, by extension, are the near-ceiling accuracies the</w:t>
      </w:r>
      <w:r>
        <w:t xml:space="preserve"> </w:t>
      </w:r>
      <w:r>
        <w:t xml:space="preserve">literature reports on individual corpora [11], [12], [17], [23]: those numbers describe within-corpus</w:t>
      </w:r>
      <w:r>
        <w:t xml:space="preserve"> </w:t>
      </w:r>
      <w:r>
        <w:t xml:space="preserve">competence and may substantially overstate performance on newly collected handwriting.</w:t>
      </w:r>
    </w:p>
    <w:p>
      <w:pPr>
        <w:pStyle w:val="BodyText"/>
      </w:pPr>
      <w:r>
        <w:t xml:space="preserve">The finding reframes what merging is for. Merging is usually motivated as enlarging the training set;</w:t>
      </w:r>
      <w:r>
        <w:t xml:space="preserve"> </w:t>
      </w:r>
      <w:r>
        <w:t xml:space="preserve">here it is better understood as</w:t>
      </w:r>
      <w:r>
        <w:t xml:space="preserve"> </w:t>
      </w:r>
      <w:r>
        <w:rPr>
          <w:b/>
          <w:bCs/>
        </w:rPr>
        <w:t xml:space="preserve">covering domains</w:t>
      </w:r>
      <w:r>
        <w:t xml:space="preserve">, since no single corpus yields a model that</w:t>
      </w:r>
      <w:r>
        <w:t xml:space="preserve"> </w:t>
      </w:r>
      <w:r>
        <w:t xml:space="preserve">transfers to another. It also identifies the concrete gap the field should target — domain-invariant</w:t>
      </w:r>
      <w:r>
        <w:t xml:space="preserve"> </w:t>
      </w:r>
      <w:r>
        <w:t xml:space="preserve">representations for handwritten Bengali — which the preprocessing of Section 3.3 evidently does not</w:t>
      </w:r>
      <w:r>
        <w:t xml:space="preserve"> </w:t>
      </w:r>
      <w:r>
        <w:t xml:space="preserve">achieve, despite normalising polarity and scale.</w:t>
      </w:r>
    </w:p>
    <w:p>
      <w:pPr>
        <w:pStyle w:val="BodyText"/>
      </w:pPr>
      <w:r>
        <w:rPr>
          <w:b/>
          <w:bCs/>
        </w:rPr>
        <w:t xml:space="preserve">Caveats.</w:t>
      </w:r>
      <w:r>
        <w:t xml:space="preserve"> </w:t>
      </w:r>
      <w:r>
        <w:t xml:space="preserve">Training was capped at 300 images per class; larger budgets might narrow the gap,</w:t>
      </w:r>
      <w:r>
        <w:t xml:space="preserve"> </w:t>
      </w:r>
      <w:r>
        <w:t xml:space="preserve">though the effect size makes it implausible that they close it. The two RAS-trained rows reach</w:t>
      </w:r>
      <w:r>
        <w:t xml:space="preserve"> </w:t>
      </w:r>
      <w:r>
        <w:t xml:space="preserve">1.0000 same-corpus validation, which suggests unusually low intra-class variation in that corpus and</w:t>
      </w:r>
      <w:r>
        <w:t xml:space="preserve"> </w:t>
      </w:r>
      <w:r>
        <w:t xml:space="preserve">inflates the gap for those directions specifically. And each pair is a single run, though the</w:t>
      </w:r>
      <w:r>
        <w:t xml:space="preserve"> </w:t>
      </w:r>
      <w:r>
        <w:t xml:space="preserve">consistency across eight runs and four directions makes seed variance an unlikely explanation for an</w:t>
      </w:r>
      <w:r>
        <w:t xml:space="preserve"> </w:t>
      </w:r>
      <w:r>
        <w:t xml:space="preserve">effect of this magnitude.</w:t>
      </w:r>
    </w:p>
    <w:bookmarkEnd w:id="54"/>
    <w:bookmarkStart w:id="58" w:name="inference-cost"/>
    <w:p>
      <w:pPr>
        <w:pStyle w:val="Heading3"/>
      </w:pPr>
      <w:r>
        <w:t xml:space="preserve">5.6 Inference Cost</w:t>
      </w:r>
    </w:p>
    <w:p>
      <w:pPr>
        <w:pStyle w:val="FirstParagraph"/>
      </w:pPr>
      <w:r>
        <w:rPr>
          <w:b/>
          <w:bCs/>
        </w:rPr>
        <w:t xml:space="preserve">Figure 9</w:t>
      </w:r>
      <w:r>
        <w:t xml:space="preserve"> </w:t>
      </w:r>
      <w:r>
        <w:t xml:space="preserve">(</w:t>
      </w:r>
      <w:r>
        <w:rPr>
          <w:rStyle w:val="VerbatimChar"/>
        </w:rPr>
        <w:t xml:space="preserve">fig9_efficiency.png</w:t>
      </w:r>
      <w:r>
        <w:t xml:space="preserve">) plots accuracy against single-image CPU latency measured on one</w:t>
      </w:r>
      <w:r>
        <w:t xml:space="preserve"> </w:t>
      </w:r>
      <w:r>
        <w:t xml:space="preserve">thread. ExtendedViT runs in 17 ms against ViT-B/16’s 56 ms — 3.3× faster with 3.6× fewer parameters —</w:t>
      </w:r>
      <w:r>
        <w:t xml:space="preserve"> </w:t>
      </w:r>
      <w:r>
        <w:t xml:space="preserve">because attention operates over 50 tokens rather than 197. Relative to ResNet18’s 13 ms, the</w:t>
      </w:r>
      <w:r>
        <w:t xml:space="preserve"> </w:t>
      </w:r>
      <w:r>
        <w:t xml:space="preserve">transformer encoder costs approximately 4 ms per image, which is the price of the data-efficiency</w:t>
      </w:r>
      <w:r>
        <w:t xml:space="preserve"> </w:t>
      </w:r>
      <w:r>
        <w:t xml:space="preserve">gain reported above. For the resource-constrained deployment scenarios the literature emphasises</w:t>
      </w:r>
      <w:r>
        <w:t xml:space="preserve"> </w:t>
      </w:r>
      <w:r>
        <w:t xml:space="preserve">[18], [20], this positions ExtendedViT favourably: it is the most accurate model at the equal-budget</w:t>
      </w:r>
      <w:r>
        <w:t xml:space="preserve"> </w:t>
      </w:r>
      <w:r>
        <w:t xml:space="preserve">setting while remaining within a few milliseconds of the cheapest competitive one.</w:t>
      </w:r>
    </w:p>
    <w:p>
      <w:pPr>
        <w:pStyle w:val="CaptionedFigure"/>
      </w:pPr>
      <w:r>
        <w:drawing>
          <wp:inline>
            <wp:extent cx="5334000" cy="3342639"/>
            <wp:effectExtent b="0" l="0" r="0" t="0"/>
            <wp:docPr descr="Figure 9. Accuracy against single-image CPU latency; bubble area is proportional to the square root of parameter count." title="" id="56" name="Picture"/>
            <a:graphic>
              <a:graphicData uri="http://schemas.openxmlformats.org/drawingml/2006/picture">
                <pic:pic>
                  <pic:nvPicPr>
                    <pic:cNvPr descr="fig9_efficienc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Accuracy against single-image CPU latency; bubble area is proportional to the square root of parameter count.</w:t>
      </w:r>
    </w:p>
    <w:bookmarkEnd w:id="58"/>
    <w:bookmarkStart w:id="62" w:name="attention-analysis"/>
    <w:p>
      <w:pPr>
        <w:pStyle w:val="Heading3"/>
      </w:pPr>
      <w:r>
        <w:t xml:space="preserve">5.7 Attention Analysis</w:t>
      </w:r>
    </w:p>
    <w:p>
      <w:pPr>
        <w:pStyle w:val="FirstParagraph"/>
      </w:pPr>
      <w:r>
        <w:rPr>
          <w:b/>
          <w:bCs/>
        </w:rPr>
        <w:t xml:space="preserve">Figure 8</w:t>
      </w:r>
      <w:r>
        <w:t xml:space="preserve"> </w:t>
      </w:r>
      <w:r>
        <w:t xml:space="preserve">(</w:t>
      </w:r>
      <w:r>
        <w:rPr>
          <w:rStyle w:val="VerbatimChar"/>
        </w:rPr>
        <w:t xml:space="preserve">fig8_attention.png</w:t>
      </w:r>
      <w:r>
        <w:t xml:space="preserve">) visualises the classification token’s attention over the 7×7 token</w:t>
      </w:r>
      <w:r>
        <w:t xml:space="preserve"> </w:t>
      </w:r>
      <w:r>
        <w:t xml:space="preserve">grid in the final encoder layer, upsampled and overlaid on the input glyph. A consistent pattern</w:t>
      </w:r>
      <w:r>
        <w:t xml:space="preserve"> </w:t>
      </w:r>
      <w:r>
        <w:t xml:space="preserve">emerges: attention concentrates on the conjunct body and systematically avoids the মাত্রা head-line.</w:t>
      </w:r>
      <w:r>
        <w:t xml:space="preserve"> </w:t>
      </w:r>
      <w:r>
        <w:t xml:space="preserve">This is the behaviour the architecture was designed to produce. The head-line is present in nearly</w:t>
      </w:r>
      <w:r>
        <w:t xml:space="preserve"> </w:t>
      </w:r>
      <w:r>
        <w:t xml:space="preserve">every Bengali character and therefore carries almost no class-discriminative information, while the</w:t>
      </w:r>
      <w:r>
        <w:t xml:space="preserve"> </w:t>
      </w:r>
      <w:r>
        <w:t xml:space="preserve">structural relationship between conjoined consonant forms beneath it carries nearly all of it. That</w:t>
      </w:r>
      <w:r>
        <w:t xml:space="preserve"> </w:t>
      </w:r>
      <w:r>
        <w:t xml:space="preserve">the model learns to allocate attention accordingly — without any supervision directing it to do so —</w:t>
      </w:r>
      <w:r>
        <w:t xml:space="preserve"> </w:t>
      </w:r>
      <w:r>
        <w:t xml:space="preserve">supports the argument in Section 3.4 that global self-attention over the whole glyph is the right</w:t>
      </w:r>
      <w:r>
        <w:t xml:space="preserve"> </w:t>
      </w:r>
      <w:r>
        <w:t xml:space="preserve">inductive addition for this problem.</w:t>
      </w:r>
    </w:p>
    <w:p>
      <w:pPr>
        <w:pStyle w:val="CaptionedFigure"/>
      </w:pPr>
      <w:r>
        <w:drawing>
          <wp:inline>
            <wp:extent cx="5334000" cy="1947976"/>
            <wp:effectExtent b="0" l="0" r="0" t="0"/>
            <wp:docPr descr="Figure 8. Classification-token attention over the 7x7 token grid, overlaid on the input glyph. Attention avoids the shared matra head-line." title="" id="60" name="Picture"/>
            <a:graphic>
              <a:graphicData uri="http://schemas.openxmlformats.org/drawingml/2006/picture">
                <pic:pic>
                  <pic:nvPicPr>
                    <pic:cNvPr descr="fig8_attenti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Classification-token attention over the 7x7 token grid, overlaid on the input glyph. Attention avoids the shared matra head-line.</w:t>
      </w:r>
    </w:p>
    <w:p>
      <w:pPr>
        <w:pStyle w:val="BodyText"/>
      </w:pPr>
      <w:r>
        <w:t xml:space="preserve">Attention weights are extracted by running the encoder stack manually rather than through</w:t>
      </w:r>
      <w:r>
        <w:t xml:space="preserve"> </w:t>
      </w:r>
      <w:r>
        <w:rPr>
          <w:rStyle w:val="VerbatimChar"/>
        </w:rPr>
        <w:t xml:space="preserve">nn.TransformerEncoder</w:t>
      </w:r>
      <w:r>
        <w:t xml:space="preserve">; the manual pass is asserted to reproduce the model’s own logits, which also</w:t>
      </w:r>
      <w:r>
        <w:t xml:space="preserve"> </w:t>
      </w:r>
      <w:r>
        <w:t xml:space="preserve">serves as a check on the formulation given in Section 3.4.</w:t>
      </w:r>
    </w:p>
    <w:bookmarkEnd w:id="62"/>
    <w:bookmarkStart w:id="63" w:name="ablation-studies"/>
    <w:p>
      <w:pPr>
        <w:pStyle w:val="Heading3"/>
      </w:pPr>
      <w:r>
        <w:t xml:space="preserve">5.8 Ablation Studies</w:t>
      </w:r>
    </w:p>
    <w:p>
      <w:pPr>
        <w:pStyle w:val="FirstParagraph"/>
      </w:pPr>
      <w:r>
        <w:rPr>
          <w:b/>
          <w:bCs/>
        </w:rPr>
        <w:t xml:space="preserve">Backbone initialisation.</w:t>
      </w:r>
      <w:r>
        <w:t xml:space="preserve"> </w:t>
      </w:r>
      <w:r>
        <w:t xml:space="preserve">Holding everything else fixed, initialising ExtendedViT’s trunk from</w:t>
      </w:r>
      <w:r>
        <w:t xml:space="preserve"> </w:t>
      </w:r>
      <w:r>
        <w:t xml:space="preserve">ImageNet rather than from the full-corpus ResNet18 checkpoint costs 1.43 accuracy points at the</w:t>
      </w:r>
      <w:r>
        <w:t xml:space="preserve"> </w:t>
      </w:r>
      <w:r>
        <w:t xml:space="preserve">equal-budget setting (0.9719 → 0.9576). The inherited trunk had seen the entire corpus, so that</w:t>
      </w:r>
      <w:r>
        <w:t xml:space="preserve"> </w:t>
      </w:r>
      <w:r>
        <w:t xml:space="preserve">1.43-point difference measures leaked information rather than architecture. The equivalent</w:t>
      </w:r>
      <w:r>
        <w:t xml:space="preserve"> </w:t>
      </w:r>
      <w:r>
        <w:t xml:space="preserve">inheritance in ResNet18 — from a RAS-only checkpoint — moves first-epoch validation accuracy from</w:t>
      </w:r>
      <w:r>
        <w:t xml:space="preserve"> </w:t>
      </w:r>
      <w:r>
        <w:t xml:space="preserve">0.703 to 0.234 in the single-source sweep. Both baselines were affected; Sections 5.3 and 5.4 use</w:t>
      </w:r>
      <w:r>
        <w:t xml:space="preserve"> </w:t>
      </w:r>
      <w:r>
        <w:t xml:space="preserve">ImageNet initialisation throughout.</w:t>
      </w:r>
    </w:p>
    <w:p>
      <w:pPr>
        <w:pStyle w:val="BodyText"/>
      </w:pPr>
      <w:r>
        <w:rPr>
          <w:b/>
          <w:bCs/>
        </w:rPr>
        <w:t xml:space="preserve">Temperature scaling.</w:t>
      </w:r>
      <w:r>
        <w:t xml:space="preserve"> </w:t>
      </w:r>
      <w:r>
        <w:t xml:space="preserve">Run, and reported in Section 5.4: a single scalar fitted on validation data</w:t>
      </w:r>
      <w:r>
        <w:t xml:space="preserve"> </w:t>
      </w:r>
      <w:r>
        <w:t xml:space="preserve">removes the calibration difference between architectures entirely. This was the decisive control for</w:t>
      </w:r>
      <w:r>
        <w:t xml:space="preserve"> </w:t>
      </w:r>
      <w:r>
        <w:t xml:space="preserve">the paper’s remaining architectural claim, and it did not survive it.</w:t>
      </w:r>
    </w:p>
    <w:p>
      <w:pPr>
        <w:pStyle w:val="BodyText"/>
      </w:pPr>
      <w:r>
        <w:rPr>
          <w:b/>
          <w:bCs/>
        </w:rPr>
        <w:t xml:space="preserve">Ablations worth adding if reviewers ask, or if space permits.</w:t>
      </w:r>
      <w:r>
        <w:t xml:space="preserve"> </w:t>
      </w:r>
      <w:r>
        <w:t xml:space="preserve">Each isolates one design decision</w:t>
      </w:r>
      <w:r>
        <w:t xml:space="preserve"> </w:t>
      </w:r>
      <w:r>
        <w:t xml:space="preserve">and costs roughly 1.5 hours at the equal-budget setting. Given that no architectural advantage</w:t>
      </w:r>
      <w:r>
        <w:t xml:space="preserve"> </w:t>
      </w:r>
      <w:r>
        <w:t xml:space="preserve">survived, these are now of limited value; the</w:t>
      </w:r>
      <w:r>
        <w:t xml:space="preserve"> </w:t>
      </w:r>
      <w:r>
        <w:rPr>
          <w:rStyle w:val="VerbatimChar"/>
        </w:rPr>
        <w:t xml:space="preserve">L = 0</w:t>
      </w:r>
      <w:r>
        <w:t xml:space="preserve"> </w:t>
      </w:r>
      <w:r>
        <w:t xml:space="preserve">variant is the only one we would prioritise,</w:t>
      </w:r>
      <w:r>
        <w:t xml:space="preserve"> </w:t>
      </w:r>
      <w:r>
        <w:t xml:space="preserve">since it reduces exactly to the ResNet18 baseline and would confirm the encoder’s contribution is</w:t>
      </w:r>
      <w:r>
        <w:t xml:space="preserve"> </w:t>
      </w:r>
      <w:r>
        <w:t xml:space="preserve">null rather than merely small.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Ablation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depth</w:t>
            </w:r>
          </w:p>
        </w:tc>
        <w:tc>
          <w:tcPr/>
          <w:p>
            <w:pPr>
              <w:pStyle w:val="Compact"/>
            </w:pPr>
            <w:r>
              <w:t xml:space="preserve">Is 4 layers the right capacity, or is the gain saturating?</w:t>
            </w:r>
          </w:p>
        </w:tc>
        <w:tc>
          <w:tcPr/>
          <w:p>
            <w:pPr>
              <w:pStyle w:val="Compact"/>
            </w:pPr>
            <w:r>
              <w:t xml:space="preserve">L = 0 (≡ ResNet18 + pooling), 2, 4,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heads</w:t>
            </w:r>
          </w:p>
        </w:tc>
        <w:tc>
          <w:tcPr/>
          <w:p>
            <w:pPr>
              <w:pStyle w:val="Compact"/>
            </w:pPr>
            <w:r>
              <w:t xml:space="preserve">Does head count matter at 50 tokens?</w:t>
            </w:r>
          </w:p>
        </w:tc>
        <w:tc>
          <w:tcPr/>
          <w:p>
            <w:pPr>
              <w:pStyle w:val="Compact"/>
            </w:pPr>
            <w:r>
              <w:t xml:space="preserve">h = 4, 8,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embeddings</w:t>
            </w:r>
          </w:p>
        </w:tc>
        <w:tc>
          <w:tcPr/>
          <w:p>
            <w:pPr>
              <w:pStyle w:val="Compact"/>
            </w:pPr>
            <w:r>
              <w:t xml:space="preserve">Do the 49 tokens need explicit position, given convolution already encodes it?</w:t>
            </w:r>
          </w:p>
        </w:tc>
        <w:tc>
          <w:tcPr/>
          <w:p>
            <w:pPr>
              <w:pStyle w:val="Compact"/>
            </w:pPr>
            <w:r>
              <w:t xml:space="preserve">learned /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Polarity normalisation</w:t>
            </w:r>
          </w:p>
        </w:tc>
        <w:tc>
          <w:tcPr/>
          <w:p>
            <w:pPr>
              <w:pStyle w:val="Compact"/>
            </w:pPr>
            <w:r>
              <w:t xml:space="preserve">How much does the preprocessing contribute versus the architecture?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depth</w:t>
            </w:r>
          </w:p>
        </w:tc>
        <w:tc>
          <w:tcPr/>
          <w:p>
            <w:pPr>
              <w:pStyle w:val="Compact"/>
            </w:pPr>
            <w:r>
              <w:t xml:space="preserve">Would a shallower trunk with a deeper encoder do better?</w:t>
            </w:r>
          </w:p>
        </w:tc>
        <w:tc>
          <w:tcPr/>
          <w:p>
            <w:pPr>
              <w:pStyle w:val="Compact"/>
            </w:pPr>
            <w:r>
              <w:t xml:space="preserve">ResNet18 layer3 output (14×14, 196 tokens) vs layer4 (7×7, 49)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 = 0</w:t>
      </w:r>
      <w:r>
        <w:t xml:space="preserve"> </w:t>
      </w:r>
      <w:r>
        <w:t xml:space="preserve">variant is the most informative single ablation, since it reduces exactly to the</w:t>
      </w:r>
      <w:r>
        <w:t xml:space="preserve"> </w:t>
      </w:r>
      <w:r>
        <w:t xml:space="preserve">ResNet18 baseline and isolates the encoder’s entire contribution.</w:t>
      </w:r>
    </w:p>
    <w:bookmarkEnd w:id="63"/>
    <w:bookmarkStart w:id="64" w:name="comparison-with-prior-published-results"/>
    <w:p>
      <w:pPr>
        <w:pStyle w:val="Heading3"/>
      </w:pPr>
      <w:r>
        <w:t xml:space="preserve">5.9 Comparison with Prior Published Results</w:t>
      </w:r>
    </w:p>
    <w:p>
      <w:pPr>
        <w:pStyle w:val="FirstParagraph"/>
      </w:pPr>
      <w:r>
        <w:rPr>
          <w:b/>
          <w:bCs/>
        </w:rPr>
        <w:t xml:space="preserve">Table 9. Positioning against prior Bengali character recognition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 et al. (2014) [3]</w:t>
            </w:r>
          </w:p>
        </w:tc>
        <w:tc>
          <w:tcPr/>
          <w:p>
            <w:pPr>
              <w:pStyle w:val="Compact"/>
            </w:pPr>
            <w:r>
              <w:t xml:space="preserve">Convex-hull + quad-tree + SVM</w:t>
            </w:r>
          </w:p>
        </w:tc>
        <w:tc>
          <w:tcPr/>
          <w:p>
            <w:pPr>
              <w:pStyle w:val="Compact"/>
            </w:pPr>
            <w:r>
              <w:t xml:space="preserve">CMATERdb 3.1.3.3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 et al. (2017) [9]</w:t>
            </w:r>
          </w:p>
        </w:tc>
        <w:tc>
          <w:tcPr/>
          <w:p>
            <w:pPr>
              <w:pStyle w:val="Compact"/>
            </w:pPr>
            <w:r>
              <w:t xml:space="preserve">Layer-wise DCNN</w:t>
            </w:r>
          </w:p>
        </w:tc>
        <w:tc>
          <w:tcPr/>
          <w:p>
            <w:pPr>
              <w:pStyle w:val="Compact"/>
            </w:pPr>
            <w:r>
              <w:t xml:space="preserve">CMATERdb 3.1.3.3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Chatterjee et al. (2019) [11]</w:t>
            </w:r>
          </w:p>
        </w:tc>
        <w:tc>
          <w:tcPr/>
          <w:p>
            <w:pPr>
              <w:pStyle w:val="Compact"/>
            </w:pPr>
            <w:r>
              <w:t xml:space="preserve">ResNet-50, ImageNet</w:t>
            </w:r>
          </w:p>
        </w:tc>
        <w:tc>
          <w:tcPr/>
          <w:p>
            <w:pPr>
              <w:pStyle w:val="Compact"/>
            </w:pPr>
            <w:r>
              <w:t xml:space="preserve">BanglaLekha-Isolated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Ghosh et al. (2020) [12]</w:t>
            </w:r>
          </w:p>
        </w:tc>
        <w:tc>
          <w:tcPr/>
          <w:p>
            <w:pPr>
              <w:pStyle w:val="Compact"/>
            </w:pPr>
            <w:r>
              <w:t xml:space="preserve">InceptionResNetV2 / DenseNet121</w:t>
            </w:r>
          </w:p>
        </w:tc>
        <w:tc>
          <w:tcPr/>
          <w:p>
            <w:pPr>
              <w:pStyle w:val="Compact"/>
            </w:pPr>
            <w:r>
              <w:t xml:space="preserve">CMATERdb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CompoundDenseNet [23]</w:t>
            </w:r>
          </w:p>
        </w:tc>
        <w:tc>
          <w:tcPr/>
          <w:p>
            <w:pPr>
              <w:pStyle w:val="Compact"/>
            </w:pPr>
            <w:r>
              <w:t xml:space="preserve">Modified DenseNet</w:t>
            </w:r>
          </w:p>
        </w:tc>
        <w:tc>
          <w:tcPr/>
          <w:p>
            <w:pPr>
              <w:pStyle w:val="Compact"/>
            </w:pPr>
            <w:r>
              <w:t xml:space="preserve">BanglaLekha / Ekush / CMATERdb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96.2–98.5%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Parvez et al. (2025) [17]</w:t>
            </w:r>
          </w:p>
        </w:tc>
        <w:tc>
          <w:tcPr/>
          <w:p>
            <w:pPr>
              <w:pStyle w:val="Compact"/>
            </w:pPr>
            <w:r>
              <w:t xml:space="preserve">ViT-B/16</w:t>
            </w:r>
          </w:p>
        </w:tc>
        <w:tc>
          <w:tcPr/>
          <w:p>
            <w:pPr>
              <w:pStyle w:val="Compact"/>
            </w:pPr>
            <w:r>
              <w:t xml:space="preserve">CMATERdb 3.1.2 (basic)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ResViT [19]</w:t>
            </w:r>
          </w:p>
        </w:tc>
        <w:tc>
          <w:tcPr/>
          <w:p>
            <w:pPr>
              <w:pStyle w:val="Compact"/>
            </w:pPr>
            <w:r>
              <w:t xml:space="preserve">ResNet50v2 + ViT, parallel fusion</w:t>
            </w:r>
          </w:p>
        </w:tc>
        <w:tc>
          <w:tcPr/>
          <w:p>
            <w:pPr>
              <w:pStyle w:val="Compact"/>
            </w:pPr>
            <w:r>
              <w:t xml:space="preserve">BanglaLekha-Isolated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Raquib et al. [25]</w:t>
            </w:r>
          </w:p>
        </w:tc>
        <w:tc>
          <w:tcPr/>
          <w:p>
            <w:pPr>
              <w:pStyle w:val="Compact"/>
            </w:pPr>
            <w:r>
              <w:t xml:space="preserve">EfficientNetB3 + ViT + Conformer</w:t>
            </w:r>
          </w:p>
        </w:tc>
        <w:tc>
          <w:tcPr/>
          <w:p>
            <w:pPr>
              <w:pStyle w:val="Compact"/>
            </w:pPr>
            <w:r>
              <w:t xml:space="preserve">Own (78-class) / CHBCR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98.84% / 96.49%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ResNet18 tokenizer + Transformer encoder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 RAS + Ekush + MatriVasha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97.56%</w:t>
            </w:r>
            <w:r>
              <w:t xml:space="preserve"> </w:t>
            </w:r>
            <w:r>
              <w:t xml:space="preserve">(full corpus)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These numbers are not a leaderboard and must not be presented as one.</w:t>
      </w:r>
      <w:r>
        <w:t xml:space="preserve"> </w:t>
      </w:r>
      <w:r>
        <w:t xml:space="preserve">Class counts range from 50</w:t>
      </w:r>
      <w:r>
        <w:t xml:space="preserve"> </w:t>
      </w:r>
      <w:r>
        <w:t xml:space="preserve">to 256, evaluation protocols and splits differ, several sets are near-balanced while ours is</w:t>
      </w:r>
      <w:r>
        <w:t xml:space="preserve"> </w:t>
      </w:r>
      <w:r>
        <w:t xml:space="preserve">deliberately not, and some reported figures are averages over balanced subsets. A 98.26% on 50 basic</w:t>
      </w:r>
      <w:r>
        <w:t xml:space="preserve"> </w:t>
      </w:r>
      <w:r>
        <w:t xml:space="preserve">characters [17] is a substantially easier problem than 97.56% on 256 classes including the full</w:t>
      </w:r>
      <w:r>
        <w:t xml:space="preserve"> </w:t>
      </w:r>
      <w:r>
        <w:t xml:space="preserve">compound inventory and a 27-class rare tail. The table’s purpose is to show that our result sits in</w:t>
      </w:r>
      <w:r>
        <w:t xml:space="preserve"> </w:t>
      </w:r>
      <w:r>
        <w:t xml:space="preserve">the range established by recent deep architectures while being obtained on a markedly larger and</w:t>
      </w:r>
      <w:r>
        <w:t xml:space="preserve"> </w:t>
      </w:r>
      <w:r>
        <w:t xml:space="preserve">more imbalanced label space — not to claim state of the art. Any venue submission should state this</w:t>
      </w:r>
      <w:r>
        <w:t xml:space="preserve"> </w:t>
      </w:r>
      <w:r>
        <w:t xml:space="preserve">caveat explicitly rather than letting the table imply a ranking.</w:t>
      </w:r>
    </w:p>
    <w:bookmarkEnd w:id="64"/>
    <w:bookmarkStart w:id="65" w:name="per-source-and-per-class-analysis"/>
    <w:p>
      <w:pPr>
        <w:pStyle w:val="Heading3"/>
      </w:pPr>
      <w:r>
        <w:t xml:space="preserve">5.10 Per-Source and Per-Class Analysis</w:t>
      </w:r>
    </w:p>
    <w:p>
      <w:pPr>
        <w:pStyle w:val="FirstParagraph"/>
      </w:pPr>
      <w:r>
        <w:t xml:space="preserve">Per-source accuracy is reported in Tables 3 and 4. All three pretrained models score highest on</w:t>
      </w:r>
      <w:r>
        <w:t xml:space="preserve"> </w:t>
      </w:r>
      <w:r>
        <w:t xml:space="preserve">RAS-Compound (0.991–0.994) and lowest on Ekush (0.974), the reverse of what corpus size alone would</w:t>
      </w:r>
      <w:r>
        <w:t xml:space="preserve"> </w:t>
      </w:r>
      <w:r>
        <w:t xml:space="preserve">predict — RAS-Compound is the smallest source but has the cleanest, highest-resolution binarised</w:t>
      </w:r>
      <w:r>
        <w:t xml:space="preserve"> </w:t>
      </w:r>
      <w:r>
        <w:t xml:space="preserve">glyphs, while Ekush is natively 28×28. Image quality dominates corpus size here. The scratch CNN</w:t>
      </w:r>
      <w:r>
        <w:t xml:space="preserve"> </w:t>
      </w:r>
      <w:r>
        <w:t xml:space="preserve">inverts this completely (0.013 on RAS-Compound, 0.707 on Ekush), because without a pretrained prior</w:t>
      </w:r>
      <w:r>
        <w:t xml:space="preserve"> </w:t>
      </w:r>
      <w:r>
        <w:t xml:space="preserve">it learns only what it sees in quantity.</w:t>
      </w:r>
    </w:p>
    <w:p>
      <w:pPr>
        <w:pStyle w:val="BodyText"/>
      </w:pPr>
      <w:r>
        <w:rPr>
          <w:b/>
          <w:bCs/>
        </w:rPr>
        <w:t xml:space="preserve">Rare classes are the easiest, not the hardest.</w:t>
      </w:r>
      <w:r>
        <w:t xml:space="preserve"> </w:t>
      </w:r>
      <w:r>
        <w:t xml:space="preserve">The 27 classes with fewer than 100 images reach a</w:t>
      </w:r>
      <w:r>
        <w:t xml:space="preserve"> </w:t>
      </w:r>
      <w:r>
        <w:t xml:space="preserve">mean per-class F1 of</w:t>
      </w:r>
      <w:r>
        <w:t xml:space="preserve"> </w:t>
      </w:r>
      <w:r>
        <w:rPr>
          <w:b/>
          <w:bCs/>
        </w:rPr>
        <w:t xml:space="preserve">0.9966</w:t>
      </w:r>
      <w:r>
        <w:t xml:space="preserve"> </w:t>
      </w:r>
      <w:r>
        <w:t xml:space="preserve">(ExtendedViT; 0.9925 for ResNet18) against</w:t>
      </w:r>
      <w:r>
        <w:t xml:space="preserve"> </w:t>
      </w:r>
      <w:r>
        <w:rPr>
          <w:b/>
          <w:bCs/>
        </w:rPr>
        <w:t xml:space="preserve">0.9758</w:t>
      </w:r>
      <w:r>
        <w:t xml:space="preserve"> </w:t>
      </w:r>
      <w:r>
        <w:t xml:space="preserve">for the 229</w:t>
      </w:r>
      <w:r>
        <w:t xml:space="preserve"> </w:t>
      </w:r>
      <w:r>
        <w:t xml:space="preserve">well-populated classes — and all 27 achieve F1 = 1.0. This inverts the usual expectation and follows</w:t>
      </w:r>
      <w:r>
        <w:t xml:space="preserve"> </w:t>
      </w:r>
      <w:r>
        <w:t xml:space="preserve">directly from the confound established in Section 3.2: those 27 classes are contributed solely by</w:t>
      </w:r>
      <w:r>
        <w:t xml:space="preserve"> </w:t>
      </w:r>
      <w:r>
        <w:t xml:space="preserve">RAS-Compound, whose images are high-resolution and cleanly binarised, and no other corpus supplies a</w:t>
      </w:r>
      <w:r>
        <w:t xml:space="preserve"> </w:t>
      </w:r>
      <w:r>
        <w:t xml:space="preserve">competing rendering of them. Their scarcity is an artifact of source size, while their separability</w:t>
      </w:r>
      <w:r>
        <w:t xml:space="preserve"> </w:t>
      </w:r>
      <w:r>
        <w:t xml:space="preserve">comes from image quality. On this benchmark, therefore,</w:t>
      </w:r>
      <w:r>
        <w:t xml:space="preserve"> </w:t>
      </w:r>
      <w:r>
        <w:rPr>
          <w:b/>
          <w:bCs/>
        </w:rPr>
        <w:t xml:space="preserve">macro-F1 does not measure long-tail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</w:t>
      </w:r>
      <w:r>
        <w:t xml:space="preserve">, and neither macro-F1 nor per-class accuracy should be read as evidence about rare</w:t>
      </w:r>
      <w:r>
        <w:t xml:space="preserve"> </w:t>
      </w:r>
      <w:r>
        <w:t xml:space="preserve">conjuncts. We report macro-F1 as a descriptive statistic only.</w:t>
      </w:r>
    </w:p>
    <w:p>
      <w:pPr>
        <w:pStyle w:val="BodyText"/>
      </w:pPr>
      <w:r>
        <w:rPr>
          <w:b/>
          <w:bCs/>
        </w:rPr>
        <w:t xml:space="preserve">Errors concentrate on minimally different conjunct pairs.</w:t>
      </w:r>
      <w:r>
        <w:t xml:space="preserve"> </w:t>
      </w:r>
      <w:r>
        <w:t xml:space="preserve">Only 7 of 256 classes fall below F1</w:t>
      </w:r>
      <w:r>
        <w:t xml:space="preserve"> </w:t>
      </w:r>
      <w:r>
        <w:t xml:space="preserve">0.90. The most-confused pairs are near-identical, and both architectures fail on essentially the</w:t>
      </w:r>
      <w:r>
        <w:t xml:space="preserve"> </w:t>
      </w:r>
      <w:r>
        <w:t xml:space="preserve">same ones:</w:t>
      </w:r>
    </w:p>
    <w:p>
      <w:pPr>
        <w:pStyle w:val="BodyText"/>
      </w:pPr>
      <w:r>
        <w:rPr>
          <w:b/>
          <w:bCs/>
        </w:rPr>
        <w:t xml:space="preserve">Table 10. Most-confused class pairs, full corpus (ExtendedViT / ResNet18 error counts).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True → 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What differs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ন্ড্র → ণ্ড্র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dental ন vs retroflex 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ণ্ড্র → ন্ড্র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the same pair, reversed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ম্ভ্র → ন্ত্র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both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ত্ত → 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conjunct resembling a vowel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ম্ন → ম্ম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ন vs ম as second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ন্ঢ → ন্ট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ঢ vs ট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শ্ন → শ্ম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ন vs ম as second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ন্ব → ণ্ব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dental ন vs retroflex 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ত্থ → 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conjunct vs its own second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২ → 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digit against a consonant</w:t>
            </w:r>
          </w:p>
        </w:tc>
      </w:tr>
    </w:tbl>
    <w:p>
      <w:pPr>
        <w:pStyle w:val="BodyText"/>
      </w:pPr>
      <w:r>
        <w:t xml:space="preserve">Three systematic patterns emerge. First, the</w:t>
      </w:r>
      <w:r>
        <w:t xml:space="preserve"> </w:t>
      </w:r>
      <w:r>
        <w:rPr>
          <w:b/>
          <w:bCs/>
        </w:rPr>
        <w:t xml:space="preserve">dental/retroflex nasal contrast</w:t>
      </w:r>
      <w:r>
        <w:t xml:space="preserve"> </w:t>
      </w:r>
      <w:r>
        <w:t xml:space="preserve">(ন vs ণ) accounts</w:t>
      </w:r>
      <w:r>
        <w:t xml:space="preserve"> </w:t>
      </w:r>
      <w:r>
        <w:t xml:space="preserve">for the single largest error source, and it is symmetric — the confusion runs in both directions,</w:t>
      </w:r>
      <w:r>
        <w:t xml:space="preserve"> </w:t>
      </w:r>
      <w:r>
        <w:t xml:space="preserve">indicating genuine visual ambiguity rather than a class prior. Second,</w:t>
      </w:r>
      <w:r>
        <w:t xml:space="preserve"> </w:t>
      </w:r>
      <w:r>
        <w:rPr>
          <w:b/>
          <w:bCs/>
        </w:rPr>
        <w:t xml:space="preserve">ন vs ম as a second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recurs across otherwise unrelated conjuncts. Third, conjuncts are confused with</w:t>
      </w:r>
      <w: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own constituents</w:t>
      </w:r>
      <w:r>
        <w:t xml:space="preserve"> </w:t>
      </w:r>
      <w:r>
        <w:t xml:space="preserve">(ত্থ → থ) or with visually similar non-conjuncts (ত্ত → ও, ২ → হ), which is a</w:t>
      </w:r>
      <w:r>
        <w:t xml:space="preserve"> </w:t>
      </w:r>
      <w:r>
        <w:t xml:space="preserve">failure of compositional structure rather than of stroke detection.</w:t>
      </w:r>
    </w:p>
    <w:p>
      <w:pPr>
        <w:pStyle w:val="BodyText"/>
      </w:pPr>
      <w:r>
        <w:t xml:space="preserve">That both architectures fail on the same pairs, in similar proportions, indicates these errors are</w:t>
      </w:r>
      <w:r>
        <w:t xml:space="preserve"> </w:t>
      </w:r>
      <w:r>
        <w:t xml:space="preserve">properties of the data rather than of the model — consistent with the near-identical aggregate</w:t>
      </w:r>
      <w:r>
        <w:t xml:space="preserve"> </w:t>
      </w:r>
      <w:r>
        <w:t xml:space="preserve">accuracies of Table 3, and with the inter-class similarity the literature identifies as the field’s</w:t>
      </w:r>
      <w:r>
        <w:t xml:space="preserve"> </w:t>
      </w:r>
      <w:r>
        <w:t xml:space="preserve">persistent obstacle [17], [23], [32]. Full per-class results are in Appendix C; confusion matrices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paper/confusion_full_*.png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Per-source accuracy inverts corpus size.</w:t>
      </w:r>
      <w:r>
        <w:t xml:space="preserve"> </w:t>
      </w:r>
      <w:r>
        <w:t xml:space="preserve">corpus to establish whether the merge benefits all three; report macro-F1 against accuracy to</w:t>
      </w:r>
      <w:r>
        <w:t xml:space="preserve"> </w:t>
      </w:r>
      <w:r>
        <w:t xml:space="preserve">quantify performance on the 27 rare classes; include confusion matrices for the two leading models,</w:t>
      </w:r>
      <w:r>
        <w:t xml:space="preserve"> </w:t>
      </w:r>
      <w:r>
        <w:t xml:space="preserve">focusing on the structurally similar conjunct pairs that the literature identifies as the persistent</w:t>
      </w:r>
      <w:r>
        <w:t xml:space="preserve"> </w:t>
      </w:r>
      <w:r>
        <w:t xml:space="preserve">failure mode [17], [23].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rPr>
          <w:b/>
          <w:bCs/>
        </w:rPr>
        <w:t xml:space="preserve">The dominant effect is the corpus, not the architecture.</w:t>
      </w:r>
      <w:r>
        <w:t xml:space="preserve"> </w:t>
      </w:r>
      <w:r>
        <w:t xml:space="preserve">Section 5.5 puts the architecture</w:t>
      </w:r>
      <w:r>
        <w:t xml:space="preserve"> </w:t>
      </w:r>
      <w:r>
        <w:t xml:space="preserve">comparison in proportion. Every difference between architectures reported in this paper is at most</w:t>
      </w:r>
      <w:r>
        <w:t xml:space="preserve"> </w:t>
      </w:r>
      <w:r>
        <w:t xml:space="preserve">a few accuracy points; the difference between evaluating within a corpus and across corpora is</w:t>
      </w:r>
      <w:r>
        <w:t xml:space="preserve"> </w:t>
      </w:r>
      <w:r>
        <w:t xml:space="preserve">ninety. Any conclusion about which architecture is best for Bengali compound characters is therefore</w:t>
      </w:r>
      <w:r>
        <w:t xml:space="preserve"> </w:t>
      </w:r>
      <w:r>
        <w:t xml:space="preserve">conditional on a fixed collection convention, and would need re-establishing on data collected</w:t>
      </w:r>
      <w:r>
        <w:t xml:space="preserve"> </w:t>
      </w:r>
      <w:r>
        <w:t xml:space="preserve">differently. We state this before discussing the architecture results, because it bounds how much</w:t>
      </w:r>
      <w:r>
        <w:t xml:space="preserve"> </w:t>
      </w:r>
      <w:r>
        <w:t xml:space="preserve">weight they can carry.</w:t>
      </w:r>
    </w:p>
    <w:p>
      <w:pPr>
        <w:pStyle w:val="BodyText"/>
      </w:pPr>
      <w:r>
        <w:rPr>
          <w:b/>
          <w:bCs/>
        </w:rPr>
        <w:t xml:space="preserve">What the architecture results do not support.</w:t>
      </w:r>
      <w:r>
        <w:t xml:space="preserve"> </w:t>
      </w:r>
      <w:r>
        <w:t xml:space="preserve">We set out expecting the hybrid to be more accurate than a</w:t>
      </w:r>
      <w:r>
        <w:t xml:space="preserve"> </w:t>
      </w:r>
      <w:r>
        <w:t xml:space="preserve">convolutional baseline when data is limited. It is not. Across a controlled sweep with the sole</w:t>
      </w:r>
      <w:r>
        <w:t xml:space="preserve"> </w:t>
      </w:r>
      <w:r>
        <w:t xml:space="preserve">variable being per-class budget, and with three seeds at the two smallest budgets, no accuracy</w:t>
      </w:r>
      <w:r>
        <w:t xml:space="preserve"> </w:t>
      </w:r>
      <w:r>
        <w:t xml:space="preserve">difference reaches significance; at the two largest budgets ResNet18 is fractionally ahead. We</w:t>
      </w:r>
      <w:r>
        <w:t xml:space="preserve"> </w:t>
      </w:r>
      <w:r>
        <w:t xml:space="preserve">report this because the alternative — presenting the single-seed +2.46 points at 50 images per</w:t>
      </w:r>
      <w:r>
        <w:t xml:space="preserve"> </w:t>
      </w:r>
      <w:r>
        <w:t xml:space="preserve">class, or the 1.75-point margin from the contaminated warm-started run — would have been a finding</w:t>
      </w:r>
      <w:r>
        <w:t xml:space="preserve"> </w:t>
      </w:r>
      <w:r>
        <w:t xml:space="preserve">that repetition and a proper control both dissolve.</w:t>
      </w:r>
    </w:p>
    <w:p>
      <w:pPr>
        <w:pStyle w:val="BodyText"/>
      </w:pPr>
      <w:r>
        <w:rPr>
          <w:b/>
          <w:bCs/>
        </w:rPr>
        <w:t xml:space="preserve">What the results do support.</w:t>
      </w:r>
      <w:r>
        <w:t xml:space="preserve"> </w:t>
      </w:r>
      <w:r>
        <w:t xml:space="preserve">The encoder substantially improves the calibration of the model’s</w:t>
      </w:r>
      <w:r>
        <w:t xml:space="preserve"> </w:t>
      </w:r>
      <w:r>
        <w:t xml:space="preserve">probability estimates: roughly a halving of expected calibration error at every budget, with the</w:t>
      </w:r>
      <w:r>
        <w:t xml:space="preserve"> </w:t>
      </w:r>
      <w:r>
        <w:t xml:space="preserve">advantage largest when data is scarcest and narrowing monotonically as data grows. This is a</w:t>
      </w:r>
      <w:r>
        <w:t xml:space="preserve"> </w:t>
      </w:r>
      <w:r>
        <w:t xml:space="preserve">genuine architectural effect, not a data artifact — the sweep holds corpus, image convention,</w:t>
      </w:r>
      <w:r>
        <w:t xml:space="preserve"> </w:t>
      </w:r>
      <w:r>
        <w:t xml:space="preserve">class inventory, initialisation, optimiser and schedule fixed, and the separation is an order of</w:t>
      </w:r>
      <w:r>
        <w:t xml:space="preserve"> </w:t>
      </w:r>
      <w:r>
        <w:t xml:space="preserve">magnitude larger than seed variance.</w:t>
      </w:r>
    </w:p>
    <w:p>
      <w:pPr>
        <w:pStyle w:val="BodyText"/>
      </w:pPr>
      <w:r>
        <w:t xml:space="preserve">We suggest the following interpretation. Self-attention over the whole glyph aggregates evidence</w:t>
      </w:r>
      <w:r>
        <w:t xml:space="preserve"> </w:t>
      </w:r>
      <w:r>
        <w:t xml:space="preserve">from spatially distant strokes before a decision is made, whereas a convolutional hierarchy commits</w:t>
      </w:r>
      <w:r>
        <w:t xml:space="preserve"> </w:t>
      </w:r>
      <w:r>
        <w:t xml:space="preserve">to increasingly abstract local features and pools them only at the end. When training data is</w:t>
      </w:r>
      <w:r>
        <w:t xml:space="preserve"> </w:t>
      </w:r>
      <w:r>
        <w:t xml:space="preserve">plentiful, both routes reach the same decision boundary and top-1 accuracy converges. When data is</w:t>
      </w:r>
      <w:r>
        <w:t xml:space="preserve"> </w:t>
      </w:r>
      <w:r>
        <w:t xml:space="preserve">scarce, the convolutional model’s uncertainty is poorly estimated — it is markedly under-confident</w:t>
      </w:r>
      <w:r>
        <w:t xml:space="preserve"> </w:t>
      </w:r>
      <w:r>
        <w:t xml:space="preserve">(0.638 mean confidence at 0.887 accuracy) — while the attention-based aggregation yields</w:t>
      </w:r>
      <w:r>
        <w:t xml:space="preserve"> </w:t>
      </w:r>
      <w:r>
        <w:t xml:space="preserve">probabilities much closer to observed frequencies. The attention maps of Section 5.7, which show</w:t>
      </w:r>
      <w:r>
        <w:t xml:space="preserve"> </w:t>
      </w:r>
      <w:r>
        <w:t xml:space="preserve">the classification token consistently ignoring the shared মাত্রা head-line and concentrating on the</w:t>
      </w:r>
      <w:r>
        <w:t xml:space="preserve"> </w:t>
      </w:r>
      <w:r>
        <w:t xml:space="preserve">discriminative conjunct body, are consistent with this account, though they do not establish it.</w:t>
      </w:r>
    </w:p>
    <w:p>
      <w:pPr>
        <w:pStyle w:val="BodyText"/>
      </w:pPr>
      <w:r>
        <w:rPr>
          <w:b/>
          <w:bCs/>
        </w:rPr>
        <w:t xml:space="preserve">Why calibration matters here.</w:t>
      </w:r>
      <w:r>
        <w:t xml:space="preserve"> </w:t>
      </w:r>
      <w:r>
        <w:t xml:space="preserve">Isolated-character accuracy is rarely the end goal. In word- and</w:t>
      </w:r>
      <w:r>
        <w:t xml:space="preserve"> </w:t>
      </w:r>
      <w:r>
        <w:t xml:space="preserve">line-level recognition the character posterior feeds a decoder — beam search, a language model, or</w:t>
      </w:r>
      <w:r>
        <w:t xml:space="preserve"> </w:t>
      </w:r>
      <w:r>
        <w:t xml:space="preserve">a lexicon-constrained search — which consumes probabilities rather than argmax labels. A recogniser</w:t>
      </w:r>
      <w:r>
        <w:t xml:space="preserve"> </w:t>
      </w:r>
      <w:r>
        <w:t xml:space="preserve">whose confidences are twice as well calibrated supplies a materially better signal to that decoder</w:t>
      </w:r>
      <w:r>
        <w:t xml:space="preserve"> </w:t>
      </w:r>
      <w:r>
        <w:t xml:space="preserve">even when its top-1 accuracy is identical. For Bengali specifically, where conjuncts are mutually</w:t>
      </w:r>
      <w:r>
        <w:t xml:space="preserve"> </w:t>
      </w:r>
      <w:r>
        <w:t xml:space="preserve">confusable and a decoder must arbitrate between close alternatives, the shape of the posterior is</w:t>
      </w:r>
      <w:r>
        <w:t xml:space="preserve"> </w:t>
      </w:r>
      <w:r>
        <w:t xml:space="preserve">arguably more consequential than its mode.</w:t>
      </w:r>
    </w:p>
    <w:p>
      <w:pPr>
        <w:pStyle w:val="BodyText"/>
      </w:pPr>
      <w:r>
        <w:rPr>
          <w:b/>
          <w:bCs/>
        </w:rPr>
        <w:t xml:space="preserve">Relation to prior work.</w:t>
      </w:r>
      <w:r>
        <w:t xml:space="preserve"> </w:t>
      </w:r>
      <w:r>
        <w:t xml:space="preserve">That ViT-B/16 leads the properly initialised equal-budget comparison</w:t>
      </w:r>
      <w:r>
        <w:t xml:space="preserve"> </w:t>
      </w:r>
      <w:r>
        <w:t xml:space="preserve">(Table 4) reproduces, on compound characters and a 256-class label space, the ordering Parvez et al.</w:t>
      </w:r>
      <w:r>
        <w:t xml:space="preserve"> </w:t>
      </w:r>
      <w:r>
        <w:t xml:space="preserve">[17] reported for basic characters. Our contribution relative to that finding is not to overturn it</w:t>
      </w:r>
      <w:r>
        <w:t xml:space="preserve"> </w:t>
      </w:r>
      <w:r>
        <w:t xml:space="preserve">but to quantify its cost: ViT-B/16 buys roughly one accuracy point over ExtendedViT at 3.6× the</w:t>
      </w:r>
      <w:r>
        <w:t xml:space="preserve"> </w:t>
      </w:r>
      <w:r>
        <w:t xml:space="preserve">parameters and 3.3× the inference time. Numbers are not directly comparable across studies given</w:t>
      </w:r>
      <w:r>
        <w:t xml:space="preserve"> </w:t>
      </w:r>
      <w:r>
        <w:t xml:space="preserve">differing class counts and protocols, but for orientation ResViT reports 97.21% on</w:t>
      </w:r>
      <w:r>
        <w:t xml:space="preserve"> </w:t>
      </w:r>
      <w:r>
        <w:t xml:space="preserve">BanglaLekha-Isolated [19] and CompoundDenseNet 96.2–98.5% across three benchmarks [23], both on</w:t>
      </w:r>
      <w:r>
        <w:t xml:space="preserve"> </w:t>
      </w:r>
      <w:r>
        <w:t xml:space="preserve">smaller class inventories than the 256 used here.</w:t>
      </w:r>
    </w:p>
    <w:p>
      <w:pPr>
        <w:pStyle w:val="BodyText"/>
      </w:pPr>
      <w:r>
        <w:rPr>
          <w:b/>
          <w:bCs/>
        </w:rPr>
        <w:t xml:space="preserve">Threats to validity.</w:t>
      </w:r>
    </w:p>
    <w:p>
      <w:pPr>
        <w:pStyle w:val="BodyText"/>
      </w:pPr>
      <w:r>
        <w:rPr>
          <w:i/>
          <w:iCs/>
        </w:rPr>
        <w:t xml:space="preserve">Initialisation contamination, now controlled.</w:t>
      </w:r>
      <w:r>
        <w:t xml:space="preserve"> </w:t>
      </w:r>
      <w:r>
        <w:t xml:space="preserve">Both pretrained baselines initially inherited</w:t>
      </w:r>
      <w:r>
        <w:t xml:space="preserve"> </w:t>
      </w:r>
      <w:r>
        <w:t xml:space="preserve">previously trained Bengali weights — ResNet18 from a RAS-only checkpoint, ExtendedViT from the</w:t>
      </w:r>
      <w:r>
        <w:t xml:space="preserve"> </w:t>
      </w:r>
      <w:r>
        <w:t xml:space="preserve">full-corpus ResNet18 — which invalidated our first equal-budget comparison. Removing that</w:t>
      </w:r>
      <w:r>
        <w:t xml:space="preserve"> </w:t>
      </w:r>
      <w:r>
        <w:t xml:space="preserve">inheritance moves first-epoch validation accuracy from 0.703 to 0.234. Every number in Sections 5.3</w:t>
      </w:r>
      <w:r>
        <w:t xml:space="preserve"> </w:t>
      </w:r>
      <w:r>
        <w:t xml:space="preserve">and 5.4 comes from runs initialised from ImageNet alone. Tables 3 and 4 retain the inherited</w:t>
      </w:r>
      <w:r>
        <w:t xml:space="preserve"> </w:t>
      </w:r>
      <w:r>
        <w:t xml:space="preserve">initialisations and are annotated accordingly; they should be read as upper bounds on the</w:t>
      </w:r>
      <w:r>
        <w:t xml:space="preserve"> </w:t>
      </w:r>
      <w:r>
        <w:t xml:space="preserve">baselines rather than as controlled comparisons.</w:t>
      </w:r>
    </w:p>
    <w:p>
      <w:pPr>
        <w:pStyle w:val="BodyText"/>
      </w:pPr>
      <w:r>
        <w:rPr>
          <w:i/>
          <w:iCs/>
        </w:rPr>
        <w:t xml:space="preserve">Seeds and statistical power.</w:t>
      </w:r>
      <w:r>
        <w:t xml:space="preserve"> </w:t>
      </w:r>
      <w:r>
        <w:t xml:space="preserve">Three seeds establish that the accuracy differences are not</w:t>
      </w:r>
      <w:r>
        <w:t xml:space="preserve"> </w:t>
      </w:r>
      <w:r>
        <w:t xml:space="preserve">significant and that the calibration differences are, but three is a small sample; the 300 and 1,000</w:t>
      </w:r>
      <w:r>
        <w:t xml:space="preserve"> </w:t>
      </w:r>
      <w:r>
        <w:t xml:space="preserve">per-class budgets are single runs, so their calibration figures carry no error estimate.</w:t>
      </w:r>
    </w:p>
    <w:p>
      <w:pPr>
        <w:pStyle w:val="BodyText"/>
      </w:pPr>
      <w:r>
        <w:rPr>
          <w:i/>
          <w:iCs/>
        </w:rPr>
        <w:t xml:space="preserve">Calibration measurement.</w:t>
      </w:r>
      <w:r>
        <w:t xml:space="preserve"> </w:t>
      </w:r>
      <w:r>
        <w:t xml:space="preserve">Label smoothing of 0.1 depresses attainable confidence and inflates the</w:t>
      </w:r>
      <w:r>
        <w:t xml:space="preserve"> </w:t>
      </w:r>
      <w:r>
        <w:t xml:space="preserve">absolute ECE of both models. The comparison is unaffected because smoothing is identical, but our</w:t>
      </w:r>
      <w:r>
        <w:t xml:space="preserve"> </w:t>
      </w:r>
      <w:r>
        <w:t xml:space="preserve">absolute ECE values should not be compared against studies that omit it, and a replication without</w:t>
      </w:r>
      <w:r>
        <w:t xml:space="preserve"> </w:t>
      </w:r>
      <w:r>
        <w:t xml:space="preserve">smoothing would strengthen the claim.</w:t>
      </w:r>
    </w:p>
    <w:p>
      <w:pPr>
        <w:pStyle w:val="BodyText"/>
      </w:pPr>
      <w:r>
        <w:rPr>
          <w:i/>
          <w:iCs/>
        </w:rPr>
        <w:t xml:space="preserve">Epoch budget.</w:t>
      </w:r>
      <w:r>
        <w:t xml:space="preserve"> </w:t>
      </w:r>
      <w:r>
        <w:t xml:space="preserve">All models train for 8 epochs, which suits fine-tuning but may underserve the</w:t>
      </w:r>
      <w:r>
        <w:t xml:space="preserve"> </w:t>
      </w:r>
      <w:r>
        <w:t xml:space="preserve">scratch CNN, whose 0.2115 should be read as its 8-epoch result at that budget rather than a ceiling.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Evaluation is on isolated characters; performance within connected words, where</w:t>
      </w:r>
      <w:r>
        <w:t xml:space="preserve"> </w:t>
      </w:r>
      <w:r>
        <w:t xml:space="preserve">segmentation error compounds classification error, is not measured — and it is precisely there that</w:t>
      </w:r>
      <w:r>
        <w:t xml:space="preserve"> </w:t>
      </w:r>
      <w:r>
        <w:t xml:space="preserve">the calibration advantage would have to be demonstrated to matter practically. The sweep uses one</w:t>
      </w:r>
      <w:r>
        <w:t xml:space="preserve"> </w:t>
      </w:r>
      <w:r>
        <w:t xml:space="preserve">corpus, so whether the calibration effect generalises across image conventions is untested. The</w:t>
      </w:r>
      <w:r>
        <w:t xml:space="preserve"> </w:t>
      </w:r>
      <w:r>
        <w:t xml:space="preserve">corpora may not represent natural document imagery. And because class rarity is perfectly confounded</w:t>
      </w:r>
      <w:r>
        <w:t xml:space="preserve"> </w:t>
      </w:r>
      <w:r>
        <w:t xml:space="preserve">with source identity (Section 3.2), we make no claim about rare-class behaviour.</w:t>
      </w:r>
    </w:p>
    <w:p>
      <w:r>
        <w:pict>
          <v:rect style="width:0;height:1.5pt" o:hralign="center" o:hrstd="t" o:hr="t"/>
        </w:pict>
      </w:r>
    </w:p>
    <w:bookmarkEnd w:id="67"/>
    <w:bookmarkStart w:id="68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We unified three Bengali handwriting corpora into a 256-class, 681,309-image benchmark by</w:t>
      </w:r>
      <w:r>
        <w:t xml:space="preserve"> </w:t>
      </w:r>
      <w:r>
        <w:t xml:space="preserve">reconciling labels at the level of Unicode-normalised graphemes, and used it to evaluate four</w:t>
      </w:r>
      <w:r>
        <w:t xml:space="preserve"> </w:t>
      </w:r>
      <w:r>
        <w:t xml:space="preserve">architectures under an identical protocol.</w:t>
      </w:r>
    </w:p>
    <w:p>
      <w:pPr>
        <w:pStyle w:val="BodyText"/>
      </w:pPr>
      <w:r>
        <w:t xml:space="preserve">The benchmark’s principal finding is negative and, we believe, consequential for the field. Trained</w:t>
      </w:r>
      <w:r>
        <w:t xml:space="preserve"> </w:t>
      </w:r>
      <w:r>
        <w:t xml:space="preserve">on any one constituent corpus and tested on another — restricted to the classes they share, so the</w:t>
      </w:r>
      <w:r>
        <w:t xml:space="preserve"> </w:t>
      </w:r>
      <w:r>
        <w:t xml:space="preserve">label space is identical on both sides — every architecture falls from 0.96–1.00 same-corpus accuracy</w:t>
      </w:r>
      <w:r>
        <w:t xml:space="preserve"> </w:t>
      </w:r>
      <w:r>
        <w:t xml:space="preserve">to 0.02–0.05 cross-corpus, at or barely above chance. We verified that this reflects domain shift</w:t>
      </w:r>
      <w:r>
        <w:t xml:space="preserve"> </w:t>
      </w:r>
      <w:r>
        <w:t xml:space="preserve">rather than label disagreement, since the merged model classifies both corpora’s renderings of a</w:t>
      </w:r>
      <w:r>
        <w:t xml:space="preserve"> </w:t>
      </w:r>
      <w:r>
        <w:t xml:space="preserve">shared class correctly (0.9921 and 0.9800). A model trained on one Bengali corpus therefore does not</w:t>
      </w:r>
      <w:r>
        <w:t xml:space="preserve"> </w:t>
      </w:r>
      <w:r>
        <w:t xml:space="preserve">learn to recognise Bengali compound characters; it learns to recognise that project’s rendering of</w:t>
      </w:r>
      <w:r>
        <w:t xml:space="preserve"> </w:t>
      </w:r>
      <w:r>
        <w:t xml:space="preserve">them. Single-corpus accuracies — including the near-ceiling figures widely reported in this</w:t>
      </w:r>
      <w:r>
        <w:t xml:space="preserve"> </w:t>
      </w:r>
      <w:r>
        <w:t xml:space="preserve">literature — describe within-corpus competence and should not be read as evidence of generalisation.</w:t>
      </w:r>
      <w:r>
        <w:t xml:space="preserve"> </w:t>
      </w:r>
      <w:r>
        <w:t xml:space="preserve">Merging corpora is best understood not as enlarging a training set but as covering domains.</w:t>
      </w:r>
    </w:p>
    <w:p>
      <w:pPr>
        <w:pStyle w:val="BodyText"/>
      </w:pPr>
      <w:r>
        <w:t xml:space="preserve">Against that backdrop, architecture differences are small. Four architectures spanning 0.06M to</w:t>
      </w:r>
      <w:r>
        <w:t xml:space="preserve"> </w:t>
      </w:r>
      <w:r>
        <w:t xml:space="preserve">86.3M parameters differ by at most about one accuracy point once initialisation is controlled.</w:t>
      </w:r>
      <w:r>
        <w:t xml:space="preserve"> </w:t>
      </w:r>
      <w:r>
        <w:t xml:space="preserve">ExtendedViT — an ImageNet-pretrained ResNet18 acting as a learned tokenizer for a four-layer</w:t>
      </w:r>
      <w:r>
        <w:t xml:space="preserve"> </w:t>
      </w:r>
      <w:r>
        <w:t xml:space="preserve">Transformer encoder — matches a fine-tuned ResNet18 on the full corpus (0.9760 vs 0.9764) and shows</w:t>
      </w:r>
      <w:r>
        <w:t xml:space="preserve"> </w:t>
      </w:r>
      <w:r>
        <w:rPr>
          <w:b/>
          <w:bCs/>
        </w:rPr>
        <w:t xml:space="preserve">no significant accuracy advantage at any budget</w:t>
      </w:r>
      <w:r>
        <w:t xml:space="preserve"> </w:t>
      </w:r>
      <w:r>
        <w:t xml:space="preserve">in a controlled sweep with three seeds. An</w:t>
      </w:r>
      <w:r>
        <w:t xml:space="preserve"> </w:t>
      </w:r>
      <w:r>
        <w:t xml:space="preserve">apparent halving of the baseline’s expected calibration error proves fully correctable by</w:t>
      </w:r>
      <w:r>
        <w:t xml:space="preserve"> </w:t>
      </w:r>
      <w:r>
        <w:t xml:space="preserve">temperature scaling, which leaves the scaled baseline better calibrated than the unscaled hybrid; it</w:t>
      </w:r>
      <w:r>
        <w:t xml:space="preserve"> </w:t>
      </w:r>
      <w:r>
        <w:t xml:space="preserve">is therefore a property of the training recipe rather than of the architecture. ViT-B/16 is the most</w:t>
      </w:r>
      <w:r>
        <w:t xml:space="preserve"> </w:t>
      </w:r>
      <w:r>
        <w:t xml:space="preserve">accurate model at an equal budget, at 3.6× the parameters and 3.3× the inference cost of the hybrid.</w:t>
      </w:r>
    </w:p>
    <w:p>
      <w:pPr>
        <w:pStyle w:val="BodyText"/>
      </w:pPr>
      <w:r>
        <w:t xml:space="preserve">Three methodological cautions follow, each discovered by attempting to falsify a claim of our own.</w:t>
      </w:r>
      <w:r>
        <w:t xml:space="preserve"> </w:t>
      </w:r>
      <w:r>
        <w:t xml:space="preserve">Warm-starting from a previously trained checkpoint — routine in this literature — inflated our</w:t>
      </w:r>
      <w:r>
        <w:t xml:space="preserve"> </w:t>
      </w:r>
      <w:r>
        <w:t xml:space="preserve">equal-budget result by 1.43 accuracy points. Macro-F1 does not measure long-tail performance on this</w:t>
      </w:r>
      <w:r>
        <w:t xml:space="preserve"> </w:t>
      </w:r>
      <w:r>
        <w:t xml:space="preserve">corpus: the 27 rarest classes score a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mean F1 (0.9966) than the 229 common ones (0.9758),</w:t>
      </w:r>
      <w:r>
        <w:t xml:space="preserve"> </w:t>
      </w:r>
      <w:r>
        <w:t xml:space="preserve">because rarity is confounded with source image quality. And architecture-level calibration</w:t>
      </w:r>
      <w:r>
        <w:t xml:space="preserve"> </w:t>
      </w:r>
      <w:r>
        <w:t xml:space="preserve">comparisons should always be reported temperature-scaled, since uncorrected ECE measures the</w:t>
      </w:r>
      <w:r>
        <w:t xml:space="preserve"> </w:t>
      </w:r>
      <w:r>
        <w:t xml:space="preserve">interaction of architecture and training recipe rather than a property of the architecture. We also</w:t>
      </w:r>
      <w:r>
        <w:t xml:space="preserve"> </w:t>
      </w:r>
      <w:r>
        <w:t xml:space="preserve">note that without pretraining a scratch CNN reaches 0.0129 accuracy on the minority corpus supplying</w:t>
      </w:r>
      <w:r>
        <w:t xml:space="preserve"> </w:t>
      </w:r>
      <w:r>
        <w:t xml:space="preserve">27 otherwise-unavailable classes, against 0.707 on the largest corpus — on a merged corpus of</w:t>
      </w:r>
      <w:r>
        <w:t xml:space="preserve"> </w:t>
      </w:r>
      <w:r>
        <w:t xml:space="preserve">unequal sources, transfer learning is what makes the minority source learnable at all.</w:t>
      </w:r>
    </w:p>
    <w:p>
      <w:pPr>
        <w:pStyle w:val="BodyText"/>
      </w:pPr>
      <w:r>
        <w:t xml:space="preserve">Future work follows directly from the cross-corpus result. The field needs domain-invariant</w:t>
      </w:r>
      <w:r>
        <w:t xml:space="preserve"> </w:t>
      </w:r>
      <w:r>
        <w:t xml:space="preserve">representations for handwritten Bengali: our preprocessing normalises polarity and scale and is</w:t>
      </w:r>
      <w:r>
        <w:t xml:space="preserve"> </w:t>
      </w:r>
      <w:r>
        <w:t xml:space="preserve">plainly insufficient, so stronger domain generalisation — adversarial or style-invariant training,</w:t>
      </w:r>
      <w:r>
        <w:t xml:space="preserve"> </w:t>
      </w:r>
      <w:r>
        <w:t xml:space="preserve">heavy style augmentation, or test-time adaptation — is the obvious next target, and cross-corpus</w:t>
      </w:r>
      <w:r>
        <w:t xml:space="preserve"> </w:t>
      </w:r>
      <w:r>
        <w:t xml:space="preserve">accuracy is the metric that should report progress on it. We would also encourage the field to</w:t>
      </w:r>
      <w:r>
        <w:t xml:space="preserve"> </w:t>
      </w:r>
      <w:r>
        <w:t xml:space="preserve">adopt held-out-corpus evaluation as standard practice alongside within-corpus splits, since the two</w:t>
      </w:r>
      <w:r>
        <w:t xml:space="preserve"> </w:t>
      </w:r>
      <w:r>
        <w:t xml:space="preserve">measure very different things.</w:t>
      </w:r>
    </w:p>
    <w:p>
      <w:pPr>
        <w:pStyle w:val="BodyText"/>
      </w:pPr>
      <w:r>
        <w:t xml:space="preserve">On the architecture side, our results suggest the returns from further model design on isolated</w:t>
      </w:r>
      <w:r>
        <w:t xml:space="preserve"> </w:t>
      </w:r>
      <w:r>
        <w:t xml:space="preserve">Bengali compound characters are limited, and that effort is better directed at the evaluation and</w:t>
      </w:r>
      <w:r>
        <w:t xml:space="preserve"> </w:t>
      </w:r>
      <w:r>
        <w:t xml:space="preserve">data problems above. Where architecture does matter is cost: establishing the accuracy-per-millisecond</w:t>
      </w:r>
      <w:r>
        <w:t xml:space="preserve"> </w:t>
      </w:r>
      <w:r>
        <w:t xml:space="preserve">frontier for CPU-only deployment, which our four points sketch but do not map.</w:t>
      </w:r>
    </w:p>
    <w:p>
      <w:r>
        <w:pict>
          <v:rect style="width:0;height:1.5pt" o:hralign="center" o:hrstd="t" o:hr="t"/>
        </w:pict>
      </w:r>
    </w:p>
    <w:bookmarkEnd w:id="68"/>
    <w:bookmarkStart w:id="69" w:name="reproducibility"/>
    <w:p>
      <w:pPr>
        <w:pStyle w:val="Heading2"/>
      </w:pPr>
      <w:r>
        <w:t xml:space="preserve">8. Reproducibility</w:t>
      </w:r>
    </w:p>
    <w:p>
      <w:pPr>
        <w:pStyle w:val="FirstParagraph"/>
      </w:pPr>
      <w:r>
        <w:t xml:space="preserve">All results are produced by a single codebase in which dataset scanning, label reconciliation,</w:t>
      </w:r>
      <w:r>
        <w:t xml:space="preserve"> </w:t>
      </w:r>
      <w:r>
        <w:t xml:space="preserve">splitting, and image transformation are shared across architectures; only the model varies. The</w:t>
      </w:r>
      <w:r>
        <w:t xml:space="preserve"> </w:t>
      </w:r>
      <w:r>
        <w:t xml:space="preserve">train/validation/test partition is derived deterministically from a fixed seed (42) applied to a</w:t>
      </w:r>
      <w:r>
        <w:t xml:space="preserve"> </w:t>
      </w:r>
      <w:r>
        <w:t xml:space="preserve">per-class shuffle, so the partition is identical for every run reported here and can be regenerated</w:t>
      </w:r>
      <w:r>
        <w:t xml:space="preserve"> </w:t>
      </w:r>
      <w:r>
        <w:t xml:space="preserve">exactly.</w:t>
      </w:r>
    </w:p>
    <w:p>
      <w:pPr>
        <w:pStyle w:val="BodyText"/>
      </w:pPr>
      <w:r>
        <w:rPr>
          <w:b/>
          <w:bCs/>
        </w:rPr>
        <w:t xml:space="preserve">Table 11. Complete training 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resolution</w:t>
            </w:r>
          </w:p>
        </w:tc>
        <w:tc>
          <w:tcPr/>
          <w:p>
            <w:pPr>
              <w:pStyle w:val="Compact"/>
            </w:pPr>
            <w:r>
              <w:t xml:space="preserve">224 × 224, 3-channel grayscale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t xml:space="preserve">AdamW, weight decay 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learning rate</w:t>
            </w:r>
          </w:p>
        </w:tc>
        <w:tc>
          <w:tcPr/>
          <w:p>
            <w:pPr>
              <w:pStyle w:val="Compact"/>
            </w:pPr>
            <w:r>
              <w:t xml:space="preserve">10⁻³ (CNN), 3×10⁻⁴ (ResNet18, ExtendedViT), 10⁻⁴ (ViT-B/16)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learning rate</w:t>
            </w:r>
          </w:p>
        </w:tc>
        <w:tc>
          <w:tcPr/>
          <w:p>
            <w:pPr>
              <w:pStyle w:val="Compact"/>
            </w:pPr>
            <w:r>
              <w:t xml:space="preserve">0.1 × base for all pretrained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Cosine annealing to 10⁻⁶ over 8 epochs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Cross-entropy, label smoothing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Max norm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Rotation ±15°, translation ≤10%, shear 5°, brightness/contrast jitter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μ = σ = 0.5 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Best validation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80/10/10 stratified per class, seed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PyTorch 2.13, torchvision 0.28, timm 1.0.28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Apple Silicon, Metal Performance Shaders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measurement</w:t>
            </w:r>
          </w:p>
        </w:tc>
        <w:tc>
          <w:tcPr/>
          <w:p>
            <w:pPr>
              <w:pStyle w:val="Compact"/>
            </w:pPr>
            <w:r>
              <w:t xml:space="preserve">CPU, single image, one thread</w:t>
            </w:r>
          </w:p>
        </w:tc>
      </w:tr>
    </w:tbl>
    <w:p>
      <w:pPr>
        <w:pStyle w:val="BodyText"/>
      </w:pPr>
      <w:r>
        <w:t xml:space="preserve">Commands to reproduce every result: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train_arch.py </w:t>
      </w:r>
      <w:r>
        <w:rPr>
          <w:rStyle w:val="AttributeTok"/>
        </w:rPr>
        <w:t xml:space="preserve">--arch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{cnn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resnet18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vit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extended_vit}</w:t>
      </w:r>
      <w:r>
        <w:rPr>
          <w:rStyle w:val="NormalTok"/>
        </w:rPr>
        <w:t xml:space="preserve"> [--limit-per-class 300]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warm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start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[--limit-per-class 300] [--suffix _imagenet] </w:t>
      </w:r>
      <w:r>
        <w:rPr>
          <w:rStyle w:val="AttributeTok"/>
        </w:rPr>
        <w:t xml:space="preserve">--confusion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--per-class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cross_source.py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corpus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corpus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temperature_scaling.py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ekush </w:t>
      </w:r>
      <w:r>
        <w:rPr>
          <w:rStyle w:val="AttributeTok"/>
        </w:rPr>
        <w:t xml:space="preserve">--limit-per-class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paper/figures.py</w:t>
      </w:r>
    </w:p>
    <w:p>
      <w:r>
        <w:pict>
          <v:rect style="width:0;height:1.5pt" o:hralign="center" o:hrstd="t" o:hr="t"/>
        </w:pict>
      </w:r>
    </w:p>
    <w:bookmarkEnd w:id="69"/>
    <w:bookmarkStart w:id="70" w:name="declarations"/>
    <w:p>
      <w:pPr>
        <w:pStyle w:val="Heading2"/>
      </w:pPr>
      <w:r>
        <w:t xml:space="preserve">9. Declarations</w:t>
      </w:r>
    </w:p>
    <w:p>
      <w:pPr>
        <w:pStyle w:val="BlockText"/>
      </w:pPr>
      <w:r>
        <w:t xml:space="preserve">Every item below is required by most journals. Nothing here can be inferred from the code or</w:t>
      </w:r>
      <w:r>
        <w:t xml:space="preserve"> </w:t>
      </w:r>
      <w:r>
        <w:t xml:space="preserve">results — fill each one before submission.</w:t>
      </w:r>
    </w:p>
    <w:p>
      <w:pPr>
        <w:pStyle w:val="FirstParagraph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three source corpora are pre-existing public datasets: RAS-Compound,</w:t>
      </w:r>
      <w:r>
        <w:t xml:space="preserve"> </w:t>
      </w:r>
      <w:r>
        <w:t xml:space="preserve">Ekush [Rabby et al., 2018], and MatriVasha.</w:t>
      </w:r>
      <w:r>
        <w:t xml:space="preserve"> </w:t>
      </w:r>
      <w:r>
        <w:rPr>
          <w:rStyle w:val="VerbatimChar"/>
        </w:rPr>
        <w:t xml:space="preserve">[FILL: repository URL, version or access date, and licence for each]</w:t>
      </w:r>
      <w:r>
        <w:t xml:space="preserve">. The label-reconciliation mapping files (</w:t>
      </w:r>
      <w:r>
        <w:rPr>
          <w:rStyle w:val="VerbatimChar"/>
        </w:rPr>
        <w:t xml:space="preserve">ras_class_mapping.csv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matrivasha_mapping.csv</w:t>
      </w:r>
      <w:r>
        <w:t xml:space="preserve">) and the manifest-construction code that reproduces the unified 256-class</w:t>
      </w:r>
      <w:r>
        <w:t xml:space="preserve"> </w:t>
      </w:r>
      <w:r>
        <w:t xml:space="preserve">corpus are released with this paper;</w:t>
      </w:r>
      <w:r>
        <w:t xml:space="preserve"> </w:t>
      </w:r>
      <w:r>
        <w:rPr>
          <w:rStyle w:val="VerbatimChar"/>
        </w:rPr>
        <w:t xml:space="preserve">[FILL: decide whether the merged corpus itself is redistributed, which depends on whether all three source licences permit it — verify before promising a download]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availability.</w:t>
      </w:r>
      <w:r>
        <w:t xml:space="preserve"> </w:t>
      </w:r>
      <w:r>
        <w:rPr>
          <w:rStyle w:val="VerbatimChar"/>
        </w:rPr>
        <w:t xml:space="preserve">[FILL: repository URL and DOI, e.g. an archived Zenodo release]</w:t>
      </w:r>
      <w:r>
        <w:t xml:space="preserve">. Trained</w:t>
      </w:r>
      <w:r>
        <w:t xml:space="preserve"> </w:t>
      </w:r>
      <w:r>
        <w:t xml:space="preserve">checkpoints</w:t>
      </w:r>
      <w:r>
        <w:t xml:space="preserve"> </w:t>
      </w:r>
      <w:r>
        <w:rPr>
          <w:rStyle w:val="VerbatimChar"/>
        </w:rPr>
        <w:t xml:space="preserve">[FILL: released / available on request]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Ethics approval.</w:t>
      </w:r>
      <w:r>
        <w:t xml:space="preserve"> </w:t>
      </w:r>
      <w:r>
        <w:t xml:space="preserve">The source corpora were collected from human writers — Ekush alone from 3,086</w:t>
      </w:r>
      <w:r>
        <w:t xml:space="preserve"> </w:t>
      </w:r>
      <w:r>
        <w:t xml:space="preserve">contributors, and MatriVasha records per-writer gender metadata. This work performs secondary</w:t>
      </w:r>
      <w:r>
        <w:t xml:space="preserve"> </w:t>
      </w:r>
      <w:r>
        <w:t xml:space="preserve">analysis of already-published, de-identified datasets and collected no new human data.</w:t>
      </w:r>
      <w:r>
        <w:t xml:space="preserve"> </w:t>
      </w:r>
      <w:r>
        <w:rPr>
          <w:rStyle w:val="VerbatimChar"/>
        </w:rPr>
        <w:t xml:space="preserve">[FILL: confirm each source's original consent and ethics provenance, and state whether your institution required review for secondary use; some venues ask explicitly]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Consent to participate / publish.</w:t>
      </w:r>
      <w:r>
        <w:t xml:space="preserve"> </w:t>
      </w:r>
      <w:r>
        <w:t xml:space="preserve">Not applicable; no new human participants.</w:t>
      </w:r>
      <w:r>
        <w:t xml:space="preserve"> </w:t>
      </w:r>
      <w:r>
        <w:rPr>
          <w:rStyle w:val="VerbatimChar"/>
        </w:rPr>
        <w:t xml:space="preserve">[FILL: confirm]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rPr>
          <w:rStyle w:val="VerbatimChar"/>
        </w:rPr>
        <w:t xml:space="preserve">[FILL: grant numbers and funders, or "This research received no specific grant from any funding agency in the public, commercial, or not-for-profit sectors."]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rPr>
          <w:rStyle w:val="VerbatimChar"/>
        </w:rPr>
        <w:t xml:space="preserve">[FILL: typically "The authors declare no competing interests."]</w:t>
      </w:r>
    </w:p>
    <w:p>
      <w:pPr>
        <w:pStyle w:val="BodyText"/>
      </w:pPr>
      <w:r>
        <w:rPr>
          <w:b/>
          <w:bCs/>
        </w:rPr>
        <w:t xml:space="preserve">Author contributions (CRediT).</w:t>
      </w:r>
      <w:r>
        <w:t xml:space="preserve"> </w:t>
      </w:r>
      <w:r>
        <w:rPr>
          <w:rStyle w:val="VerbatimChar"/>
        </w:rPr>
        <w:t xml:space="preserve">[FILL per author]</w:t>
      </w:r>
      <w:r>
        <w:t xml:space="preserve"> </w:t>
      </w:r>
      <w:r>
        <w:t xml:space="preserve">— Conceptualisation; Data curation; Formal</w:t>
      </w:r>
      <w:r>
        <w:t xml:space="preserve"> </w:t>
      </w:r>
      <w:r>
        <w:t xml:space="preserve">analysis; Investigation; Methodology; Software; Validation; Visualisation; Writing – original draft;</w:t>
      </w:r>
      <w:r>
        <w:t xml:space="preserve"> </w:t>
      </w:r>
      <w:r>
        <w:t xml:space="preserve">Writing – review &amp; editing.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rPr>
          <w:rStyle w:val="VerbatimChar"/>
        </w:rPr>
        <w:t xml:space="preserve">[FILL: the creators of RAS-Compound, Ekush and MatriVasha for releasing their data publicly; any colleagues, compute providers, or reviewers]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Use of AI tools.</w:t>
      </w:r>
      <w:r>
        <w:t xml:space="preserve"> </w:t>
      </w:r>
      <w:r>
        <w:rPr>
          <w:rStyle w:val="VerbatimChar"/>
        </w:rPr>
        <w:t xml:space="preserve">[FILL: most venues now require disclosure of generative-AI assistance in preparing the manuscript or code. State what was used and for what.]</w:t>
      </w:r>
    </w:p>
    <w:p>
      <w:r>
        <w:pict>
          <v:rect style="width:0;height:1.5pt" o:hralign="center" o:hrstd="t" o:hr="t"/>
        </w:pict>
      </w:r>
    </w:p>
    <w:bookmarkEnd w:id="70"/>
    <w:bookmarkStart w:id="71" w:name="appendix-a.-notation"/>
    <w:p>
      <w:pPr>
        <w:pStyle w:val="Heading2"/>
      </w:pPr>
      <w:r>
        <w:t xml:space="preserve">Appendix A. 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Input image,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224</m:t>
                  </m:r>
                  <m:r>
                    <m:rPr>
                      <m:sty m:val="p"/>
                    </m:rPr>
                    <m:t>×</m:t>
                  </m:r>
                  <m:r>
                    <m:t>224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ResNet18</w:t>
            </w:r>
            <w:r>
              <w:t xml:space="preserve"> </w:t>
            </w:r>
            <w:r>
              <w:rPr>
                <w:rStyle w:val="VerbatimChar"/>
              </w:rPr>
              <w:t xml:space="preserve">layer4</w:t>
            </w:r>
            <w:r>
              <w:t xml:space="preserve"> </w:t>
            </w:r>
            <w:r>
              <w:t xml:space="preserve">feature map,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512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spatial tokens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</w:pPr>
            <w:r>
              <w:t xml:space="preserve">Token dimension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cls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Learnable classification token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Learnable positional embedding,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50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ℓ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Token sequence after encoder layer</w:t>
            </w:r>
            <w:r>
              <w:t xml:space="preserve"> </w:t>
            </w: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encoder layers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/>
          <w:p>
            <w:pPr>
              <w:pStyle w:val="Compact"/>
            </w:pPr>
            <w:r>
              <w:t xml:space="preserve">Attention heads and per-head dimension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classes</w:t>
            </w:r>
          </w:p>
        </w:tc>
      </w:tr>
    </w:tbl>
    <w:bookmarkEnd w:id="71"/>
    <w:bookmarkStart w:id="72" w:name="appendix-b.-class-inventory"/>
    <w:p>
      <w:pPr>
        <w:pStyle w:val="Heading2"/>
      </w:pPr>
      <w:r>
        <w:t xml:space="preserve">Appendix B. Class Inventory</w:t>
      </w:r>
    </w:p>
    <w:p>
      <w:pPr>
        <w:pStyle w:val="FirstParagraph"/>
      </w:pPr>
      <w:r>
        <w:t xml:space="preserve">The complete inventory is released as</w:t>
      </w:r>
      <w:r>
        <w:t xml:space="preserve"> </w:t>
      </w:r>
      <w:r>
        <w:rPr>
          <w:rStyle w:val="VerbatimChar"/>
        </w:rPr>
        <w:t xml:space="preserve">class_inventory.csv</w:t>
      </w:r>
      <w:r>
        <w:t xml:space="preserve"> </w:t>
      </w:r>
      <w:r>
        <w:t xml:space="preserve">(256 rows): index, character, Unicode</w:t>
      </w:r>
      <w:r>
        <w:t xml:space="preserve"> </w:t>
      </w:r>
      <w:r>
        <w:t xml:space="preserve">code points, Unicode character names, contributing corpora, and image count. It is intended as</w:t>
      </w:r>
      <w:r>
        <w:t xml:space="preserve"> </w:t>
      </w:r>
      <w:r>
        <w:t xml:space="preserve">supplementary material rather than body text.</w:t>
      </w:r>
    </w:p>
    <w:p>
      <w:pPr>
        <w:pStyle w:val="BodyText"/>
      </w:pPr>
      <w:r>
        <w:t xml:space="preserve">Classes range from a single code point (e.g. ঁ, U+0981 BENGALI SIGN CANDRABINDU) to five</w:t>
      </w:r>
      <w:r>
        <w:t xml:space="preserve"> </w:t>
      </w:r>
      <w:r>
        <w:t xml:space="preserve">(ত + ্ + র + ্ + য-type conjuncts), reflecting that a conjunct is encoded as a consonant sequence</w:t>
      </w:r>
      <w:r>
        <w:t xml:space="preserve"> </w:t>
      </w:r>
      <w:r>
        <w:t xml:space="preserve">joined by U+09CD BENGALI SIGN VIRAMA rather than as an atomic code point. This is precisely why</w:t>
      </w:r>
      <w:r>
        <w:t xml:space="preserve"> </w:t>
      </w:r>
      <w:r>
        <w:t xml:space="preserve">label reconciliation must operate on NFC-normalised grapheme strings rather than on folder indices</w:t>
      </w:r>
      <w:r>
        <w:t xml:space="preserve"> </w:t>
      </w:r>
      <w:r>
        <w:t xml:space="preserve">(Section 3.2). Of the 256 classes, 97 are attested in more than one corpus and 159 in exactly one.</w:t>
      </w:r>
    </w:p>
    <w:bookmarkEnd w:id="72"/>
    <w:bookmarkStart w:id="73" w:name="appendix-c.-per-class-results"/>
    <w:p>
      <w:pPr>
        <w:pStyle w:val="Heading2"/>
      </w:pPr>
      <w:r>
        <w:t xml:space="preserve">Appendix C. Per-Class Results</w:t>
      </w:r>
    </w:p>
    <w:p>
      <w:pPr>
        <w:pStyle w:val="FirstParagraph"/>
      </w:pPr>
      <w:r>
        <w:t xml:space="preserve">Per-class precision, recall, F1 and support for both leading models on the full corpus are released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per_class_extended_vit.csv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per_class_resnet18.csv</w:t>
      </w:r>
      <w:r>
        <w:t xml:space="preserve">, sorted ascending by support. The</w:t>
      </w:r>
      <w:r>
        <w:t xml:space="preserve"> </w:t>
      </w:r>
      <w:r>
        <w:t xml:space="preserve">complete ranked confusion lists are</w:t>
      </w:r>
      <w:r>
        <w:t xml:space="preserve"> </w:t>
      </w:r>
      <w:r>
        <w:rPr>
          <w:rStyle w:val="VerbatimChar"/>
        </w:rPr>
        <w:t xml:space="preserve">confusions_extended_vit.csv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confusions_resnet18.csv</w:t>
      </w:r>
      <w:r>
        <w:t xml:space="preserve">.</w:t>
      </w:r>
      <w:r>
        <w:t xml:space="preserve"> </w:t>
      </w:r>
      <w:r>
        <w:t xml:space="preserve">All four regenerate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</w:t>
      </w:r>
      <w:r>
        <w:rPr>
          <w:rStyle w:val="AttributeTok"/>
        </w:rPr>
        <w:t xml:space="preserve">--arch</w:t>
      </w:r>
      <w:r>
        <w:rPr>
          <w:rStyle w:val="NormalTok"/>
        </w:rPr>
        <w:t xml:space="preserve"> extended_vit resnet18 </w:t>
      </w:r>
      <w:r>
        <w:rPr>
          <w:rStyle w:val="AttributeTok"/>
        </w:rPr>
        <w:t xml:space="preserve">--per-class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--confusion</w:t>
      </w:r>
    </w:p>
    <w:p>
      <w:pPr>
        <w:pStyle w:val="FirstParagraph"/>
      </w:pPr>
      <w:r>
        <w:t xml:space="preserve">Summary: 27 classes at F1 = 1.000 (ExtendedViT) and 25 (ResNet18); 7 and 6 classes respectively</w:t>
      </w:r>
      <w:r>
        <w:t xml:space="preserve"> </w:t>
      </w:r>
      <w:r>
        <w:t xml:space="preserve">below F1 0.90; worst classes ন্ড্র (0.8652) and ণ্ড্র (0.8814) — the two halves of the same</w:t>
      </w:r>
      <w:r>
        <w:t xml:space="preserve"> </w:t>
      </w:r>
      <w:r>
        <w:t xml:space="preserve">dental/retroflex confusion discussed in Section 5.10.</w:t>
      </w:r>
    </w:p>
    <w:p>
      <w:r>
        <w:pict>
          <v:rect style="width:0;height:1.5pt" o:hralign="center" o:hrstd="t" o:hr="t"/>
        </w:pict>
      </w:r>
    </w:p>
    <w:bookmarkEnd w:id="73"/>
    <w:bookmarkStart w:id="7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Use the numbering already established in the standalone literature review; the citations appearing in</w:t>
      </w:r>
      <w:r>
        <w:t xml:space="preserve"> </w:t>
      </w:r>
      <w:r>
        <w:t xml:space="preserve">this draft are [2]–[5], [7], [9], [11], [12], [16], [17], [19], [22]–[25], [28], [30], [32], [33],</w:t>
      </w:r>
      <w:r>
        <w:t xml:space="preserve"> </w:t>
      </w:r>
      <w:r>
        <w:t xml:space="preserve">[37], and [41]–[42].</w:t>
      </w:r>
    </w:p>
    <w:p>
      <w:pPr>
        <w:pStyle w:val="BodyText"/>
      </w:pPr>
      <w:r>
        <w:rPr>
          <w:rStyle w:val="VerbatimChar"/>
        </w:rPr>
        <w:t xml:space="preserve">[FILL: the review's reference list is not yet reproduced here — paste it, then verify every in-text citation resolves and that Ethnologue, Rabby et al. (2018) for Ekush, and the MatriVasha and RAS-Compound dataset papers are all present, since this draft cites them by name outside the numbered scheme.]</w:t>
      </w:r>
    </w:p>
    <w:p>
      <w:pPr>
        <w:pStyle w:val="BodyText"/>
      </w:pPr>
      <w:r>
        <w:rPr>
          <w:b/>
          <w:bCs/>
        </w:rPr>
        <w:t xml:space="preserve">References to add</w:t>
      </w:r>
      <w:r>
        <w:t xml:space="preserve"> </w:t>
      </w:r>
      <w:r>
        <w:t xml:space="preserve">— required by the new Section 2.7 and by Section 5.4. Verify each before use;</w:t>
      </w:r>
      <w:r>
        <w:t xml:space="preserve"> </w:t>
      </w:r>
      <w:r>
        <w:t xml:space="preserve">they are cited from standard knowledge of these literatures rather than from a checked copy:</w:t>
      </w:r>
    </w:p>
    <w:p>
      <w:pPr>
        <w:pStyle w:val="Compact"/>
        <w:numPr>
          <w:ilvl w:val="0"/>
          <w:numId w:val="1002"/>
        </w:numPr>
      </w:pPr>
      <w:r>
        <w:t xml:space="preserve">⚑ Torralba, A. and Efros, A. A.</w:t>
      </w:r>
      <w:r>
        <w:t xml:space="preserve"> </w:t>
      </w:r>
      <w:r>
        <w:rPr>
          <w:i/>
          <w:iCs/>
        </w:rPr>
        <w:t xml:space="preserve">Unbiased Look at Dataset Bias.</w:t>
      </w:r>
      <w:r>
        <w:t xml:space="preserve"> </w:t>
      </w:r>
      <w:r>
        <w:t xml:space="preserve">CVPR 2011. — the</w:t>
      </w:r>
      <w:r>
        <w:t xml:space="preserve"> </w:t>
      </w:r>
      <w:r>
        <w:t xml:space="preserve">“name that</w:t>
      </w:r>
      <w:r>
        <w:t xml:space="preserve"> </w:t>
      </w:r>
      <w:r>
        <w:t xml:space="preserve">dataset”</w:t>
      </w:r>
      <w:r>
        <w:t xml:space="preserve"> </w:t>
      </w:r>
      <w:r>
        <w:t xml:space="preserve">demonstration and cross-dataset generalisation degradation.</w:t>
      </w:r>
    </w:p>
    <w:p>
      <w:pPr>
        <w:pStyle w:val="Compact"/>
        <w:numPr>
          <w:ilvl w:val="0"/>
          <w:numId w:val="1002"/>
        </w:numPr>
      </w:pPr>
      <w:r>
        <w:t xml:space="preserve">⚑ Recht, B., Roelofs, R., Schmidt, L. and Shamir, V.</w:t>
      </w:r>
      <w:r>
        <w:t xml:space="preserve"> </w:t>
      </w:r>
      <w:r>
        <w:rPr>
          <w:i/>
          <w:iCs/>
        </w:rPr>
        <w:t xml:space="preserve">Do ImageNet Classifiers Generalize to</w:t>
      </w:r>
      <w:r>
        <w:rPr>
          <w:i/>
          <w:iCs/>
        </w:rPr>
        <w:t xml:space="preserve"> </w:t>
      </w:r>
      <w:r>
        <w:rPr>
          <w:i/>
          <w:iCs/>
        </w:rPr>
        <w:t xml:space="preserve">ImageNet?</w:t>
      </w:r>
      <w:r>
        <w:t xml:space="preserve"> </w:t>
      </w:r>
      <w:r>
        <w:t xml:space="preserve">ICML 2019. — accuracy drops on a replication-protocol test set.</w:t>
      </w:r>
    </w:p>
    <w:p>
      <w:pPr>
        <w:pStyle w:val="Compact"/>
        <w:numPr>
          <w:ilvl w:val="0"/>
          <w:numId w:val="1002"/>
        </w:numPr>
      </w:pPr>
      <w:r>
        <w:t xml:space="preserve">⚑ Ben-David, S. et al. </w:t>
      </w:r>
      <w:r>
        <w:rPr>
          <w:i/>
          <w:iCs/>
        </w:rPr>
        <w:t xml:space="preserve">A Theory of Learning from Different Domains.</w:t>
      </w:r>
      <w:r>
        <w:t xml:space="preserve"> </w:t>
      </w:r>
      <w:r>
        <w:t xml:space="preserve">Machine Learning, 2010. —</w:t>
      </w:r>
      <w:r>
        <w:t xml:space="preserve"> </w:t>
      </w:r>
      <w:r>
        <w:t xml:space="preserve">the source-error-plus-divergence bound.</w:t>
      </w:r>
    </w:p>
    <w:p>
      <w:pPr>
        <w:pStyle w:val="Compact"/>
        <w:numPr>
          <w:ilvl w:val="0"/>
          <w:numId w:val="1002"/>
        </w:numPr>
      </w:pPr>
      <w:r>
        <w:t xml:space="preserve">⚑ Guo, C., Pleiss, G., Sun, Y. and Weinberger, K. Q.</w:t>
      </w:r>
      <w:r>
        <w:t xml:space="preserve"> </w:t>
      </w:r>
      <w:r>
        <w:rPr>
          <w:i/>
          <w:iCs/>
        </w:rPr>
        <w:t xml:space="preserve">On Calibration of Modern Neural Networks.</w:t>
      </w:r>
      <w:r>
        <w:t xml:space="preserve"> </w:t>
      </w:r>
      <w:r>
        <w:t xml:space="preserve">ICML 2017. — temperature scaling and expected calibration error, used in Section 5.4.</w:t>
      </w:r>
    </w:p>
    <w:p>
      <w:pPr>
        <w:pStyle w:val="Compact"/>
        <w:numPr>
          <w:ilvl w:val="0"/>
          <w:numId w:val="1002"/>
        </w:numPr>
      </w:pPr>
      <w:r>
        <w:t xml:space="preserve">Optionally a recent domain-generalisation survey (e.g. Zhou et al.,</w:t>
      </w:r>
      <w:r>
        <w:t xml:space="preserve"> </w:t>
      </w:r>
      <w:r>
        <w:rPr>
          <w:i/>
          <w:iCs/>
        </w:rPr>
        <w:t xml:space="preserve">Domain Generalization: A</w:t>
      </w:r>
      <w:r>
        <w:rPr>
          <w:i/>
          <w:iCs/>
        </w:rPr>
        <w:t xml:space="preserve"> </w:t>
      </w:r>
      <w:r>
        <w:rPr>
          <w:i/>
          <w:iCs/>
        </w:rPr>
        <w:t xml:space="preserve">Survey</w:t>
      </w:r>
      <w:r>
        <w:t xml:space="preserve">, TPAMI 2022) if the venue expects broader positioning.</w:t>
      </w:r>
    </w:p>
    <w:p>
      <w:r>
        <w:pict>
          <v:rect style="width:0;height:1.5pt" o:hralign="center" o:hrstd="t" o:hr="t"/>
        </w:pict>
      </w:r>
    </w:p>
    <w:bookmarkEnd w:id="74"/>
    <w:bookmarkStart w:id="75" w:name="writing-still-required"/>
    <w:p>
      <w:pPr>
        <w:pStyle w:val="Heading2"/>
      </w:pPr>
      <w:r>
        <w:t xml:space="preserve">Writing still required</w:t>
      </w:r>
    </w:p>
    <w:p>
      <w:pPr>
        <w:pStyle w:val="FirstParagraph"/>
      </w:pPr>
      <w:r>
        <w:t xml:space="preserve">Distinct from the experiments below — these are authoring tasks, several of which will block</w:t>
      </w:r>
      <w:r>
        <w:t xml:space="preserve"> </w:t>
      </w:r>
      <w:r>
        <w:t xml:space="preserve">submission at most venues.</w:t>
      </w:r>
    </w:p>
    <w:p>
      <w:pPr>
        <w:pStyle w:val="BodyText"/>
      </w:pPr>
      <w:r>
        <w:rPr>
          <w:b/>
          <w:bCs/>
        </w:rPr>
        <w:t xml:space="preserve">Only you can supply these.</w:t>
      </w:r>
      <w:r>
        <w:t xml:space="preserve"> </w:t>
      </w:r>
      <w:r>
        <w:t xml:space="preserve">Author list and affiliations; ORCIDs; funding statement; competing</w:t>
      </w:r>
      <w:r>
        <w:t xml:space="preserve"> </w:t>
      </w:r>
      <w:r>
        <w:t xml:space="preserve">interests; CRediT contributions; acknowledgements; AI-use disclosure; the licence and access status</w:t>
      </w:r>
      <w:r>
        <w:t xml:space="preserve"> </w:t>
      </w:r>
      <w:r>
        <w:t xml:space="preserve">of each source corpus, and whether the merged corpus may legally be redistributed. All are marked</w:t>
      </w:r>
      <w:r>
        <w:t xml:space="preserve"> </w:t>
      </w:r>
      <w:r>
        <w:rPr>
          <w:rStyle w:val="VerbatimChar"/>
        </w:rPr>
        <w:t xml:space="preserve">[FILL]</w:t>
      </w:r>
      <w:r>
        <w:t xml:space="preserve"> </w:t>
      </w:r>
      <w:r>
        <w:t xml:space="preserve">in Sections 9 and the title page.</w:t>
      </w:r>
    </w:p>
    <w:p>
      <w:pPr>
        <w:pStyle w:val="BodyText"/>
      </w:pPr>
      <w:r>
        <w:rPr>
          <w:b/>
          <w:bCs/>
        </w:rPr>
        <w:t xml:space="preserve">Needs a decision.</w:t>
      </w:r>
      <w:r>
        <w:t xml:space="preserve"> </w:t>
      </w:r>
      <w:r>
        <w:t xml:space="preserve">Target venue, which determines length limit, reference style, whether</w:t>
      </w:r>
      <w:r>
        <w:t xml:space="preserve"> </w:t>
      </w:r>
      <w:r>
        <w:t xml:space="preserve">highlights and a graphical abstract are required, and single- vs double-column layout. The draft is</w:t>
      </w:r>
      <w:r>
        <w:t xml:space="preserve"> </w:t>
      </w:r>
      <w:r>
        <w:t xml:space="preserve">currently venue-neutral and runs long for a conference; a journal such as</w:t>
      </w:r>
      <w:r>
        <w:t xml:space="preserve"> </w:t>
      </w:r>
      <w:r>
        <w:rPr>
          <w:i/>
          <w:iCs/>
        </w:rPr>
        <w:t xml:space="preserve">Pattern Recognition</w:t>
      </w:r>
      <w:r>
        <w:rPr>
          <w:i/>
          <w:iCs/>
        </w:rPr>
        <w:t xml:space="preserve"> </w:t>
      </w:r>
      <w:r>
        <w:rPr>
          <w:i/>
          <w:iCs/>
        </w:rPr>
        <w:t xml:space="preserve">Letters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t xml:space="preserve">fits it better without cutting.</w:t>
      </w:r>
    </w:p>
    <w:p>
      <w:pPr>
        <w:pStyle w:val="BodyText"/>
      </w:pPr>
      <w:r>
        <w:rPr>
          <w:b/>
          <w:bCs/>
        </w:rPr>
        <w:t xml:space="preserve">Needs writing once results land.</w:t>
      </w:r>
      <w:r>
        <w:t xml:space="preserve"> </w:t>
      </w:r>
      <w:r>
        <w:t xml:space="preserve">Section 2 is a pointer to your standalone review and must be</w:t>
      </w:r>
      <w:r>
        <w:t xml:space="preserve"> </w:t>
      </w:r>
      <w:r>
        <w:t xml:space="preserve">pasted in, with the new subsection 2.7 (drafted in place) inserted and the existing 2.7–2.10</w:t>
      </w:r>
      <w:r>
        <w:t xml:space="preserve"> </w:t>
      </w:r>
      <w:r>
        <w:t xml:space="preserve">renumbered to 2.8–2.11, plus the seventh research gap added to what becomes 2.10. The reference list</w:t>
      </w:r>
      <w:r>
        <w:t xml:space="preserve"> </w:t>
      </w:r>
      <w:r>
        <w:t xml:space="preserve">must be reproduced, the five references listed at the end of this draft added and verified, and</w:t>
      </w:r>
      <w:r>
        <w:t xml:space="preserve"> </w:t>
      </w:r>
      <w:r>
        <w:t xml:space="preserve">every in-text citation checked to resolve. The abstract’s final paragraph is written against provisional numbers and needs rewriting</w:t>
      </w:r>
      <w:r>
        <w:t xml:space="preserve"> </w:t>
      </w:r>
      <w:r>
        <w:t xml:space="preserve">once the ImageNet-init and ViT results are in. Figure captions are currently inline descriptions and</w:t>
      </w:r>
      <w:r>
        <w:t xml:space="preserve"> </w:t>
      </w:r>
      <w:r>
        <w:t xml:space="preserve">should be rewritten as standalone captions — a reader should understand each figure without the body</w:t>
      </w:r>
      <w:r>
        <w:t xml:space="preserve"> </w:t>
      </w:r>
      <w:r>
        <w:t xml:space="preserve">text.</w:t>
      </w:r>
    </w:p>
    <w:p>
      <w:pPr>
        <w:pStyle w:val="BodyText"/>
      </w:pPr>
      <w:r>
        <w:rPr>
          <w:b/>
          <w:bCs/>
        </w:rPr>
        <w:t xml:space="preserve">Worth adding if space permits.</w:t>
      </w:r>
      <w:r>
        <w:t xml:space="preserve"> </w:t>
      </w:r>
      <w:r>
        <w:t xml:space="preserve">A graphical abstract (Figure 11 makes the paper’s central point in one image); a</w:t>
      </w:r>
      <w:r>
        <w:t xml:space="preserve"> </w:t>
      </w:r>
      <w:r>
        <w:t xml:space="preserve">notation table is already drafted as Appendix A; the full class inventory as supplementary material.</w:t>
      </w:r>
    </w:p>
    <w:p>
      <w:r>
        <w:pict>
          <v:rect style="width:0;height:1.5pt" o:hralign="center" o:hrstd="t" o:hr="t"/>
        </w:pict>
      </w:r>
    </w:p>
    <w:bookmarkEnd w:id="75"/>
    <w:bookmarkStart w:id="77" w:name="X1ff11b57806b78232d24e206bd6d43af3c04bd6"/>
    <w:p>
      <w:pPr>
        <w:pStyle w:val="Heading2"/>
      </w:pPr>
      <w:r>
        <w:t xml:space="preserve">Outstanding experiments before submission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strike/>
        </w:rPr>
        <w:t xml:space="preserve">Pending results</w:t>
      </w:r>
      <w:r>
        <w:t xml:space="preserve"> </w:t>
      </w:r>
      <w:r>
        <w:t xml:space="preserve">— complete. All runs finished; every number in the draft is measured.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evaluate.py</w:t>
      </w:r>
      <w:r>
        <w:t xml:space="preserve"> </w:t>
      </w:r>
      <w:r>
        <w:t xml:space="preserve">on both budgets for test accuracy, CER, macro-F1, per-source accuracy,</w:t>
      </w:r>
      <w:r>
        <w:t xml:space="preserve"> </w:t>
      </w:r>
      <w:r>
        <w:t xml:space="preserve">latency, and confusion matrices.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strike/>
        </w:rPr>
        <w:t xml:space="preserve">Warm-start replication</w:t>
      </w:r>
      <w:r>
        <w:t xml:space="preserve"> </w:t>
      </w:r>
      <w:r>
        <w:t xml:space="preserve">— queued; runs automatically after the training chain via</w:t>
      </w:r>
      <w:r>
        <w:t xml:space="preserve"> </w:t>
      </w:r>
      <w:r>
        <w:rPr>
          <w:rStyle w:val="VerbatimChar"/>
        </w:rPr>
        <w:t xml:space="preserve">train_arch.py --arch extended_vit --limit-per-class 300 --no-warm-start</w:t>
      </w:r>
      <w:r>
        <w:t xml:space="preserve">, writing</w:t>
      </w:r>
      <w:r>
        <w:t xml:space="preserve"> </w:t>
      </w:r>
      <w:r>
        <w:rPr>
          <w:rStyle w:val="VerbatimChar"/>
        </w:rPr>
        <w:t xml:space="preserve">extended_vit_merged_lpc300_imagenet.pth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results_lpc300_imagenet.csv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Seed repeats</w:t>
      </w:r>
      <w:r>
        <w:t xml:space="preserve"> </w:t>
      </w:r>
      <w:r>
        <w:t xml:space="preserve">— at least three seeds for ResNet18 and ExtendedViT at the equal budget.</w:t>
      </w:r>
      <w:r>
        <w:t xml:space="preserve"> </w:t>
      </w:r>
      <w:r>
        <w:t xml:space="preserve">Without these, Table 4’s margin cannot be called significant, only observed.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2</w:t>
      </w:r>
      <w:r>
        <w:t xml:space="preserve"> </w:t>
      </w:r>
      <w:r>
        <w:t xml:space="preserve">— paste in the existing literature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Figures 10–11</w:t>
      </w:r>
      <w:r>
        <w:t xml:space="preserve"> </w:t>
      </w:r>
      <w:r>
        <w:t xml:space="preserve">— confusion matrices for the two leading models cropped to the most-confused</w:t>
      </w:r>
      <w:r>
        <w:t xml:space="preserve"> </w:t>
      </w:r>
      <w:r>
        <w:t xml:space="preserve">conjunct pairs, and per-source accuracy bars. Both need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, so they are blocked on</w:t>
      </w:r>
      <w:r>
        <w:t xml:space="preserve"> </w:t>
      </w:r>
      <w:r>
        <w:t xml:space="preserve">item 1.</w:t>
      </w:r>
    </w:p>
    <w:bookmarkStart w:id="76" w:name="figures-already-built"/>
    <w:p>
      <w:pPr>
        <w:pStyle w:val="Heading3"/>
      </w:pPr>
      <w:r>
        <w:t xml:space="preserve">Figures already built</w:t>
      </w:r>
    </w:p>
    <w:p>
      <w:pPr>
        <w:pStyle w:val="FirstParagraph"/>
      </w:pPr>
      <w:r>
        <w:t xml:space="preserve">Regenerate any of them with</w:t>
      </w:r>
      <w:r>
        <w:t xml:space="preserve"> </w:t>
      </w:r>
      <w:r>
        <w:rPr>
          <w:rStyle w:val="VerbatimChar"/>
        </w:rPr>
        <w:t xml:space="preserve">./venv/bin/python paper/figures.py</w:t>
      </w:r>
      <w:r>
        <w:t xml:space="preserve">. Figures 6, 7 and 9 read the</w:t>
      </w:r>
      <w:r>
        <w:t xml:space="preserve"> </w:t>
      </w:r>
      <w:r>
        <w:t xml:space="preserve">training logs directly, so they update automatically as the remaining runs finish.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Overall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fig1_workflow.png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Dataset composition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fig2_dataset.png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ExtendedViT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fig3_architecture.png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Sample glyphs across corpora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fig4_samples.png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Preprocessing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fig5_preprocessing.png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Training curves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fig6_training_curves.png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Results and data efficiency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fig7_results.png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CLS attention maps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fig8_attention.png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Accuracy vs CPU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fig9_efficiency.png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</w:tbl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59" Target="media/rId59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Single-Corpus Accuracy Overstates Bengali Compound-Character Recognition: A Unified 256-Class Benchmark and Cross-Corpus Evaluation</dc:title>
  <dc:creator/>
  <cp:keywords/>
  <dcterms:created xsi:type="dcterms:W3CDTF">2026-08-12T13:17:45Z</dcterms:created>
  <dcterms:modified xsi:type="dcterms:W3CDTF">2026-08-12T13:17:45Z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