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Vupen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Galron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Felakeyadan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Felaon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Gueor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Halfu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Fubor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Amwarond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Ziulyoborn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Irthalion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Thurinndîr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Celebbraion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Esfluthalion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Wenarion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Finuil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Kopaion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Malnathir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Belegar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Zaiuil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Maldor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Kozubor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Goepen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Celebfiadar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Kiki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Sogea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Uamva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Vahga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Zewaien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Nirwuis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Isdoas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Qothwile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Niasar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Voveu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Povyepu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Ruwa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Neocuel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Zafoewuo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Ialme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Ruyque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Wuthreze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Bameho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Leinzoxo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Shuldo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Fotimai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Vairsiwoa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Piokas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Beinkoa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Suaorwe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