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2013 la actividad econó</w:t>
      </w:r>
      <w:r>
        <w:rPr>
          <w:rFonts w:ascii="ArialMT" w:hAnsi="ArialMT" w:cs="ArialMT"/>
          <w:sz w:val="20"/>
          <w:szCs w:val="20"/>
        </w:rPr>
        <w:t xml:space="preserve">mica mundial tuvo un </w:t>
      </w:r>
      <w:r>
        <w:rPr>
          <w:rFonts w:ascii="ArialMT" w:hAnsi="ArialMT" w:cs="ArialMT"/>
          <w:sz w:val="20"/>
          <w:szCs w:val="20"/>
        </w:rPr>
        <w:t>desempeño pos</w:t>
      </w:r>
      <w:r>
        <w:rPr>
          <w:rFonts w:ascii="ArialMT" w:hAnsi="ArialMT" w:cs="ArialMT"/>
          <w:sz w:val="20"/>
          <w:szCs w:val="20"/>
        </w:rPr>
        <w:t xml:space="preserve">itivo, aunque menor al esperado en el </w:t>
      </w:r>
      <w:r>
        <w:rPr>
          <w:rFonts w:ascii="ArialMT" w:hAnsi="ArialMT" w:cs="ArialMT"/>
          <w:sz w:val="20"/>
          <w:szCs w:val="20"/>
        </w:rPr>
        <w:t>IPM de julio de 2013.</w:t>
      </w:r>
      <w:r>
        <w:rPr>
          <w:rFonts w:ascii="ArialMT" w:hAnsi="ArialMT" w:cs="ArialMT"/>
          <w:sz w:val="20"/>
          <w:szCs w:val="20"/>
        </w:rPr>
        <w:t xml:space="preserve"> Asimismo, se destaca un cambio </w:t>
      </w:r>
      <w:r>
        <w:rPr>
          <w:rFonts w:ascii="ArialMT" w:hAnsi="ArialMT" w:cs="ArialMT"/>
          <w:sz w:val="20"/>
          <w:szCs w:val="20"/>
        </w:rPr>
        <w:t>en su dinámica global; las economí</w:t>
      </w:r>
      <w:r>
        <w:rPr>
          <w:rFonts w:ascii="ArialMT" w:hAnsi="ArialMT" w:cs="ArialMT"/>
          <w:sz w:val="20"/>
          <w:szCs w:val="20"/>
        </w:rPr>
        <w:t xml:space="preserve">as avanzadas </w:t>
      </w:r>
      <w:r>
        <w:rPr>
          <w:rFonts w:ascii="Arial" w:hAnsi="Arial" w:cs="Arial"/>
          <w:sz w:val="20"/>
          <w:szCs w:val="20"/>
        </w:rPr>
        <w:t>recobraron impulso debido fundamentalmente a la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recuperació</w:t>
      </w:r>
      <w:r>
        <w:rPr>
          <w:rFonts w:ascii="ArialMT" w:hAnsi="ArialMT" w:cs="ArialMT"/>
          <w:sz w:val="20"/>
          <w:szCs w:val="20"/>
        </w:rPr>
        <w:t xml:space="preserve">n de EE.UU., mientras </w:t>
      </w:r>
      <w:r>
        <w:rPr>
          <w:rFonts w:ascii="ArialMT" w:hAnsi="ArialMT" w:cs="ArialMT"/>
          <w:sz w:val="20"/>
          <w:szCs w:val="20"/>
        </w:rPr>
        <w:t>que las economí</w:t>
      </w:r>
      <w:r>
        <w:rPr>
          <w:rFonts w:ascii="ArialMT" w:hAnsi="ArialMT" w:cs="ArialMT"/>
          <w:sz w:val="20"/>
          <w:szCs w:val="20"/>
        </w:rPr>
        <w:t xml:space="preserve">as </w:t>
      </w:r>
      <w:r>
        <w:rPr>
          <w:rFonts w:ascii="Arial" w:hAnsi="Arial" w:cs="Arial"/>
          <w:sz w:val="20"/>
          <w:szCs w:val="20"/>
        </w:rPr>
        <w:t>emergentes sufrieron una desaceleración.</w:t>
      </w:r>
      <w:r>
        <w:rPr>
          <w:rFonts w:ascii="ArialMT" w:hAnsi="ArialMT" w:cs="ArialMT"/>
          <w:sz w:val="20"/>
          <w:szCs w:val="20"/>
        </w:rPr>
        <w:t xml:space="preserve"> 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este contexto, las p</w:t>
      </w:r>
      <w:r>
        <w:rPr>
          <w:rFonts w:ascii="ArialMT" w:hAnsi="ArialMT" w:cs="ArialMT"/>
          <w:sz w:val="20"/>
          <w:szCs w:val="20"/>
        </w:rPr>
        <w:t xml:space="preserve">resiones inflacionarias a nivel </w:t>
      </w:r>
      <w:r>
        <w:rPr>
          <w:rFonts w:ascii="ArialMT" w:hAnsi="ArialMT" w:cs="ArialMT"/>
          <w:sz w:val="20"/>
          <w:szCs w:val="20"/>
        </w:rPr>
        <w:t>global se mantu</w:t>
      </w:r>
      <w:r>
        <w:rPr>
          <w:rFonts w:ascii="ArialMT" w:hAnsi="ArialMT" w:cs="ArialMT"/>
          <w:sz w:val="20"/>
          <w:szCs w:val="20"/>
        </w:rPr>
        <w:t xml:space="preserve">vieron controladas, debido a la </w:t>
      </w:r>
      <w:r>
        <w:rPr>
          <w:rFonts w:ascii="ArialMT" w:hAnsi="ArialMT" w:cs="ArialMT"/>
          <w:sz w:val="20"/>
          <w:szCs w:val="20"/>
        </w:rPr>
        <w:t>caí</w:t>
      </w:r>
      <w:r>
        <w:rPr>
          <w:rFonts w:ascii="ArialMT" w:hAnsi="ArialMT" w:cs="ArialMT"/>
          <w:sz w:val="20"/>
          <w:szCs w:val="20"/>
        </w:rPr>
        <w:t xml:space="preserve">da </w:t>
      </w:r>
      <w:r>
        <w:rPr>
          <w:rFonts w:ascii="Arial" w:hAnsi="Arial" w:cs="Arial"/>
          <w:sz w:val="20"/>
          <w:szCs w:val="20"/>
        </w:rPr>
        <w:t>de los precios internacionales de las materias primas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 a la moder</w:t>
      </w:r>
      <w:r>
        <w:rPr>
          <w:rFonts w:ascii="Arial" w:hAnsi="Arial" w:cs="Arial"/>
          <w:sz w:val="20"/>
          <w:szCs w:val="20"/>
        </w:rPr>
        <w:t xml:space="preserve">ada recuperación en el </w:t>
      </w:r>
      <w:r>
        <w:rPr>
          <w:rFonts w:ascii="Arial" w:hAnsi="Arial" w:cs="Arial"/>
          <w:sz w:val="20"/>
          <w:szCs w:val="20"/>
        </w:rPr>
        <w:t>crecimiento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mundial. En este </w:t>
      </w:r>
      <w:r>
        <w:rPr>
          <w:rFonts w:ascii="ArialMT" w:hAnsi="ArialMT" w:cs="ArialMT"/>
          <w:sz w:val="20"/>
          <w:szCs w:val="20"/>
        </w:rPr>
        <w:t xml:space="preserve">escenario, los bancos centrales mantuvieron bajas las tasas de </w:t>
      </w:r>
      <w:r>
        <w:rPr>
          <w:rFonts w:ascii="ArialMT" w:hAnsi="ArialMT" w:cs="ArialMT"/>
          <w:sz w:val="20"/>
          <w:szCs w:val="20"/>
        </w:rPr>
        <w:t>interé</w:t>
      </w:r>
      <w:r>
        <w:rPr>
          <w:rFonts w:ascii="ArialMT" w:hAnsi="ArialMT" w:cs="ArialMT"/>
          <w:sz w:val="20"/>
          <w:szCs w:val="20"/>
        </w:rPr>
        <w:t xml:space="preserve">s de referencia </w:t>
      </w:r>
      <w:r>
        <w:rPr>
          <w:rFonts w:ascii="Arial" w:hAnsi="Arial" w:cs="Arial"/>
          <w:sz w:val="20"/>
          <w:szCs w:val="20"/>
        </w:rPr>
        <w:t>y aplicaron medidas para estimular la demanda.</w:t>
      </w:r>
      <w:r>
        <w:rPr>
          <w:rFonts w:ascii="ArialMT" w:hAnsi="ArialMT" w:cs="ArialMT"/>
          <w:sz w:val="20"/>
          <w:szCs w:val="20"/>
        </w:rPr>
        <w:t xml:space="preserve"> 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2013, la incertid</w:t>
      </w:r>
      <w:r>
        <w:rPr>
          <w:rFonts w:ascii="ArialMT" w:hAnsi="ArialMT" w:cs="ArialMT"/>
          <w:sz w:val="20"/>
          <w:szCs w:val="20"/>
        </w:rPr>
        <w:t xml:space="preserve">umbre en torno al futuro de las </w:t>
      </w:r>
      <w:r>
        <w:rPr>
          <w:rFonts w:ascii="ArialMT" w:hAnsi="ArialMT" w:cs="ArialMT"/>
          <w:sz w:val="20"/>
          <w:szCs w:val="20"/>
        </w:rPr>
        <w:t>políticas fiscal y monetaria en EE.UU. perturbó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el comportamient</w:t>
      </w:r>
      <w:r>
        <w:rPr>
          <w:rFonts w:ascii="ArialMT" w:hAnsi="ArialMT" w:cs="ArialMT"/>
          <w:sz w:val="20"/>
          <w:szCs w:val="20"/>
        </w:rPr>
        <w:t xml:space="preserve">o de los mercados financieros y </w:t>
      </w:r>
      <w:r>
        <w:rPr>
          <w:rFonts w:ascii="Arial" w:hAnsi="Arial" w:cs="Arial"/>
          <w:sz w:val="20"/>
          <w:szCs w:val="20"/>
        </w:rPr>
        <w:t>cambiarios internacionales. Sin embargo, en los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últimos meses del año la menor desaceleració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esperada de algunas economí</w:t>
      </w:r>
      <w:r>
        <w:rPr>
          <w:rFonts w:ascii="ArialMT" w:hAnsi="ArialMT" w:cs="ArialMT"/>
          <w:sz w:val="20"/>
          <w:szCs w:val="20"/>
        </w:rPr>
        <w:t xml:space="preserve">as emergentes, los </w:t>
      </w:r>
      <w:r>
        <w:rPr>
          <w:rFonts w:ascii="ArialMT" w:hAnsi="ArialMT" w:cs="ArialMT"/>
          <w:sz w:val="20"/>
          <w:szCs w:val="20"/>
        </w:rPr>
        <w:t>nuevos indicios de recuperación en las economí</w:t>
      </w:r>
      <w:r>
        <w:rPr>
          <w:rFonts w:ascii="ArialMT" w:hAnsi="ArialMT" w:cs="ArialMT"/>
          <w:sz w:val="20"/>
          <w:szCs w:val="20"/>
        </w:rPr>
        <w:t xml:space="preserve">as </w:t>
      </w:r>
      <w:r>
        <w:rPr>
          <w:rFonts w:ascii="Arial" w:hAnsi="Arial" w:cs="Arial"/>
          <w:sz w:val="20"/>
          <w:szCs w:val="20"/>
        </w:rPr>
        <w:t>avanzadas y la solución parcial a los problemas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fiscales en EE.</w:t>
      </w:r>
      <w:r>
        <w:rPr>
          <w:rFonts w:ascii="ArialMT" w:hAnsi="ArialMT" w:cs="ArialMT"/>
          <w:sz w:val="20"/>
          <w:szCs w:val="20"/>
        </w:rPr>
        <w:t xml:space="preserve">UU., contribuyeron a reducir la </w:t>
      </w:r>
      <w:r>
        <w:rPr>
          <w:rFonts w:ascii="Arial" w:hAnsi="Arial" w:cs="Arial"/>
          <w:sz w:val="20"/>
          <w:szCs w:val="20"/>
        </w:rPr>
        <w:t>aversión al riesgo.</w:t>
      </w:r>
    </w:p>
    <w:p w:rsidR="002F10A4" w:rsidRP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 la actividad econó</w:t>
      </w:r>
      <w:r>
        <w:rPr>
          <w:rFonts w:ascii="ArialMT" w:hAnsi="ArialMT" w:cs="ArialMT"/>
          <w:sz w:val="20"/>
          <w:szCs w:val="20"/>
        </w:rPr>
        <w:t xml:space="preserve">mica nacional, se </w:t>
      </w:r>
      <w:r>
        <w:rPr>
          <w:rFonts w:ascii="ArialMT" w:hAnsi="ArialMT" w:cs="ArialMT"/>
          <w:sz w:val="20"/>
          <w:szCs w:val="20"/>
        </w:rPr>
        <w:t>debe destacar que el crecimiento en 2013 superó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las proyecciones oficiales (5,5%) al</w:t>
      </w:r>
      <w:r>
        <w:rPr>
          <w:rFonts w:ascii="ArialMT" w:hAnsi="ArialMT" w:cs="ArialMT"/>
          <w:sz w:val="20"/>
          <w:szCs w:val="20"/>
        </w:rPr>
        <w:t xml:space="preserve"> ubicarse en </w:t>
      </w:r>
      <w:r>
        <w:rPr>
          <w:rFonts w:ascii="Arial" w:hAnsi="Arial" w:cs="Arial"/>
          <w:sz w:val="20"/>
          <w:szCs w:val="20"/>
        </w:rPr>
        <w:t>torno a 6,5%, constituyéndose en la tasa más alta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en los últimos 38 añ</w:t>
      </w:r>
      <w:r>
        <w:rPr>
          <w:rFonts w:ascii="ArialMT" w:hAnsi="ArialMT" w:cs="ArialMT"/>
          <w:sz w:val="20"/>
          <w:szCs w:val="20"/>
        </w:rPr>
        <w:t xml:space="preserve">os. Respecto a las actividades </w:t>
      </w:r>
      <w:r>
        <w:rPr>
          <w:rFonts w:ascii="ArialMT" w:hAnsi="ArialMT" w:cs="ArialMT"/>
          <w:sz w:val="20"/>
          <w:szCs w:val="20"/>
        </w:rPr>
        <w:t>económicas, es</w:t>
      </w:r>
      <w:r>
        <w:rPr>
          <w:rFonts w:ascii="ArialMT" w:hAnsi="ArialMT" w:cs="ArialMT"/>
          <w:sz w:val="20"/>
          <w:szCs w:val="20"/>
        </w:rPr>
        <w:t xml:space="preserve">te comportamiento fue explicado </w:t>
      </w:r>
      <w:r>
        <w:rPr>
          <w:rFonts w:ascii="Arial" w:hAnsi="Arial" w:cs="Arial"/>
          <w:sz w:val="20"/>
          <w:szCs w:val="20"/>
        </w:rPr>
        <w:t>por el aporte de todos los sectores, destacando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 desempeño de Hidrocarburos, Transporte y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Almacenamiento,</w:t>
      </w:r>
      <w:r>
        <w:rPr>
          <w:rFonts w:ascii="ArialMT" w:hAnsi="ArialMT" w:cs="ArialMT"/>
          <w:sz w:val="20"/>
          <w:szCs w:val="20"/>
        </w:rPr>
        <w:t xml:space="preserve"> Otras Industrias, Agropecuario </w:t>
      </w:r>
      <w:r>
        <w:rPr>
          <w:rFonts w:ascii="Arial" w:hAnsi="Arial" w:cs="Arial"/>
          <w:sz w:val="20"/>
          <w:szCs w:val="20"/>
        </w:rPr>
        <w:t>y Servicios Financieros. Con relación al gasto, el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crecimiento estuvo impulsado principalmente por el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repunte de la demanda interna.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Las cuentas </w:t>
      </w:r>
      <w:r>
        <w:rPr>
          <w:rFonts w:ascii="ArialMT" w:hAnsi="ArialMT" w:cs="ArialMT"/>
          <w:sz w:val="20"/>
          <w:szCs w:val="20"/>
        </w:rPr>
        <w:t xml:space="preserve">externas registraron nuevamente </w:t>
      </w:r>
      <w:r>
        <w:rPr>
          <w:rFonts w:ascii="Arial" w:hAnsi="Arial" w:cs="Arial"/>
          <w:sz w:val="20"/>
          <w:szCs w:val="20"/>
        </w:rPr>
        <w:t>resultados positivos, debido al importante superávit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en la balanza comercial que, acompañ</w:t>
      </w:r>
      <w:r>
        <w:rPr>
          <w:rFonts w:ascii="ArialMT" w:hAnsi="ArialMT" w:cs="ArialMT"/>
          <w:sz w:val="20"/>
          <w:szCs w:val="20"/>
        </w:rPr>
        <w:t xml:space="preserve">ado de </w:t>
      </w:r>
      <w:r>
        <w:rPr>
          <w:rFonts w:ascii="ArialMT" w:hAnsi="ArialMT" w:cs="ArialMT"/>
          <w:sz w:val="20"/>
          <w:szCs w:val="20"/>
        </w:rPr>
        <w:t>incrementos d</w:t>
      </w:r>
      <w:r>
        <w:rPr>
          <w:rFonts w:ascii="ArialMT" w:hAnsi="ArialMT" w:cs="ArialMT"/>
          <w:sz w:val="20"/>
          <w:szCs w:val="20"/>
        </w:rPr>
        <w:t xml:space="preserve">e las remesas de trabajadores e </w:t>
      </w:r>
      <w:r>
        <w:rPr>
          <w:rFonts w:ascii="ArialMT" w:hAnsi="ArialMT" w:cs="ArialMT"/>
          <w:sz w:val="20"/>
          <w:szCs w:val="20"/>
        </w:rPr>
        <w:t>Inversión Extranjera Directa, explicaron el superá</w:t>
      </w:r>
      <w:r>
        <w:rPr>
          <w:rFonts w:ascii="ArialMT" w:hAnsi="ArialMT" w:cs="ArialMT"/>
          <w:sz w:val="20"/>
          <w:szCs w:val="20"/>
        </w:rPr>
        <w:t xml:space="preserve">vit </w:t>
      </w:r>
      <w:r>
        <w:rPr>
          <w:rFonts w:ascii="Arial" w:hAnsi="Arial" w:cs="Arial"/>
          <w:sz w:val="20"/>
          <w:szCs w:val="20"/>
        </w:rPr>
        <w:t>obtenido en la</w:t>
      </w:r>
      <w:r>
        <w:rPr>
          <w:rFonts w:ascii="Arial" w:hAnsi="Arial" w:cs="Arial"/>
          <w:sz w:val="20"/>
          <w:szCs w:val="20"/>
        </w:rPr>
        <w:t xml:space="preserve"> Balanza de Pagos y la ganancia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Reservas Internacionales Netas en $us503 millone</w:t>
      </w:r>
      <w:r>
        <w:rPr>
          <w:rFonts w:ascii="ArialMT" w:hAnsi="ArialMT" w:cs="ArialMT"/>
          <w:sz w:val="20"/>
          <w:szCs w:val="20"/>
        </w:rPr>
        <w:t xml:space="preserve">s, </w:t>
      </w:r>
      <w:r>
        <w:rPr>
          <w:rFonts w:ascii="ArialMT" w:hAnsi="ArialMT" w:cs="ArialMT"/>
          <w:sz w:val="20"/>
          <w:szCs w:val="20"/>
        </w:rPr>
        <w:t>lo que implicó</w:t>
      </w:r>
      <w:r>
        <w:rPr>
          <w:rFonts w:ascii="ArialMT" w:hAnsi="ArialMT" w:cs="ArialMT"/>
          <w:sz w:val="20"/>
          <w:szCs w:val="20"/>
        </w:rPr>
        <w:t xml:space="preserve"> que el saldo de las RIN del BCB </w:t>
      </w:r>
      <w:r>
        <w:rPr>
          <w:rFonts w:ascii="ArialMT" w:hAnsi="ArialMT" w:cs="ArialMT"/>
          <w:sz w:val="20"/>
          <w:szCs w:val="20"/>
        </w:rPr>
        <w:t>alcancen a $us14.430 m</w:t>
      </w:r>
      <w:r>
        <w:rPr>
          <w:rFonts w:ascii="ArialMT" w:hAnsi="ArialMT" w:cs="ArialMT"/>
          <w:sz w:val="20"/>
          <w:szCs w:val="20"/>
        </w:rPr>
        <w:t xml:space="preserve">illones (49% del PIB) a finales de 2013. Cabe destacar que la </w:t>
      </w:r>
      <w:r>
        <w:rPr>
          <w:rFonts w:ascii="ArialMT" w:hAnsi="ArialMT" w:cs="ArialMT"/>
          <w:sz w:val="20"/>
          <w:szCs w:val="20"/>
        </w:rPr>
        <w:t>creació</w:t>
      </w:r>
      <w:r>
        <w:rPr>
          <w:rFonts w:ascii="ArialMT" w:hAnsi="ArialMT" w:cs="ArialMT"/>
          <w:sz w:val="20"/>
          <w:szCs w:val="20"/>
        </w:rPr>
        <w:t xml:space="preserve">n del Fondo </w:t>
      </w:r>
      <w:r>
        <w:rPr>
          <w:rFonts w:ascii="Arial" w:hAnsi="Arial" w:cs="Arial"/>
          <w:sz w:val="20"/>
          <w:szCs w:val="20"/>
        </w:rPr>
        <w:t>para la Revolución Industrial Productiva implicó una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reducció</w:t>
      </w:r>
      <w:r>
        <w:rPr>
          <w:rFonts w:ascii="ArialMT" w:hAnsi="ArialMT" w:cs="ArialMT"/>
          <w:sz w:val="20"/>
          <w:szCs w:val="20"/>
        </w:rPr>
        <w:t xml:space="preserve">n de las RIN en $us1.200 millones, que </w:t>
      </w:r>
      <w:r>
        <w:rPr>
          <w:rFonts w:ascii="ArialMT" w:hAnsi="ArialMT" w:cs="ArialMT"/>
          <w:sz w:val="20"/>
          <w:szCs w:val="20"/>
        </w:rPr>
        <w:t>pasaron a constituir</w:t>
      </w:r>
      <w:r>
        <w:rPr>
          <w:rFonts w:ascii="ArialMT" w:hAnsi="ArialMT" w:cs="ArialMT"/>
          <w:sz w:val="20"/>
          <w:szCs w:val="20"/>
        </w:rPr>
        <w:t xml:space="preserve"> activos externos de este Fondo para financiar emprendimientos productivos del </w:t>
      </w:r>
      <w:r>
        <w:rPr>
          <w:rFonts w:ascii="ArialMT" w:hAnsi="ArialMT" w:cs="ArialMT"/>
          <w:sz w:val="20"/>
          <w:szCs w:val="20"/>
        </w:rPr>
        <w:t>Estado. En este sentido, considerando esta operació</w:t>
      </w:r>
      <w:r>
        <w:rPr>
          <w:rFonts w:ascii="ArialMT" w:hAnsi="ArialMT" w:cs="ArialMT"/>
          <w:sz w:val="20"/>
          <w:szCs w:val="20"/>
        </w:rPr>
        <w:t xml:space="preserve">n,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incremento de las reservas internacionales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consolidadas fue mayor.</w:t>
      </w:r>
    </w:p>
    <w:p w:rsidR="002F10A4" w:rsidRP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Los principales indicadores financie</w:t>
      </w:r>
      <w:r>
        <w:rPr>
          <w:rFonts w:ascii="ArialMT" w:hAnsi="ArialMT" w:cs="ArialMT"/>
          <w:sz w:val="20"/>
          <w:szCs w:val="20"/>
        </w:rPr>
        <w:t xml:space="preserve">ros se </w:t>
      </w:r>
      <w:r>
        <w:rPr>
          <w:rFonts w:ascii="ArialMT" w:hAnsi="ArialMT" w:cs="ArialMT"/>
          <w:sz w:val="20"/>
          <w:szCs w:val="20"/>
        </w:rPr>
        <w:t>mantuvieron sólidos. El cré</w:t>
      </w:r>
      <w:r>
        <w:rPr>
          <w:rFonts w:ascii="ArialMT" w:hAnsi="ArialMT" w:cs="ArialMT"/>
          <w:sz w:val="20"/>
          <w:szCs w:val="20"/>
        </w:rPr>
        <w:t xml:space="preserve">dito al sector privado </w:t>
      </w:r>
      <w:r>
        <w:rPr>
          <w:rFonts w:ascii="Arial" w:hAnsi="Arial" w:cs="Arial"/>
          <w:sz w:val="20"/>
          <w:szCs w:val="20"/>
        </w:rPr>
        <w:t xml:space="preserve">registró </w:t>
      </w:r>
      <w:r>
        <w:rPr>
          <w:rFonts w:ascii="Arial" w:hAnsi="Arial" w:cs="Arial"/>
          <w:sz w:val="20"/>
          <w:szCs w:val="20"/>
        </w:rPr>
        <w:t>el crecimiento absoluto más alto en nuestra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historia económica y los depósitos continuaron con</w:t>
      </w:r>
      <w:r>
        <w:rPr>
          <w:rFonts w:ascii="ArialMT" w:hAnsi="ArialMT" w:cs="ArialMT"/>
          <w:sz w:val="20"/>
          <w:szCs w:val="20"/>
        </w:rPr>
        <w:t xml:space="preserve"> su </w:t>
      </w:r>
      <w:r>
        <w:rPr>
          <w:rFonts w:ascii="ArialMT" w:hAnsi="ArialMT" w:cs="ArialMT"/>
          <w:sz w:val="20"/>
          <w:szCs w:val="20"/>
        </w:rPr>
        <w:t>importante expansió</w:t>
      </w:r>
      <w:r>
        <w:rPr>
          <w:rFonts w:ascii="ArialMT" w:hAnsi="ArialMT" w:cs="ArialMT"/>
          <w:sz w:val="20"/>
          <w:szCs w:val="20"/>
        </w:rPr>
        <w:t xml:space="preserve">n. Asimismo, los ratios de </w:t>
      </w:r>
      <w:r>
        <w:rPr>
          <w:rFonts w:ascii="Arial" w:hAnsi="Arial" w:cs="Arial"/>
          <w:sz w:val="20"/>
          <w:szCs w:val="20"/>
        </w:rPr>
        <w:t>bolivianización de cartera y depósitos continuaron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aumentando.</w:t>
      </w:r>
    </w:p>
    <w:p w:rsidR="002F10A4" w:rsidRP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este contexto externo e interno, la inflació</w:t>
      </w:r>
      <w:r>
        <w:rPr>
          <w:rFonts w:ascii="ArialMT" w:hAnsi="ArialMT" w:cs="ArialMT"/>
          <w:sz w:val="20"/>
          <w:szCs w:val="20"/>
        </w:rPr>
        <w:t xml:space="preserve">n que </w:t>
      </w:r>
      <w:r>
        <w:rPr>
          <w:rFonts w:ascii="Arial" w:hAnsi="Arial" w:cs="Arial"/>
          <w:sz w:val="20"/>
          <w:szCs w:val="20"/>
        </w:rPr>
        <w:t>durante la mayor</w:t>
      </w:r>
      <w:r>
        <w:rPr>
          <w:rFonts w:ascii="Arial" w:hAnsi="Arial" w:cs="Arial"/>
          <w:sz w:val="20"/>
          <w:szCs w:val="20"/>
        </w:rPr>
        <w:t xml:space="preserve"> parte del año estuvo estable y </w:t>
      </w:r>
      <w:r>
        <w:rPr>
          <w:rFonts w:ascii="Arial" w:hAnsi="Arial" w:cs="Arial"/>
          <w:sz w:val="20"/>
          <w:szCs w:val="20"/>
        </w:rPr>
        <w:t>acorde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 la meta anual, se incrementó por encima de las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previsiones durante el segundo </w:t>
      </w:r>
      <w:r>
        <w:rPr>
          <w:rFonts w:ascii="Arial" w:hAnsi="Arial" w:cs="Arial"/>
          <w:sz w:val="20"/>
          <w:szCs w:val="20"/>
        </w:rPr>
        <w:t>semestre, alcanzado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 octubre una tasa interanual de 7,5% debido 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factores climatológicos y </w:t>
      </w:r>
      <w:r>
        <w:rPr>
          <w:rFonts w:ascii="Arial" w:hAnsi="Arial" w:cs="Arial"/>
          <w:sz w:val="20"/>
          <w:szCs w:val="20"/>
        </w:rPr>
        <w:t>acciones especulativas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que provocaron alzas</w:t>
      </w:r>
      <w:r>
        <w:rPr>
          <w:rFonts w:ascii="ArialMT" w:hAnsi="ArialMT" w:cs="ArialMT"/>
          <w:sz w:val="20"/>
          <w:szCs w:val="20"/>
        </w:rPr>
        <w:t xml:space="preserve"> sustanciales en los precios de </w:t>
      </w:r>
      <w:r>
        <w:rPr>
          <w:rFonts w:ascii="Arial" w:hAnsi="Arial" w:cs="Arial"/>
          <w:sz w:val="20"/>
          <w:szCs w:val="20"/>
        </w:rPr>
        <w:t xml:space="preserve">algunos alimentos, </w:t>
      </w:r>
      <w:r>
        <w:rPr>
          <w:rFonts w:ascii="Arial" w:hAnsi="Arial" w:cs="Arial"/>
          <w:sz w:val="20"/>
          <w:szCs w:val="20"/>
        </w:rPr>
        <w:t>especialmente papa, tomate y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carne de pollo. Estas perturbaciones se co</w:t>
      </w:r>
      <w:r>
        <w:rPr>
          <w:rFonts w:ascii="ArialMT" w:hAnsi="ArialMT" w:cs="ArialMT"/>
          <w:sz w:val="20"/>
          <w:szCs w:val="20"/>
        </w:rPr>
        <w:t xml:space="preserve">rrigieron </w:t>
      </w:r>
      <w:r>
        <w:rPr>
          <w:rFonts w:ascii="Arial" w:hAnsi="Arial" w:cs="Arial"/>
          <w:sz w:val="20"/>
          <w:szCs w:val="20"/>
        </w:rPr>
        <w:t xml:space="preserve">parcialmente en </w:t>
      </w:r>
      <w:r>
        <w:rPr>
          <w:rFonts w:ascii="Arial" w:hAnsi="Arial" w:cs="Arial"/>
          <w:sz w:val="20"/>
          <w:szCs w:val="20"/>
        </w:rPr>
        <w:t>los siguientes meses cerrando el año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 una inflación de 6,5%, mayor a la meta anunciada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(4,8%), pero dentro del rango de proyecció</w:t>
      </w:r>
      <w:r>
        <w:rPr>
          <w:rFonts w:ascii="ArialMT" w:hAnsi="ArialMT" w:cs="ArialMT"/>
          <w:sz w:val="20"/>
          <w:szCs w:val="20"/>
        </w:rPr>
        <w:t xml:space="preserve">n (3,8% a </w:t>
      </w:r>
      <w:r>
        <w:rPr>
          <w:rFonts w:ascii="ArialMT" w:hAnsi="ArialMT" w:cs="ArialMT"/>
          <w:sz w:val="20"/>
          <w:szCs w:val="20"/>
        </w:rPr>
        <w:t>6,8%) señalado en el Informe de Polí</w:t>
      </w:r>
      <w:r>
        <w:rPr>
          <w:rFonts w:ascii="ArialMT" w:hAnsi="ArialMT" w:cs="ArialMT"/>
          <w:sz w:val="20"/>
          <w:szCs w:val="20"/>
        </w:rPr>
        <w:t xml:space="preserve">tica Monetaria </w:t>
      </w:r>
      <w:r>
        <w:rPr>
          <w:rFonts w:ascii="ArialMT" w:hAnsi="ArialMT" w:cs="ArialMT"/>
          <w:sz w:val="20"/>
          <w:szCs w:val="20"/>
        </w:rPr>
        <w:t>de julio 2013.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 corrección en la inflación en los ú</w:t>
      </w:r>
      <w:r>
        <w:rPr>
          <w:rFonts w:ascii="ArialMT" w:hAnsi="ArialMT" w:cs="ArialMT"/>
          <w:sz w:val="20"/>
          <w:szCs w:val="20"/>
        </w:rPr>
        <w:t xml:space="preserve">ltimos dos meses </w:t>
      </w:r>
      <w:r>
        <w:rPr>
          <w:rFonts w:ascii="ArialMT" w:hAnsi="ArialMT" w:cs="ArialMT"/>
          <w:sz w:val="20"/>
          <w:szCs w:val="20"/>
        </w:rPr>
        <w:t>del año confirmó que este fenó</w:t>
      </w:r>
      <w:r>
        <w:rPr>
          <w:rFonts w:ascii="ArialMT" w:hAnsi="ArialMT" w:cs="ArialMT"/>
          <w:sz w:val="20"/>
          <w:szCs w:val="20"/>
        </w:rPr>
        <w:t xml:space="preserve">meno no </w:t>
      </w:r>
      <w:r>
        <w:rPr>
          <w:rFonts w:ascii="ArialMT" w:hAnsi="ArialMT" w:cs="ArialMT"/>
          <w:sz w:val="20"/>
          <w:szCs w:val="20"/>
        </w:rPr>
        <w:t>correspondí</w:t>
      </w:r>
      <w:r>
        <w:rPr>
          <w:rFonts w:ascii="ArialMT" w:hAnsi="ArialMT" w:cs="ArialMT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a un comportamiento tendencial de largo plazo ni a</w:t>
      </w:r>
      <w:r>
        <w:rPr>
          <w:rFonts w:ascii="ArialMT" w:hAnsi="ArialMT" w:cs="ArialMT"/>
          <w:sz w:val="20"/>
          <w:szCs w:val="20"/>
        </w:rPr>
        <w:t xml:space="preserve"> desequilibrios en el mercado monetario. En efecto, </w:t>
      </w:r>
      <w:r>
        <w:rPr>
          <w:rFonts w:ascii="ArialMT" w:hAnsi="ArialMT" w:cs="ArialMT"/>
          <w:sz w:val="20"/>
          <w:szCs w:val="20"/>
        </w:rPr>
        <w:t>los indicadores de tendencia inflacionaria (inflació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núcleo, subyacent</w:t>
      </w:r>
      <w:r>
        <w:rPr>
          <w:rFonts w:ascii="ArialMT" w:hAnsi="ArialMT" w:cs="ArialMT"/>
          <w:sz w:val="20"/>
          <w:szCs w:val="20"/>
        </w:rPr>
        <w:t xml:space="preserve">e y sin alimentos) se mantuvieron </w:t>
      </w:r>
      <w:r>
        <w:rPr>
          <w:rFonts w:ascii="ArialMT" w:hAnsi="ArialMT" w:cs="ArialMT"/>
          <w:sz w:val="20"/>
          <w:szCs w:val="20"/>
        </w:rPr>
        <w:t>estables y por debajo de la inflació</w:t>
      </w:r>
      <w:r>
        <w:rPr>
          <w:rFonts w:ascii="ArialMT" w:hAnsi="ArialMT" w:cs="ArialMT"/>
          <w:sz w:val="20"/>
          <w:szCs w:val="20"/>
        </w:rPr>
        <w:t xml:space="preserve">n total a lo largo </w:t>
      </w:r>
      <w:r>
        <w:rPr>
          <w:rFonts w:ascii="Arial" w:hAnsi="Arial" w:cs="Arial"/>
          <w:sz w:val="20"/>
          <w:szCs w:val="20"/>
        </w:rPr>
        <w:t>del año.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 embargo, con la intención de corregir el incremento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pr</w:t>
      </w:r>
      <w:r>
        <w:rPr>
          <w:rFonts w:ascii="Arial" w:hAnsi="Arial" w:cs="Arial"/>
          <w:sz w:val="20"/>
          <w:szCs w:val="20"/>
        </w:rPr>
        <w:t xml:space="preserve">ecios de manera oportuna y para </w:t>
      </w:r>
      <w:r>
        <w:rPr>
          <w:rFonts w:ascii="Arial" w:hAnsi="Arial" w:cs="Arial"/>
          <w:sz w:val="20"/>
          <w:szCs w:val="20"/>
        </w:rPr>
        <w:t>evitar efectos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segunda vuelta, el BCB y el Órgano Ejecutivo 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forma coordinada realizaron </w:t>
      </w:r>
      <w:r>
        <w:rPr>
          <w:rFonts w:ascii="Arial" w:hAnsi="Arial" w:cs="Arial"/>
          <w:sz w:val="20"/>
          <w:szCs w:val="20"/>
        </w:rPr>
        <w:t>importantes reducciones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la liquidez y gar</w:t>
      </w:r>
      <w:r>
        <w:rPr>
          <w:rFonts w:ascii="ArialMT" w:hAnsi="ArialMT" w:cs="ArialMT"/>
          <w:sz w:val="20"/>
          <w:szCs w:val="20"/>
        </w:rPr>
        <w:t xml:space="preserve">antizaron el abastecimiento del </w:t>
      </w:r>
      <w:r>
        <w:rPr>
          <w:rFonts w:ascii="Arial" w:hAnsi="Arial" w:cs="Arial"/>
          <w:sz w:val="20"/>
          <w:szCs w:val="20"/>
        </w:rPr>
        <w:t xml:space="preserve">mercado interno y la </w:t>
      </w:r>
      <w:r>
        <w:rPr>
          <w:rFonts w:ascii="Arial" w:hAnsi="Arial" w:cs="Arial"/>
          <w:sz w:val="20"/>
          <w:szCs w:val="20"/>
        </w:rPr>
        <w:t>lucha contra la especulación.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En lo que respecta a la polí</w:t>
      </w:r>
      <w:r>
        <w:rPr>
          <w:rFonts w:ascii="ArialMT" w:hAnsi="ArialMT" w:cs="ArialMT"/>
          <w:sz w:val="20"/>
          <w:szCs w:val="20"/>
        </w:rPr>
        <w:t xml:space="preserve">tica monetaria, se debe </w:t>
      </w:r>
      <w:r>
        <w:rPr>
          <w:rFonts w:ascii="ArialMT" w:hAnsi="ArialMT" w:cs="ArialMT"/>
          <w:sz w:val="20"/>
          <w:szCs w:val="20"/>
        </w:rPr>
        <w:t>puntualiza</w:t>
      </w:r>
      <w:r>
        <w:rPr>
          <w:rFonts w:ascii="ArialMT" w:hAnsi="ArialMT" w:cs="ArialMT"/>
          <w:sz w:val="20"/>
          <w:szCs w:val="20"/>
        </w:rPr>
        <w:t xml:space="preserve">r que el retiro de los impulsos </w:t>
      </w:r>
      <w:r>
        <w:rPr>
          <w:rFonts w:ascii="ArialMT" w:hAnsi="ArialMT" w:cs="ArialMT"/>
          <w:sz w:val="20"/>
          <w:szCs w:val="20"/>
        </w:rPr>
        <w:t>moneta</w:t>
      </w:r>
      <w:r>
        <w:rPr>
          <w:rFonts w:ascii="ArialMT" w:hAnsi="ArialMT" w:cs="ArialMT"/>
          <w:sz w:val="20"/>
          <w:szCs w:val="20"/>
        </w:rPr>
        <w:t xml:space="preserve">rios </w:t>
      </w:r>
      <w:r>
        <w:rPr>
          <w:rFonts w:ascii="ArialMT" w:hAnsi="ArialMT" w:cs="ArialMT"/>
          <w:sz w:val="20"/>
          <w:szCs w:val="20"/>
        </w:rPr>
        <w:t>se inició desde fi</w:t>
      </w:r>
      <w:r>
        <w:rPr>
          <w:rFonts w:ascii="ArialMT" w:hAnsi="ArialMT" w:cs="ArialMT"/>
          <w:sz w:val="20"/>
          <w:szCs w:val="20"/>
        </w:rPr>
        <w:t xml:space="preserve">nes de 2012, pero de manera muy gradual manteniendo bajas las </w:t>
      </w:r>
      <w:r>
        <w:rPr>
          <w:rFonts w:ascii="ArialMT" w:hAnsi="ArialMT" w:cs="ArialMT"/>
          <w:sz w:val="20"/>
          <w:szCs w:val="20"/>
        </w:rPr>
        <w:t>tasas de interé</w:t>
      </w:r>
      <w:r>
        <w:rPr>
          <w:rFonts w:ascii="ArialMT" w:hAnsi="ArialMT" w:cs="ArialMT"/>
          <w:sz w:val="20"/>
          <w:szCs w:val="20"/>
        </w:rPr>
        <w:t xml:space="preserve">s la </w:t>
      </w:r>
      <w:r>
        <w:rPr>
          <w:rFonts w:ascii="ArialMT" w:hAnsi="ArialMT" w:cs="ArialMT"/>
          <w:sz w:val="20"/>
          <w:szCs w:val="20"/>
        </w:rPr>
        <w:t>mayor parte de 2</w:t>
      </w:r>
      <w:r>
        <w:rPr>
          <w:rFonts w:ascii="ArialMT" w:hAnsi="ArialMT" w:cs="ArialMT"/>
          <w:sz w:val="20"/>
          <w:szCs w:val="20"/>
        </w:rPr>
        <w:t xml:space="preserve">013, debido a menores presiones inflacionarias importadas, ligeros impactos de origen </w:t>
      </w:r>
      <w:r>
        <w:rPr>
          <w:rFonts w:ascii="Arial" w:hAnsi="Arial" w:cs="Arial"/>
          <w:sz w:val="20"/>
          <w:szCs w:val="20"/>
        </w:rPr>
        <w:t>interno por cambios en precios administrados y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elevado superá</w:t>
      </w:r>
      <w:r>
        <w:rPr>
          <w:rFonts w:ascii="ArialMT" w:hAnsi="ArialMT" w:cs="ArialMT"/>
          <w:sz w:val="20"/>
          <w:szCs w:val="20"/>
        </w:rPr>
        <w:t xml:space="preserve">vit fiscal en el primer semestre. </w:t>
      </w:r>
      <w:r>
        <w:rPr>
          <w:rFonts w:ascii="Arial" w:hAnsi="Arial" w:cs="Arial"/>
          <w:sz w:val="20"/>
          <w:szCs w:val="20"/>
        </w:rPr>
        <w:t>Sin embargo, en el segundo semestre, frente a los</w:t>
      </w:r>
      <w:r>
        <w:rPr>
          <w:rFonts w:ascii="ArialMT" w:hAnsi="ArialMT" w:cs="ArialMT"/>
          <w:sz w:val="20"/>
          <w:szCs w:val="20"/>
        </w:rPr>
        <w:t xml:space="preserve"> choques inflacionarios de oferta, el fuerte dinamismo </w:t>
      </w:r>
      <w:r>
        <w:rPr>
          <w:rFonts w:ascii="ArialMT" w:hAnsi="ArialMT" w:cs="ArialMT"/>
          <w:sz w:val="20"/>
          <w:szCs w:val="20"/>
        </w:rPr>
        <w:t>de la actividad económica y el mayor gasto pú</w:t>
      </w:r>
      <w:r>
        <w:rPr>
          <w:rFonts w:ascii="ArialMT" w:hAnsi="ArialMT" w:cs="ArialMT"/>
          <w:sz w:val="20"/>
          <w:szCs w:val="20"/>
        </w:rPr>
        <w:t xml:space="preserve">blico estacional, se </w:t>
      </w:r>
      <w:r>
        <w:rPr>
          <w:rFonts w:ascii="ArialMT" w:hAnsi="ArialMT" w:cs="ArialMT"/>
          <w:sz w:val="20"/>
          <w:szCs w:val="20"/>
        </w:rPr>
        <w:t>dinamizó la colocación de tí</w:t>
      </w:r>
      <w:r>
        <w:rPr>
          <w:rFonts w:ascii="ArialMT" w:hAnsi="ArialMT" w:cs="ArialMT"/>
          <w:sz w:val="20"/>
          <w:szCs w:val="20"/>
        </w:rPr>
        <w:t xml:space="preserve">tulos y se </w:t>
      </w:r>
      <w:r>
        <w:rPr>
          <w:rFonts w:ascii="Arial" w:hAnsi="Arial" w:cs="Arial"/>
          <w:sz w:val="20"/>
          <w:szCs w:val="20"/>
        </w:rPr>
        <w:t>incrementó las tasas de interés de estos instrumentos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forma más pronunciada.</w:t>
      </w:r>
    </w:p>
    <w:p w:rsidR="002F10A4" w:rsidRP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Además de las</w:t>
      </w:r>
      <w:r>
        <w:rPr>
          <w:rFonts w:ascii="ArialMT" w:hAnsi="ArialMT" w:cs="ArialMT"/>
          <w:sz w:val="20"/>
          <w:szCs w:val="20"/>
        </w:rPr>
        <w:t xml:space="preserve"> OMA y el incremento del encaje </w:t>
      </w:r>
      <w:r>
        <w:rPr>
          <w:rFonts w:ascii="ArialMT" w:hAnsi="ArialMT" w:cs="ArialMT"/>
          <w:sz w:val="20"/>
          <w:szCs w:val="20"/>
        </w:rPr>
        <w:t>requerido para depó</w:t>
      </w:r>
      <w:r>
        <w:rPr>
          <w:rFonts w:ascii="ArialMT" w:hAnsi="ArialMT" w:cs="ArialMT"/>
          <w:sz w:val="20"/>
          <w:szCs w:val="20"/>
        </w:rPr>
        <w:t xml:space="preserve">sitos en ME, el BCB </w:t>
      </w:r>
      <w:r>
        <w:rPr>
          <w:rFonts w:ascii="ArialMT" w:hAnsi="ArialMT" w:cs="ArialMT"/>
          <w:sz w:val="20"/>
          <w:szCs w:val="20"/>
        </w:rPr>
        <w:t>implementó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nuevos instrumento</w:t>
      </w:r>
      <w:r>
        <w:rPr>
          <w:rFonts w:ascii="ArialMT" w:hAnsi="ArialMT" w:cs="ArialMT"/>
          <w:sz w:val="20"/>
          <w:szCs w:val="20"/>
        </w:rPr>
        <w:t xml:space="preserve">s para regular la liquidez como </w:t>
      </w:r>
      <w:r>
        <w:rPr>
          <w:rFonts w:ascii="ArialMT" w:hAnsi="ArialMT" w:cs="ArialMT"/>
          <w:sz w:val="20"/>
          <w:szCs w:val="20"/>
        </w:rPr>
        <w:t>los Certificados de Depósito a l</w:t>
      </w:r>
      <w:r>
        <w:rPr>
          <w:rFonts w:ascii="ArialMT" w:hAnsi="ArialMT" w:cs="ArialMT"/>
          <w:sz w:val="20"/>
          <w:szCs w:val="20"/>
        </w:rPr>
        <w:t xml:space="preserve">as administradoras </w:t>
      </w:r>
      <w:r>
        <w:rPr>
          <w:rFonts w:ascii="ArialMT" w:hAnsi="ArialMT" w:cs="ArialMT"/>
          <w:sz w:val="20"/>
          <w:szCs w:val="20"/>
        </w:rPr>
        <w:t>del Sistema Integr</w:t>
      </w:r>
      <w:r>
        <w:rPr>
          <w:rFonts w:ascii="ArialMT" w:hAnsi="ArialMT" w:cs="ArialMT"/>
          <w:sz w:val="20"/>
          <w:szCs w:val="20"/>
        </w:rPr>
        <w:t xml:space="preserve">al de Pensiones (CD) y Reservas Complementarias (RC) que se </w:t>
      </w:r>
      <w:r>
        <w:rPr>
          <w:rFonts w:ascii="ArialMT" w:hAnsi="ArialMT" w:cs="ArialMT"/>
          <w:sz w:val="20"/>
          <w:szCs w:val="20"/>
        </w:rPr>
        <w:t>exigió</w:t>
      </w:r>
      <w:r>
        <w:rPr>
          <w:rFonts w:ascii="ArialMT" w:hAnsi="ArialMT" w:cs="ArialMT"/>
          <w:sz w:val="20"/>
          <w:szCs w:val="20"/>
        </w:rPr>
        <w:t xml:space="preserve"> a las entidades </w:t>
      </w:r>
      <w:r>
        <w:rPr>
          <w:rFonts w:ascii="ArialMT" w:hAnsi="ArialMT" w:cs="ArialMT"/>
          <w:sz w:val="20"/>
          <w:szCs w:val="20"/>
        </w:rPr>
        <w:t>de intermediación f</w:t>
      </w:r>
      <w:r>
        <w:rPr>
          <w:rFonts w:ascii="ArialMT" w:hAnsi="ArialMT" w:cs="ArialMT"/>
          <w:sz w:val="20"/>
          <w:szCs w:val="20"/>
        </w:rPr>
        <w:t xml:space="preserve">inanciera con elevada liquidez. </w:t>
      </w:r>
      <w:r>
        <w:rPr>
          <w:rFonts w:ascii="ArialMT" w:hAnsi="ArialMT" w:cs="ArialMT"/>
          <w:sz w:val="20"/>
          <w:szCs w:val="20"/>
        </w:rPr>
        <w:t>Asimismo, se dinamizó</w:t>
      </w:r>
      <w:r>
        <w:rPr>
          <w:rFonts w:ascii="ArialMT" w:hAnsi="ArialMT" w:cs="ArialMT"/>
          <w:sz w:val="20"/>
          <w:szCs w:val="20"/>
        </w:rPr>
        <w:t xml:space="preserve"> la </w:t>
      </w:r>
      <w:r>
        <w:rPr>
          <w:rFonts w:ascii="ArialMT" w:hAnsi="ArialMT" w:cs="ArialMT"/>
          <w:sz w:val="20"/>
          <w:szCs w:val="20"/>
        </w:rPr>
        <w:t>colocación de los tí</w:t>
      </w:r>
      <w:r>
        <w:rPr>
          <w:rFonts w:ascii="ArialMT" w:hAnsi="ArialMT" w:cs="ArialMT"/>
          <w:sz w:val="20"/>
          <w:szCs w:val="20"/>
        </w:rPr>
        <w:t xml:space="preserve">tulos </w:t>
      </w:r>
      <w:r>
        <w:rPr>
          <w:rFonts w:ascii="ArialMT" w:hAnsi="ArialMT" w:cs="ArialMT"/>
          <w:sz w:val="20"/>
          <w:szCs w:val="20"/>
        </w:rPr>
        <w:t>directos, BCB - Aniversario y Bonos Navideñ</w:t>
      </w:r>
      <w:r>
        <w:rPr>
          <w:rFonts w:ascii="ArialMT" w:hAnsi="ArialMT" w:cs="ArialMT"/>
          <w:sz w:val="20"/>
          <w:szCs w:val="20"/>
        </w:rPr>
        <w:t xml:space="preserve">os y </w:t>
      </w:r>
      <w:r>
        <w:rPr>
          <w:rFonts w:ascii="ArialMT" w:hAnsi="ArialMT" w:cs="ArialMT"/>
          <w:sz w:val="20"/>
          <w:szCs w:val="20"/>
        </w:rPr>
        <w:t>se amplió</w:t>
      </w:r>
      <w:r>
        <w:rPr>
          <w:rFonts w:ascii="ArialMT" w:hAnsi="ArialMT" w:cs="ArialMT"/>
          <w:sz w:val="20"/>
          <w:szCs w:val="20"/>
        </w:rPr>
        <w:t xml:space="preserve"> la facultad del </w:t>
      </w:r>
      <w:r>
        <w:rPr>
          <w:rFonts w:ascii="ArialMT" w:hAnsi="ArialMT" w:cs="ArialMT"/>
          <w:sz w:val="20"/>
          <w:szCs w:val="20"/>
        </w:rPr>
        <w:t>Comité</w:t>
      </w:r>
      <w:r>
        <w:rPr>
          <w:rFonts w:ascii="ArialMT" w:hAnsi="ArialMT" w:cs="ArialMT"/>
          <w:sz w:val="20"/>
          <w:szCs w:val="20"/>
        </w:rPr>
        <w:t xml:space="preserve"> de Operaciones </w:t>
      </w:r>
      <w:r>
        <w:rPr>
          <w:rFonts w:ascii="Arial" w:hAnsi="Arial" w:cs="Arial"/>
          <w:sz w:val="20"/>
          <w:szCs w:val="20"/>
        </w:rPr>
        <w:t>de Mercado Abierto para incrementar la oferta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semanal de tí</w:t>
      </w:r>
      <w:r>
        <w:rPr>
          <w:rFonts w:ascii="ArialMT" w:hAnsi="ArialMT" w:cs="ArialMT"/>
          <w:sz w:val="20"/>
          <w:szCs w:val="20"/>
        </w:rPr>
        <w:t xml:space="preserve">tulos por encima de los lineamientos en </w:t>
      </w:r>
      <w:r>
        <w:rPr>
          <w:rFonts w:ascii="Arial" w:hAnsi="Arial" w:cs="Arial"/>
          <w:sz w:val="20"/>
          <w:szCs w:val="20"/>
        </w:rPr>
        <w:t>determinadas circunstancias.</w:t>
      </w:r>
    </w:p>
    <w:p w:rsidR="002F10A4" w:rsidRP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lo que a la política c</w:t>
      </w:r>
      <w:r>
        <w:rPr>
          <w:rFonts w:ascii="ArialMT" w:hAnsi="ArialMT" w:cs="ArialMT"/>
          <w:sz w:val="20"/>
          <w:szCs w:val="20"/>
        </w:rPr>
        <w:t xml:space="preserve">ambiaria se refiere, durante el </w:t>
      </w:r>
      <w:r>
        <w:rPr>
          <w:rFonts w:ascii="ArialMT" w:hAnsi="ArialMT" w:cs="ArialMT"/>
          <w:sz w:val="20"/>
          <w:szCs w:val="20"/>
        </w:rPr>
        <w:t>2013 el tip</w:t>
      </w:r>
      <w:r>
        <w:rPr>
          <w:rFonts w:ascii="ArialMT" w:hAnsi="ArialMT" w:cs="ArialMT"/>
          <w:sz w:val="20"/>
          <w:szCs w:val="20"/>
        </w:rPr>
        <w:t xml:space="preserve">o de cambio se mantuvo estable, </w:t>
      </w:r>
      <w:r>
        <w:rPr>
          <w:rFonts w:ascii="ArialMT" w:hAnsi="ArialMT" w:cs="ArialMT"/>
          <w:sz w:val="20"/>
          <w:szCs w:val="20"/>
        </w:rPr>
        <w:t>en lí</w:t>
      </w:r>
      <w:r>
        <w:rPr>
          <w:rFonts w:ascii="ArialMT" w:hAnsi="ArialMT" w:cs="ArialMT"/>
          <w:sz w:val="20"/>
          <w:szCs w:val="20"/>
        </w:rPr>
        <w:t xml:space="preserve">nea </w:t>
      </w:r>
      <w:r>
        <w:rPr>
          <w:rFonts w:ascii="ArialMT" w:hAnsi="ArialMT" w:cs="ArialMT"/>
          <w:sz w:val="20"/>
          <w:szCs w:val="20"/>
        </w:rPr>
        <w:t>con las menores pre</w:t>
      </w:r>
      <w:r>
        <w:rPr>
          <w:rFonts w:ascii="ArialMT" w:hAnsi="ArialMT" w:cs="ArialMT"/>
          <w:sz w:val="20"/>
          <w:szCs w:val="20"/>
        </w:rPr>
        <w:t>siones inflacionarias externas.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es</w:t>
      </w:r>
      <w:r>
        <w:rPr>
          <w:rFonts w:ascii="Arial" w:hAnsi="Arial" w:cs="Arial"/>
          <w:sz w:val="20"/>
          <w:szCs w:val="20"/>
        </w:rPr>
        <w:t xml:space="preserve">tabilidad cambiaria también fue </w:t>
      </w:r>
      <w:r>
        <w:rPr>
          <w:rFonts w:ascii="Arial" w:hAnsi="Arial" w:cs="Arial"/>
          <w:sz w:val="20"/>
          <w:szCs w:val="20"/>
        </w:rPr>
        <w:t>importante para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mantener ancladas las expectativas del pú</w:t>
      </w:r>
      <w:r>
        <w:rPr>
          <w:rFonts w:ascii="ArialMT" w:hAnsi="ArialMT" w:cs="ArialMT"/>
          <w:sz w:val="20"/>
          <w:szCs w:val="20"/>
        </w:rPr>
        <w:t xml:space="preserve">blico y </w:t>
      </w:r>
      <w:r>
        <w:rPr>
          <w:rFonts w:ascii="Arial" w:hAnsi="Arial" w:cs="Arial"/>
          <w:sz w:val="20"/>
          <w:szCs w:val="20"/>
        </w:rPr>
        <w:t xml:space="preserve">coadyuvar a sostener el proceso </w:t>
      </w:r>
      <w:r>
        <w:rPr>
          <w:rFonts w:ascii="Arial" w:hAnsi="Arial" w:cs="Arial"/>
          <w:sz w:val="20"/>
          <w:szCs w:val="20"/>
        </w:rPr>
        <w:t>de bolivianización.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El tipo de cambi</w:t>
      </w:r>
      <w:r>
        <w:rPr>
          <w:rFonts w:ascii="ArialMT" w:hAnsi="ArialMT" w:cs="ArialMT"/>
          <w:sz w:val="20"/>
          <w:szCs w:val="20"/>
        </w:rPr>
        <w:t xml:space="preserve">o real se mantuvo acorde con la </w:t>
      </w:r>
      <w:r>
        <w:rPr>
          <w:rFonts w:ascii="Arial" w:hAnsi="Arial" w:cs="Arial"/>
          <w:sz w:val="20"/>
          <w:szCs w:val="20"/>
        </w:rPr>
        <w:t xml:space="preserve">tendencia establecida por sus </w:t>
      </w:r>
      <w:r>
        <w:rPr>
          <w:rFonts w:ascii="Arial" w:hAnsi="Arial" w:cs="Arial"/>
          <w:sz w:val="20"/>
          <w:szCs w:val="20"/>
        </w:rPr>
        <w:t>fundamentos, sin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presentar desalineamientos. Además, en la gestión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2013 el BCB aprobó</w:t>
      </w:r>
      <w:r>
        <w:rPr>
          <w:rFonts w:ascii="ArialMT" w:hAnsi="ArialMT" w:cs="ArialMT"/>
          <w:sz w:val="20"/>
          <w:szCs w:val="20"/>
        </w:rPr>
        <w:t xml:space="preserve"> una serie de medidas para </w:t>
      </w:r>
      <w:r>
        <w:rPr>
          <w:rFonts w:ascii="ArialMT" w:hAnsi="ArialMT" w:cs="ArialMT"/>
          <w:sz w:val="20"/>
          <w:szCs w:val="20"/>
        </w:rPr>
        <w:t>garantizar la provisión de ME al pú</w:t>
      </w:r>
      <w:r>
        <w:rPr>
          <w:rFonts w:ascii="ArialMT" w:hAnsi="ArialMT" w:cs="ArialMT"/>
          <w:sz w:val="20"/>
          <w:szCs w:val="20"/>
        </w:rPr>
        <w:t xml:space="preserve">blico en general a </w:t>
      </w:r>
      <w:r>
        <w:rPr>
          <w:rFonts w:ascii="Arial" w:hAnsi="Arial" w:cs="Arial"/>
          <w:sz w:val="20"/>
          <w:szCs w:val="20"/>
        </w:rPr>
        <w:t>través de diferentes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mecanismos.</w:t>
      </w:r>
    </w:p>
    <w:p w:rsidR="002F10A4" w:rsidRP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otra part</w:t>
      </w:r>
      <w:r>
        <w:rPr>
          <w:rFonts w:ascii="Arial" w:hAnsi="Arial" w:cs="Arial"/>
          <w:sz w:val="20"/>
          <w:szCs w:val="20"/>
        </w:rPr>
        <w:t xml:space="preserve">e, en el marco del nuevo modelo </w:t>
      </w:r>
      <w:r>
        <w:rPr>
          <w:rFonts w:ascii="Arial" w:hAnsi="Arial" w:cs="Arial"/>
          <w:sz w:val="20"/>
          <w:szCs w:val="20"/>
        </w:rPr>
        <w:t>económico, e</w:t>
      </w:r>
      <w:r>
        <w:rPr>
          <w:rFonts w:ascii="Arial" w:hAnsi="Arial" w:cs="Arial"/>
          <w:sz w:val="20"/>
          <w:szCs w:val="20"/>
        </w:rPr>
        <w:t xml:space="preserve">l BCB también contribuyó a este </w:t>
      </w:r>
      <w:r>
        <w:rPr>
          <w:rFonts w:ascii="ArialMT" w:hAnsi="ArialMT" w:cs="ArialMT"/>
          <w:sz w:val="20"/>
          <w:szCs w:val="20"/>
        </w:rPr>
        <w:t>propósito financiando a las Empresas Públicas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Nacionales Estratégicas, transfiriendo recursos para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 pago del Bon</w:t>
      </w:r>
      <w:r>
        <w:rPr>
          <w:rFonts w:ascii="Arial" w:hAnsi="Arial" w:cs="Arial"/>
          <w:sz w:val="20"/>
          <w:szCs w:val="20"/>
        </w:rPr>
        <w:t xml:space="preserve">o Juana Azurduy, concediendo un </w:t>
      </w:r>
      <w:r>
        <w:rPr>
          <w:rFonts w:ascii="Arial" w:hAnsi="Arial" w:cs="Arial"/>
          <w:sz w:val="20"/>
          <w:szCs w:val="20"/>
        </w:rPr>
        <w:t>crédito y una tra</w:t>
      </w:r>
      <w:r>
        <w:rPr>
          <w:rFonts w:ascii="Arial" w:hAnsi="Arial" w:cs="Arial"/>
          <w:sz w:val="20"/>
          <w:szCs w:val="20"/>
        </w:rPr>
        <w:t xml:space="preserve">nsferencia para la constitución del </w:t>
      </w:r>
      <w:r>
        <w:rPr>
          <w:rFonts w:ascii="ArialMT" w:hAnsi="ArialMT" w:cs="ArialMT"/>
          <w:sz w:val="20"/>
          <w:szCs w:val="20"/>
        </w:rPr>
        <w:t>FINPRO y continuando con la venta directa de bonos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perso</w:t>
      </w:r>
      <w:r>
        <w:rPr>
          <w:rFonts w:ascii="Arial" w:hAnsi="Arial" w:cs="Arial"/>
          <w:sz w:val="20"/>
          <w:szCs w:val="20"/>
        </w:rPr>
        <w:t xml:space="preserve">nas naturales por parte del BCB con tasas </w:t>
      </w:r>
      <w:r>
        <w:rPr>
          <w:rFonts w:ascii="Arial" w:hAnsi="Arial" w:cs="Arial"/>
          <w:sz w:val="20"/>
          <w:szCs w:val="20"/>
        </w:rPr>
        <w:t>de rendimiento atracti</w:t>
      </w:r>
      <w:r>
        <w:rPr>
          <w:rFonts w:ascii="Arial" w:hAnsi="Arial" w:cs="Arial"/>
          <w:sz w:val="20"/>
          <w:szCs w:val="20"/>
        </w:rPr>
        <w:t xml:space="preserve">vas. Por otra parte, también se </w:t>
      </w:r>
      <w:r>
        <w:rPr>
          <w:rFonts w:ascii="ArialMT" w:hAnsi="ArialMT" w:cs="ArialMT"/>
          <w:sz w:val="20"/>
          <w:szCs w:val="20"/>
        </w:rPr>
        <w:t xml:space="preserve">debe destacar el impacto </w:t>
      </w:r>
      <w:r>
        <w:rPr>
          <w:rFonts w:ascii="ArialMT" w:hAnsi="ArialMT" w:cs="ArialMT"/>
          <w:sz w:val="20"/>
          <w:szCs w:val="20"/>
        </w:rPr>
        <w:t>redistributivo de la política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cambiaria y el aporte d</w:t>
      </w:r>
      <w:r>
        <w:rPr>
          <w:rFonts w:ascii="Arial" w:hAnsi="Arial" w:cs="Arial"/>
          <w:sz w:val="20"/>
          <w:szCs w:val="20"/>
        </w:rPr>
        <w:t xml:space="preserve">e la bolivianización al control </w:t>
      </w:r>
      <w:r>
        <w:rPr>
          <w:rFonts w:ascii="ArialMT" w:hAnsi="ArialMT" w:cs="ArialMT"/>
          <w:sz w:val="20"/>
          <w:szCs w:val="20"/>
        </w:rPr>
        <w:t>de la inflació</w:t>
      </w:r>
      <w:r>
        <w:rPr>
          <w:rFonts w:ascii="ArialMT" w:hAnsi="ArialMT" w:cs="ArialMT"/>
          <w:sz w:val="20"/>
          <w:szCs w:val="20"/>
        </w:rPr>
        <w:t xml:space="preserve">n y la </w:t>
      </w:r>
      <w:r>
        <w:rPr>
          <w:rFonts w:ascii="ArialMT" w:hAnsi="ArialMT" w:cs="ArialMT"/>
          <w:sz w:val="20"/>
          <w:szCs w:val="20"/>
        </w:rPr>
        <w:t>dinamización del crédito.</w:t>
      </w:r>
    </w:p>
    <w:p w:rsidR="002F10A4" w:rsidRP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cuanto a los </w:t>
      </w:r>
      <w:r>
        <w:rPr>
          <w:rFonts w:ascii="ArialMT" w:hAnsi="ArialMT" w:cs="ArialMT"/>
          <w:sz w:val="20"/>
          <w:szCs w:val="20"/>
        </w:rPr>
        <w:t xml:space="preserve">resultados esperados para 2014, </w:t>
      </w:r>
      <w:r>
        <w:rPr>
          <w:rFonts w:ascii="ArialMT" w:hAnsi="ArialMT" w:cs="ArialMT"/>
          <w:sz w:val="20"/>
          <w:szCs w:val="20"/>
        </w:rPr>
        <w:t>las perspectivas de la economía mundial señ</w:t>
      </w:r>
      <w:r>
        <w:rPr>
          <w:rFonts w:ascii="ArialMT" w:hAnsi="ArialMT" w:cs="ArialMT"/>
          <w:sz w:val="20"/>
          <w:szCs w:val="20"/>
        </w:rPr>
        <w:t xml:space="preserve">alan </w:t>
      </w:r>
      <w:r>
        <w:rPr>
          <w:rFonts w:ascii="ArialMT" w:hAnsi="ArialMT" w:cs="ArialMT"/>
          <w:sz w:val="20"/>
          <w:szCs w:val="20"/>
        </w:rPr>
        <w:t>que si bien el ciclo económico internacional está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mostrando sig</w:t>
      </w:r>
      <w:r>
        <w:rPr>
          <w:rFonts w:ascii="ArialMT" w:hAnsi="ArialMT" w:cs="ArialMT"/>
          <w:sz w:val="20"/>
          <w:szCs w:val="20"/>
        </w:rPr>
        <w:t xml:space="preserve">nos de mejora, especialmente en las </w:t>
      </w:r>
      <w:r>
        <w:rPr>
          <w:rFonts w:ascii="ArialMT" w:hAnsi="ArialMT" w:cs="ArialMT"/>
          <w:sz w:val="20"/>
          <w:szCs w:val="20"/>
        </w:rPr>
        <w:t>economías avanzadas, todaví</w:t>
      </w:r>
      <w:r>
        <w:rPr>
          <w:rFonts w:ascii="ArialMT" w:hAnsi="ArialMT" w:cs="ArialMT"/>
          <w:sz w:val="20"/>
          <w:szCs w:val="20"/>
        </w:rPr>
        <w:t xml:space="preserve">a se encuentra lejos </w:t>
      </w:r>
      <w:r>
        <w:rPr>
          <w:rFonts w:ascii="ArialMT" w:hAnsi="ArialMT" w:cs="ArialMT"/>
          <w:sz w:val="20"/>
          <w:szCs w:val="20"/>
        </w:rPr>
        <w:t>de ser una recuperación só</w:t>
      </w:r>
      <w:r>
        <w:rPr>
          <w:rFonts w:ascii="ArialMT" w:hAnsi="ArialMT" w:cs="ArialMT"/>
          <w:sz w:val="20"/>
          <w:szCs w:val="20"/>
        </w:rPr>
        <w:t xml:space="preserve">lida. En ese sentido, los </w:t>
      </w:r>
      <w:r>
        <w:rPr>
          <w:rFonts w:ascii="Arial" w:hAnsi="Arial" w:cs="Arial"/>
          <w:sz w:val="20"/>
          <w:szCs w:val="20"/>
        </w:rPr>
        <w:t>riesgos del escenario internacional están asociados 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los efectos econó</w:t>
      </w:r>
      <w:r>
        <w:rPr>
          <w:rFonts w:ascii="ArialMT" w:hAnsi="ArialMT" w:cs="ArialMT"/>
          <w:sz w:val="20"/>
          <w:szCs w:val="20"/>
        </w:rPr>
        <w:t xml:space="preserve">micos y financieros del retiro de los </w:t>
      </w:r>
      <w:r>
        <w:rPr>
          <w:rFonts w:ascii="ArialMT" w:hAnsi="ArialMT" w:cs="ArialMT"/>
          <w:sz w:val="20"/>
          <w:szCs w:val="20"/>
        </w:rPr>
        <w:t>impulsos cuantitativos en EE.UU., la desaceleració</w:t>
      </w:r>
      <w:r>
        <w:rPr>
          <w:rFonts w:ascii="ArialMT" w:hAnsi="ArialMT" w:cs="ArialMT"/>
          <w:sz w:val="20"/>
          <w:szCs w:val="20"/>
        </w:rPr>
        <w:t xml:space="preserve">n del crecimiento de </w:t>
      </w:r>
      <w:r>
        <w:rPr>
          <w:rFonts w:ascii="ArialMT" w:hAnsi="ArialMT" w:cs="ArialMT"/>
          <w:sz w:val="20"/>
          <w:szCs w:val="20"/>
        </w:rPr>
        <w:t>algunas economí</w:t>
      </w:r>
      <w:r>
        <w:rPr>
          <w:rFonts w:ascii="ArialMT" w:hAnsi="ArialMT" w:cs="ArialMT"/>
          <w:sz w:val="20"/>
          <w:szCs w:val="20"/>
        </w:rPr>
        <w:t xml:space="preserve">as emergentes </w:t>
      </w:r>
      <w:r>
        <w:rPr>
          <w:rFonts w:ascii="Arial" w:hAnsi="Arial" w:cs="Arial"/>
          <w:sz w:val="20"/>
          <w:szCs w:val="20"/>
        </w:rPr>
        <w:t>con una alta importancia en el comercio mundial,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los efectos de </w:t>
      </w:r>
      <w:r>
        <w:rPr>
          <w:rFonts w:ascii="Arial" w:hAnsi="Arial" w:cs="Arial"/>
          <w:sz w:val="20"/>
          <w:szCs w:val="20"/>
        </w:rPr>
        <w:t>una disminución de los precios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los </w:t>
      </w:r>
      <w:r>
        <w:rPr>
          <w:rFonts w:ascii="Arial" w:hAnsi="Arial" w:cs="Arial"/>
          <w:i/>
          <w:iCs/>
          <w:sz w:val="20"/>
          <w:szCs w:val="20"/>
        </w:rPr>
        <w:t xml:space="preserve">commodities </w:t>
      </w:r>
      <w:r>
        <w:rPr>
          <w:rFonts w:ascii="Arial" w:hAnsi="Arial" w:cs="Arial"/>
          <w:sz w:val="20"/>
          <w:szCs w:val="20"/>
        </w:rPr>
        <w:t>y los potenciales riesgos de</w:t>
      </w:r>
      <w:r>
        <w:rPr>
          <w:rFonts w:ascii="ArialMT" w:hAnsi="ArialMT" w:cs="ArialMT"/>
          <w:sz w:val="20"/>
          <w:szCs w:val="20"/>
        </w:rPr>
        <w:t xml:space="preserve"> estancamiento y </w:t>
      </w:r>
      <w:r>
        <w:rPr>
          <w:rFonts w:ascii="ArialMT" w:hAnsi="ArialMT" w:cs="ArialMT"/>
          <w:sz w:val="20"/>
          <w:szCs w:val="20"/>
        </w:rPr>
        <w:t>deflación en la Zona Euro.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lo concern</w:t>
      </w:r>
      <w:r>
        <w:rPr>
          <w:rFonts w:ascii="ArialMT" w:hAnsi="ArialMT" w:cs="ArialMT"/>
          <w:sz w:val="20"/>
          <w:szCs w:val="20"/>
        </w:rPr>
        <w:t xml:space="preserve">iente al contexto nacional, las </w:t>
      </w:r>
      <w:r>
        <w:rPr>
          <w:rFonts w:ascii="Arial" w:hAnsi="Arial" w:cs="Arial"/>
          <w:sz w:val="20"/>
          <w:szCs w:val="20"/>
        </w:rPr>
        <w:t>perspectivas sobre el desempeño de la actividad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económica p</w:t>
      </w:r>
      <w:r>
        <w:rPr>
          <w:rFonts w:ascii="ArialMT" w:hAnsi="ArialMT" w:cs="ArialMT"/>
          <w:sz w:val="20"/>
          <w:szCs w:val="20"/>
        </w:rPr>
        <w:t xml:space="preserve">ara 2014 son favorables (5,7%), </w:t>
      </w:r>
      <w:r>
        <w:rPr>
          <w:rFonts w:ascii="Arial" w:hAnsi="Arial" w:cs="Arial"/>
          <w:sz w:val="20"/>
          <w:szCs w:val="20"/>
        </w:rPr>
        <w:t>impulsado princip</w:t>
      </w:r>
      <w:r>
        <w:rPr>
          <w:rFonts w:ascii="Arial" w:hAnsi="Arial" w:cs="Arial"/>
          <w:sz w:val="20"/>
          <w:szCs w:val="20"/>
        </w:rPr>
        <w:t xml:space="preserve">almente por la demanda interna. </w:t>
      </w:r>
      <w:r>
        <w:rPr>
          <w:rFonts w:ascii="Arial" w:hAnsi="Arial" w:cs="Arial"/>
          <w:sz w:val="20"/>
          <w:szCs w:val="20"/>
        </w:rPr>
        <w:t>Por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 lado de la actividad económica, este crecimiento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estimado se</w:t>
      </w:r>
      <w:r>
        <w:rPr>
          <w:rFonts w:ascii="Arial" w:hAnsi="Arial" w:cs="Arial"/>
          <w:sz w:val="20"/>
          <w:szCs w:val="20"/>
        </w:rPr>
        <w:t xml:space="preserve"> sustenta principalmente en los </w:t>
      </w:r>
      <w:r>
        <w:rPr>
          <w:rFonts w:ascii="Arial" w:hAnsi="Arial" w:cs="Arial"/>
          <w:sz w:val="20"/>
          <w:szCs w:val="20"/>
        </w:rPr>
        <w:t>siguientes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sectores: i) Industria Manufacturera; ii) Construcció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y Obras Pú</w:t>
      </w:r>
      <w:r>
        <w:rPr>
          <w:rFonts w:ascii="ArialMT" w:hAnsi="ArialMT" w:cs="ArialMT"/>
          <w:sz w:val="20"/>
          <w:szCs w:val="20"/>
        </w:rPr>
        <w:t xml:space="preserve">blicas; iii) Electricidad, Gas y Agua; iv) </w:t>
      </w:r>
      <w:r>
        <w:rPr>
          <w:rFonts w:ascii="ArialMT" w:hAnsi="ArialMT" w:cs="ArialMT"/>
          <w:sz w:val="20"/>
          <w:szCs w:val="20"/>
        </w:rPr>
        <w:t>Servicios Financieros</w:t>
      </w:r>
      <w:r>
        <w:rPr>
          <w:rFonts w:ascii="ArialMT" w:hAnsi="ArialMT" w:cs="ArialMT"/>
          <w:sz w:val="20"/>
          <w:szCs w:val="20"/>
        </w:rPr>
        <w:t xml:space="preserve">; v) Transporte, Almacenamiento y Comunicaciones y; vi) </w:t>
      </w:r>
      <w:r>
        <w:rPr>
          <w:rFonts w:ascii="ArialMT" w:hAnsi="ArialMT" w:cs="ArialMT"/>
          <w:sz w:val="20"/>
          <w:szCs w:val="20"/>
        </w:rPr>
        <w:t>Restaurantes y Hoteles.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relación al sect</w:t>
      </w:r>
      <w:r>
        <w:rPr>
          <w:rFonts w:ascii="ArialMT" w:hAnsi="ArialMT" w:cs="ArialMT"/>
          <w:sz w:val="20"/>
          <w:szCs w:val="20"/>
        </w:rPr>
        <w:t xml:space="preserve">or externo, para 2014 se estima </w:t>
      </w:r>
      <w:r>
        <w:rPr>
          <w:rFonts w:ascii="Arial" w:hAnsi="Arial" w:cs="Arial"/>
          <w:sz w:val="20"/>
          <w:szCs w:val="20"/>
        </w:rPr>
        <w:t>un menor s</w:t>
      </w:r>
      <w:r>
        <w:rPr>
          <w:rFonts w:ascii="Arial" w:hAnsi="Arial" w:cs="Arial"/>
          <w:sz w:val="20"/>
          <w:szCs w:val="20"/>
        </w:rPr>
        <w:t xml:space="preserve">uperávit en la Cuenta Corriente </w:t>
      </w:r>
      <w:r>
        <w:rPr>
          <w:rFonts w:ascii="Arial" w:hAnsi="Arial" w:cs="Arial"/>
          <w:sz w:val="20"/>
          <w:szCs w:val="20"/>
        </w:rPr>
        <w:t>debido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principalmente a mayores importaciones de bienes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capital para los </w:t>
      </w:r>
      <w:r>
        <w:rPr>
          <w:rFonts w:ascii="Arial" w:hAnsi="Arial" w:cs="Arial"/>
          <w:sz w:val="20"/>
          <w:szCs w:val="20"/>
        </w:rPr>
        <w:t xml:space="preserve">nuevos proyectos y proyecciones </w:t>
      </w:r>
      <w:r>
        <w:rPr>
          <w:rFonts w:ascii="Arial" w:hAnsi="Arial" w:cs="Arial"/>
          <w:sz w:val="20"/>
          <w:szCs w:val="20"/>
        </w:rPr>
        <w:t>conservadoras en los precios internacional</w:t>
      </w:r>
      <w:r>
        <w:rPr>
          <w:rFonts w:ascii="Arial" w:hAnsi="Arial" w:cs="Arial"/>
          <w:sz w:val="20"/>
          <w:szCs w:val="20"/>
        </w:rPr>
        <w:t xml:space="preserve">es de </w:t>
      </w:r>
      <w:r>
        <w:rPr>
          <w:rFonts w:ascii="ArialMT" w:hAnsi="ArialMT" w:cs="ArialMT"/>
          <w:sz w:val="20"/>
          <w:szCs w:val="20"/>
        </w:rPr>
        <w:t>algunos productos de exportació</w:t>
      </w:r>
      <w:r>
        <w:rPr>
          <w:rFonts w:ascii="ArialMT" w:hAnsi="ArialMT" w:cs="ArialMT"/>
          <w:sz w:val="20"/>
          <w:szCs w:val="20"/>
        </w:rPr>
        <w:t xml:space="preserve">n. </w:t>
      </w:r>
      <w:r>
        <w:rPr>
          <w:rFonts w:ascii="ArialMT" w:hAnsi="ArialMT" w:cs="ArialMT"/>
          <w:sz w:val="20"/>
          <w:szCs w:val="20"/>
        </w:rPr>
        <w:t>Asimismo, la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Cuenta Capital y Financiera presentaría un superávit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principalmente por flujos de </w:t>
      </w:r>
      <w:r>
        <w:rPr>
          <w:rFonts w:ascii="ArialMT" w:hAnsi="ArialMT" w:cs="ArialMT"/>
          <w:sz w:val="20"/>
          <w:szCs w:val="20"/>
        </w:rPr>
        <w:t>Inversión Extranjera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Directa. Estos resultados originarían un aumento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las RIN.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En el ámbito de la coordinación MEFP - BCB y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acuerdo a la Decisión de Ejecució</w:t>
      </w:r>
      <w:r>
        <w:rPr>
          <w:rFonts w:ascii="ArialMT" w:hAnsi="ArialMT" w:cs="ArialMT"/>
          <w:sz w:val="20"/>
          <w:szCs w:val="20"/>
        </w:rPr>
        <w:t xml:space="preserve">n Del </w:t>
      </w:r>
      <w:r>
        <w:rPr>
          <w:rFonts w:ascii="ArialMT" w:hAnsi="ArialMT" w:cs="ArialMT"/>
          <w:sz w:val="20"/>
          <w:szCs w:val="20"/>
        </w:rPr>
        <w:t>Programa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Fiscal-Financiero 2014 suscrita el 27 de enero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2014, la Política Fiscal continuará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promoviendo el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crecimiento sosten</w:t>
      </w:r>
      <w:r>
        <w:rPr>
          <w:rFonts w:ascii="Arial" w:hAnsi="Arial" w:cs="Arial"/>
          <w:sz w:val="20"/>
          <w:szCs w:val="20"/>
        </w:rPr>
        <w:t xml:space="preserve">ido, preservando los mecanismos de protección social y velando </w:t>
      </w:r>
      <w:r>
        <w:rPr>
          <w:rFonts w:ascii="Arial" w:hAnsi="Arial" w:cs="Arial"/>
          <w:sz w:val="20"/>
          <w:szCs w:val="20"/>
        </w:rPr>
        <w:t>por la sostenibil</w:t>
      </w:r>
      <w:r>
        <w:rPr>
          <w:rFonts w:ascii="Arial" w:hAnsi="Arial" w:cs="Arial"/>
          <w:sz w:val="20"/>
          <w:szCs w:val="20"/>
        </w:rPr>
        <w:t xml:space="preserve">idad </w:t>
      </w:r>
      <w:r>
        <w:rPr>
          <w:rFonts w:ascii="ArialMT" w:hAnsi="ArialMT" w:cs="ArialMT"/>
          <w:sz w:val="20"/>
          <w:szCs w:val="20"/>
        </w:rPr>
        <w:t>fiscal, lo que implicaría como máximo un déficit fiscal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de 3,2% del PIB. Por su </w:t>
      </w:r>
      <w:r>
        <w:rPr>
          <w:rFonts w:ascii="ArialMT" w:hAnsi="ArialMT" w:cs="ArialMT"/>
          <w:sz w:val="20"/>
          <w:szCs w:val="20"/>
        </w:rPr>
        <w:t>parte, la Política Monetaria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del BCB mantendrá su orientación contracíclica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realizando un balance </w:t>
      </w:r>
      <w:r>
        <w:rPr>
          <w:rFonts w:ascii="ArialMT" w:hAnsi="ArialMT" w:cs="ArialMT"/>
          <w:sz w:val="20"/>
          <w:szCs w:val="20"/>
        </w:rPr>
        <w:t>adecuado entre el objetivo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preservar una inflación baja y el de contribuir al</w:t>
      </w:r>
      <w:r>
        <w:rPr>
          <w:rFonts w:ascii="Arial" w:hAnsi="Arial" w:cs="Arial"/>
          <w:sz w:val="20"/>
          <w:szCs w:val="20"/>
        </w:rPr>
        <w:t xml:space="preserve"> dinamismo de la </w:t>
      </w:r>
      <w:r>
        <w:rPr>
          <w:rFonts w:ascii="Arial" w:hAnsi="Arial" w:cs="Arial"/>
          <w:sz w:val="20"/>
          <w:szCs w:val="20"/>
        </w:rPr>
        <w:t>ac</w:t>
      </w:r>
      <w:r>
        <w:rPr>
          <w:rFonts w:ascii="Arial" w:hAnsi="Arial" w:cs="Arial"/>
          <w:sz w:val="20"/>
          <w:szCs w:val="20"/>
        </w:rPr>
        <w:t xml:space="preserve">tividad económica. A su vez, la </w:t>
      </w:r>
      <w:r>
        <w:rPr>
          <w:rFonts w:ascii="ArialMT" w:hAnsi="ArialMT" w:cs="ArialMT"/>
          <w:sz w:val="20"/>
          <w:szCs w:val="20"/>
        </w:rPr>
        <w:t>Política Cambiaria seguirá dirigida a consolidar el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proceso de </w:t>
      </w:r>
      <w:r>
        <w:rPr>
          <w:rFonts w:ascii="ArialMT" w:hAnsi="ArialMT" w:cs="ArialMT"/>
          <w:sz w:val="20"/>
          <w:szCs w:val="20"/>
        </w:rPr>
        <w:t>estabilización de la inflación, promoviendo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la bolivianización de la economía nacional para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preservar la estabilidad del sistema financiero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nacional y la mitigación de los efectos de choques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externos.</w:t>
      </w:r>
    </w:p>
    <w:p w:rsidR="002F10A4" w:rsidRP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este marco</w:t>
      </w:r>
      <w:r>
        <w:rPr>
          <w:rFonts w:ascii="ArialMT" w:hAnsi="ArialMT" w:cs="ArialMT"/>
          <w:sz w:val="20"/>
          <w:szCs w:val="20"/>
        </w:rPr>
        <w:t xml:space="preserve">, en los primeros meses de 2014 </w:t>
      </w:r>
      <w:r>
        <w:rPr>
          <w:rFonts w:ascii="ArialMT" w:hAnsi="ArialMT" w:cs="ArialMT"/>
          <w:sz w:val="20"/>
          <w:szCs w:val="20"/>
        </w:rPr>
        <w:t>el BCB continuará</w:t>
      </w:r>
      <w:r>
        <w:rPr>
          <w:rFonts w:ascii="ArialMT" w:hAnsi="ArialMT" w:cs="ArialMT"/>
          <w:sz w:val="20"/>
          <w:szCs w:val="20"/>
        </w:rPr>
        <w:t xml:space="preserve"> retirando la liquidez con la </w:t>
      </w:r>
      <w:r>
        <w:rPr>
          <w:rFonts w:ascii="ArialMT" w:hAnsi="ArialMT" w:cs="ArialMT"/>
          <w:sz w:val="20"/>
          <w:szCs w:val="20"/>
        </w:rPr>
        <w:t>misma intensidad que en el ú</w:t>
      </w:r>
      <w:r>
        <w:rPr>
          <w:rFonts w:ascii="ArialMT" w:hAnsi="ArialMT" w:cs="ArialMT"/>
          <w:sz w:val="20"/>
          <w:szCs w:val="20"/>
        </w:rPr>
        <w:t xml:space="preserve">ltimo trimestre de </w:t>
      </w:r>
      <w:r>
        <w:rPr>
          <w:rFonts w:ascii="ArialMT" w:hAnsi="ArialMT" w:cs="ArialMT"/>
          <w:sz w:val="20"/>
          <w:szCs w:val="20"/>
        </w:rPr>
        <w:t>2013, garantizand</w:t>
      </w:r>
      <w:r>
        <w:rPr>
          <w:rFonts w:ascii="ArialMT" w:hAnsi="ArialMT" w:cs="ArialMT"/>
          <w:sz w:val="20"/>
          <w:szCs w:val="20"/>
        </w:rPr>
        <w:t xml:space="preserve">o que no se presenten presiones </w:t>
      </w:r>
      <w:r>
        <w:rPr>
          <w:rFonts w:ascii="ArialMT" w:hAnsi="ArialMT" w:cs="ArialMT"/>
          <w:sz w:val="20"/>
          <w:szCs w:val="20"/>
        </w:rPr>
        <w:t>inflacionarias p</w:t>
      </w:r>
      <w:r>
        <w:rPr>
          <w:rFonts w:ascii="ArialMT" w:hAnsi="ArialMT" w:cs="ArialMT"/>
          <w:sz w:val="20"/>
          <w:szCs w:val="20"/>
        </w:rPr>
        <w:t xml:space="preserve">or desequilibrios en el mercado </w:t>
      </w:r>
      <w:r>
        <w:rPr>
          <w:rFonts w:ascii="ArialMT" w:hAnsi="ArialMT" w:cs="ArialMT"/>
          <w:sz w:val="20"/>
          <w:szCs w:val="20"/>
        </w:rPr>
        <w:t>monetario. Sin em</w:t>
      </w:r>
      <w:r>
        <w:rPr>
          <w:rFonts w:ascii="ArialMT" w:hAnsi="ArialMT" w:cs="ArialMT"/>
          <w:sz w:val="20"/>
          <w:szCs w:val="20"/>
        </w:rPr>
        <w:t xml:space="preserve">bargo, en caso de ser requerido </w:t>
      </w:r>
      <w:r>
        <w:rPr>
          <w:rFonts w:ascii="ArialMT" w:hAnsi="ArialMT" w:cs="ArialMT"/>
          <w:sz w:val="20"/>
          <w:szCs w:val="20"/>
        </w:rPr>
        <w:t>má</w:t>
      </w:r>
      <w:r>
        <w:rPr>
          <w:rFonts w:ascii="ArialMT" w:hAnsi="ArialMT" w:cs="ArialMT"/>
          <w:sz w:val="20"/>
          <w:szCs w:val="20"/>
        </w:rPr>
        <w:t xml:space="preserve">s </w:t>
      </w:r>
      <w:r>
        <w:rPr>
          <w:rFonts w:ascii="ArialMT" w:hAnsi="ArialMT" w:cs="ArialMT"/>
          <w:sz w:val="20"/>
          <w:szCs w:val="20"/>
        </w:rPr>
        <w:t>adelante, el Ente E</w:t>
      </w:r>
      <w:r>
        <w:rPr>
          <w:rFonts w:ascii="ArialMT" w:hAnsi="ArialMT" w:cs="ArialMT"/>
          <w:sz w:val="20"/>
          <w:szCs w:val="20"/>
        </w:rPr>
        <w:t xml:space="preserve">misor cuenta con una importante </w:t>
      </w:r>
      <w:r>
        <w:rPr>
          <w:rFonts w:ascii="ArialMT" w:hAnsi="ArialMT" w:cs="ArialMT"/>
          <w:sz w:val="20"/>
          <w:szCs w:val="20"/>
        </w:rPr>
        <w:t>capaci</w:t>
      </w:r>
      <w:r>
        <w:rPr>
          <w:rFonts w:ascii="ArialMT" w:hAnsi="ArialMT" w:cs="ArialMT"/>
          <w:sz w:val="20"/>
          <w:szCs w:val="20"/>
        </w:rPr>
        <w:t xml:space="preserve">dad para inyectar liquidez a la </w:t>
      </w:r>
      <w:r>
        <w:rPr>
          <w:rFonts w:ascii="ArialMT" w:hAnsi="ArialMT" w:cs="ArialMT"/>
          <w:sz w:val="20"/>
          <w:szCs w:val="20"/>
        </w:rPr>
        <w:t>economía.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9B51CC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 la inflació</w:t>
      </w:r>
      <w:r>
        <w:rPr>
          <w:rFonts w:ascii="ArialMT" w:hAnsi="ArialMT" w:cs="ArialMT"/>
          <w:sz w:val="20"/>
          <w:szCs w:val="20"/>
        </w:rPr>
        <w:t xml:space="preserve">n, se estima que en 2014 se </w:t>
      </w:r>
      <w:r>
        <w:rPr>
          <w:rFonts w:ascii="Arial" w:hAnsi="Arial" w:cs="Arial"/>
          <w:sz w:val="20"/>
          <w:szCs w:val="20"/>
        </w:rPr>
        <w:t>situará en torno</w:t>
      </w:r>
      <w:r>
        <w:rPr>
          <w:rFonts w:ascii="Arial" w:hAnsi="Arial" w:cs="Arial"/>
          <w:sz w:val="20"/>
          <w:szCs w:val="20"/>
        </w:rPr>
        <w:t xml:space="preserve"> a 5,5%, en un rango entre 4,6% 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7,0%. Por su parte, la variació</w:t>
      </w:r>
      <w:r>
        <w:rPr>
          <w:rFonts w:ascii="ArialMT" w:hAnsi="ArialMT" w:cs="ArialMT"/>
          <w:sz w:val="20"/>
          <w:szCs w:val="20"/>
        </w:rPr>
        <w:t xml:space="preserve">n de precios en 2015 </w:t>
      </w:r>
      <w:r>
        <w:rPr>
          <w:rFonts w:ascii="Arial" w:hAnsi="Arial" w:cs="Arial"/>
          <w:sz w:val="20"/>
          <w:szCs w:val="20"/>
        </w:rPr>
        <w:t>se situará alrededor de 4,0%.</w:t>
      </w: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escenario base de proyección de la inflació</w:t>
      </w:r>
      <w:r>
        <w:rPr>
          <w:rFonts w:ascii="ArialMT" w:hAnsi="ArialMT" w:cs="ArialMT"/>
          <w:sz w:val="20"/>
          <w:szCs w:val="20"/>
        </w:rPr>
        <w:t xml:space="preserve">n para </w:t>
      </w:r>
      <w:r>
        <w:rPr>
          <w:rFonts w:ascii="Arial" w:hAnsi="Arial" w:cs="Arial"/>
          <w:sz w:val="20"/>
          <w:szCs w:val="20"/>
        </w:rPr>
        <w:t>el siguient</w:t>
      </w:r>
      <w:r>
        <w:rPr>
          <w:rFonts w:ascii="Arial" w:hAnsi="Arial" w:cs="Arial"/>
          <w:sz w:val="20"/>
          <w:szCs w:val="20"/>
        </w:rPr>
        <w:t xml:space="preserve">e bienio contempla una serie de </w:t>
      </w:r>
      <w:r>
        <w:rPr>
          <w:rFonts w:ascii="Arial" w:hAnsi="Arial" w:cs="Arial"/>
          <w:sz w:val="20"/>
          <w:szCs w:val="20"/>
        </w:rPr>
        <w:t>elementos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en el contexto naciona</w:t>
      </w:r>
      <w:r>
        <w:rPr>
          <w:rFonts w:ascii="ArialMT" w:hAnsi="ArialMT" w:cs="ArialMT"/>
          <w:sz w:val="20"/>
          <w:szCs w:val="20"/>
        </w:rPr>
        <w:t xml:space="preserve">l e internacional. Sin embargo, </w:t>
      </w:r>
      <w:r>
        <w:rPr>
          <w:rFonts w:ascii="ArialMT" w:hAnsi="ArialMT" w:cs="ArialMT"/>
          <w:sz w:val="20"/>
          <w:szCs w:val="20"/>
        </w:rPr>
        <w:t>podrían presentarse desví</w:t>
      </w:r>
      <w:r>
        <w:rPr>
          <w:rFonts w:ascii="ArialMT" w:hAnsi="ArialMT" w:cs="ArialMT"/>
          <w:sz w:val="20"/>
          <w:szCs w:val="20"/>
        </w:rPr>
        <w:t xml:space="preserve">os que </w:t>
      </w:r>
      <w:r>
        <w:rPr>
          <w:rFonts w:ascii="ArialMT" w:hAnsi="ArialMT" w:cs="ArialMT"/>
          <w:sz w:val="20"/>
          <w:szCs w:val="20"/>
        </w:rPr>
        <w:t>afectarí</w:t>
      </w:r>
      <w:r>
        <w:rPr>
          <w:rFonts w:ascii="ArialMT" w:hAnsi="ArialMT" w:cs="ArialMT"/>
          <w:sz w:val="20"/>
          <w:szCs w:val="20"/>
        </w:rPr>
        <w:t xml:space="preserve">an la </w:t>
      </w:r>
      <w:r>
        <w:rPr>
          <w:rFonts w:ascii="ArialMT" w:hAnsi="ArialMT" w:cs="ArialMT"/>
          <w:sz w:val="20"/>
          <w:szCs w:val="20"/>
        </w:rPr>
        <w:t>trayectoria de la inflació</w:t>
      </w:r>
      <w:r>
        <w:rPr>
          <w:rFonts w:ascii="ArialMT" w:hAnsi="ArialMT" w:cs="ArialMT"/>
          <w:sz w:val="20"/>
          <w:szCs w:val="20"/>
        </w:rPr>
        <w:t xml:space="preserve">n prevista, ante los cuales </w:t>
      </w:r>
      <w:r>
        <w:rPr>
          <w:rFonts w:ascii="ArialMT" w:hAnsi="ArialMT" w:cs="ArialMT"/>
          <w:sz w:val="20"/>
          <w:szCs w:val="20"/>
        </w:rPr>
        <w:t>el BCB en coordinació</w:t>
      </w:r>
      <w:r>
        <w:rPr>
          <w:rFonts w:ascii="ArialMT" w:hAnsi="ArialMT" w:cs="ArialMT"/>
          <w:sz w:val="20"/>
          <w:szCs w:val="20"/>
        </w:rPr>
        <w:t xml:space="preserve">n con el </w:t>
      </w:r>
      <w:r>
        <w:rPr>
          <w:rFonts w:ascii="ArialMT" w:hAnsi="ArialMT" w:cs="ArialMT"/>
          <w:sz w:val="20"/>
          <w:szCs w:val="20"/>
        </w:rPr>
        <w:t>Ó</w:t>
      </w:r>
      <w:r>
        <w:rPr>
          <w:rFonts w:ascii="ArialMT" w:hAnsi="ArialMT" w:cs="ArialMT"/>
          <w:sz w:val="20"/>
          <w:szCs w:val="20"/>
        </w:rPr>
        <w:t xml:space="preserve">rgano Ejecutivo, </w:t>
      </w:r>
      <w:r>
        <w:rPr>
          <w:rFonts w:ascii="Arial" w:hAnsi="Arial" w:cs="Arial"/>
          <w:sz w:val="20"/>
          <w:szCs w:val="20"/>
        </w:rPr>
        <w:t>en el marco de sus competencias, empleará los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instrumentos de política a </w:t>
      </w:r>
      <w:r>
        <w:rPr>
          <w:rFonts w:ascii="ArialMT" w:hAnsi="ArialMT" w:cs="ArialMT"/>
          <w:sz w:val="20"/>
          <w:szCs w:val="20"/>
        </w:rPr>
        <w:t xml:space="preserve">su </w:t>
      </w:r>
      <w:r>
        <w:rPr>
          <w:rFonts w:ascii="ArialMT" w:hAnsi="ArialMT" w:cs="ArialMT"/>
          <w:sz w:val="20"/>
          <w:szCs w:val="20"/>
        </w:rPr>
        <w:t>disposició</w:t>
      </w:r>
      <w:r>
        <w:rPr>
          <w:rFonts w:ascii="ArialMT" w:hAnsi="ArialMT" w:cs="ArialMT"/>
          <w:sz w:val="20"/>
          <w:szCs w:val="20"/>
        </w:rPr>
        <w:t xml:space="preserve">n para cumplir </w:t>
      </w:r>
      <w:r>
        <w:rPr>
          <w:rFonts w:ascii="ArialMT" w:hAnsi="ArialMT" w:cs="ArialMT"/>
          <w:sz w:val="20"/>
          <w:szCs w:val="20"/>
        </w:rPr>
        <w:t>con el objetivo de ma</w:t>
      </w:r>
      <w:r>
        <w:rPr>
          <w:rFonts w:ascii="ArialMT" w:hAnsi="ArialMT" w:cs="ArialMT"/>
          <w:sz w:val="20"/>
          <w:szCs w:val="20"/>
        </w:rPr>
        <w:t xml:space="preserve">ntener la estabilidad del poder adquisitivo interno de la moneda para contribuir al </w:t>
      </w:r>
      <w:r>
        <w:rPr>
          <w:rFonts w:ascii="ArialMT" w:hAnsi="ArialMT" w:cs="ArialMT"/>
          <w:sz w:val="20"/>
          <w:szCs w:val="20"/>
        </w:rPr>
        <w:t>desarrollo económico y social del E.P. de Bolivia.</w:t>
      </w:r>
      <w:bookmarkStart w:id="0" w:name="_GoBack"/>
      <w:bookmarkEnd w:id="0"/>
    </w:p>
    <w:p w:rsidR="002F10A4" w:rsidRPr="002F10A4" w:rsidRDefault="002F10A4" w:rsidP="002F10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sectPr w:rsidR="002F10A4" w:rsidRPr="002F1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A4"/>
    <w:rsid w:val="002F10A4"/>
    <w:rsid w:val="009B51CC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1599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2019-06-14T19:17:00Z</dcterms:created>
  <dcterms:modified xsi:type="dcterms:W3CDTF">2019-06-14T19:26:00Z</dcterms:modified>
</cp:coreProperties>
</file>