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 contexto inter</w:t>
      </w:r>
      <w:r>
        <w:rPr>
          <w:rFonts w:ascii="ArialMT" w:hAnsi="ArialMT" w:cs="ArialMT"/>
          <w:sz w:val="20"/>
          <w:szCs w:val="20"/>
        </w:rPr>
        <w:t xml:space="preserve">nacional en 2014 estuvo marcado </w:t>
      </w:r>
      <w:r>
        <w:rPr>
          <w:rFonts w:ascii="Arial" w:hAnsi="Arial" w:cs="Arial"/>
          <w:sz w:val="20"/>
          <w:szCs w:val="20"/>
        </w:rPr>
        <w:t>por la desaceleración de varias economías,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principalmente las emergentes y en desarrollo. En lo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que respecta a los paí</w:t>
      </w:r>
      <w:r>
        <w:rPr>
          <w:rFonts w:ascii="ArialMT" w:hAnsi="ArialMT" w:cs="ArialMT"/>
          <w:sz w:val="20"/>
          <w:szCs w:val="20"/>
        </w:rPr>
        <w:t xml:space="preserve">ses avanzados, cabe destacar </w:t>
      </w:r>
      <w:r>
        <w:rPr>
          <w:rFonts w:ascii="Arial" w:hAnsi="Arial" w:cs="Arial"/>
          <w:sz w:val="20"/>
          <w:szCs w:val="20"/>
        </w:rPr>
        <w:t>la recuperación de la economía estadounidense,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espec</w:t>
      </w:r>
      <w:r>
        <w:rPr>
          <w:rFonts w:ascii="Arial" w:hAnsi="Arial" w:cs="Arial"/>
          <w:sz w:val="20"/>
          <w:szCs w:val="20"/>
        </w:rPr>
        <w:t xml:space="preserve">ialmente en el segundo y tercer </w:t>
      </w:r>
      <w:r>
        <w:rPr>
          <w:rFonts w:ascii="Arial" w:hAnsi="Arial" w:cs="Arial"/>
          <w:sz w:val="20"/>
          <w:szCs w:val="20"/>
        </w:rPr>
        <w:t>trimestre del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año, después de registrar una caída a inicios de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gestión;</w:t>
      </w:r>
      <w:r>
        <w:rPr>
          <w:rFonts w:ascii="ArialMT" w:hAnsi="ArialMT" w:cs="ArialMT"/>
          <w:sz w:val="20"/>
          <w:szCs w:val="20"/>
        </w:rPr>
        <w:t xml:space="preserve"> mientras que por otro lado, la Zona Euro </w:t>
      </w:r>
      <w:r>
        <w:rPr>
          <w:rFonts w:ascii="ArialMT" w:hAnsi="ArialMT" w:cs="ArialMT"/>
          <w:sz w:val="20"/>
          <w:szCs w:val="20"/>
        </w:rPr>
        <w:t>registró un débil crecimiento y Japón una contracció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" w:hAnsi="Arial" w:cs="Arial"/>
          <w:sz w:val="20"/>
          <w:szCs w:val="20"/>
        </w:rPr>
        <w:t xml:space="preserve">en la segunda mitad del año. En </w:t>
      </w:r>
      <w:r>
        <w:rPr>
          <w:rFonts w:ascii="Arial" w:hAnsi="Arial" w:cs="Arial"/>
          <w:sz w:val="20"/>
          <w:szCs w:val="20"/>
        </w:rPr>
        <w:t>el caso de las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economías emergentes, tuvo lugar una ralentizació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de</w:t>
      </w:r>
      <w:r>
        <w:rPr>
          <w:rFonts w:ascii="ArialMT" w:hAnsi="ArialMT" w:cs="ArialMT"/>
          <w:sz w:val="20"/>
          <w:szCs w:val="20"/>
        </w:rPr>
        <w:t xml:space="preserve">l crecimiento de Rusia, Brasil, Argentina, junto a </w:t>
      </w:r>
      <w:r>
        <w:rPr>
          <w:rFonts w:ascii="Arial" w:hAnsi="Arial" w:cs="Arial"/>
          <w:sz w:val="20"/>
          <w:szCs w:val="20"/>
        </w:rPr>
        <w:t>otros países con elevada importancia en el comercio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internacional como China. </w:t>
      </w:r>
      <w:r>
        <w:rPr>
          <w:rFonts w:ascii="Arial" w:hAnsi="Arial" w:cs="Arial"/>
          <w:sz w:val="20"/>
          <w:szCs w:val="20"/>
        </w:rPr>
        <w:t>La desaceleración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económica y los menores precios de las materias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primas implic</w:t>
      </w:r>
      <w:r>
        <w:rPr>
          <w:rFonts w:ascii="ArialMT" w:hAnsi="ArialMT" w:cs="ArialMT"/>
          <w:sz w:val="20"/>
          <w:szCs w:val="20"/>
        </w:rPr>
        <w:t xml:space="preserve">aron reducidas presiones inflacionarias </w:t>
      </w:r>
      <w:r>
        <w:rPr>
          <w:rFonts w:ascii="ArialMT" w:hAnsi="ArialMT" w:cs="ArialMT"/>
          <w:sz w:val="20"/>
          <w:szCs w:val="20"/>
        </w:rPr>
        <w:t>a nivel global, des</w:t>
      </w:r>
      <w:r>
        <w:rPr>
          <w:rFonts w:ascii="ArialMT" w:hAnsi="ArialMT" w:cs="ArialMT"/>
          <w:sz w:val="20"/>
          <w:szCs w:val="20"/>
        </w:rPr>
        <w:t xml:space="preserve">tacando el hecho de que la Zona </w:t>
      </w:r>
      <w:r>
        <w:rPr>
          <w:rFonts w:ascii="ArialMT" w:hAnsi="ArialMT" w:cs="ArialMT"/>
          <w:sz w:val="20"/>
          <w:szCs w:val="20"/>
        </w:rPr>
        <w:t>Euro terminó el añ</w:t>
      </w:r>
      <w:r>
        <w:rPr>
          <w:rFonts w:ascii="ArialMT" w:hAnsi="ArialMT" w:cs="ArialMT"/>
          <w:sz w:val="20"/>
          <w:szCs w:val="20"/>
        </w:rPr>
        <w:t xml:space="preserve">o </w:t>
      </w:r>
      <w:r>
        <w:rPr>
          <w:rFonts w:ascii="ArialMT" w:hAnsi="ArialMT" w:cs="ArialMT"/>
          <w:sz w:val="20"/>
          <w:szCs w:val="20"/>
        </w:rPr>
        <w:t>con una inflació</w:t>
      </w:r>
      <w:r>
        <w:rPr>
          <w:rFonts w:ascii="ArialMT" w:hAnsi="ArialMT" w:cs="ArialMT"/>
          <w:sz w:val="20"/>
          <w:szCs w:val="20"/>
        </w:rPr>
        <w:t xml:space="preserve">n negativa, lo que </w:t>
      </w:r>
      <w:r>
        <w:rPr>
          <w:rFonts w:ascii="ArialMT" w:hAnsi="ArialMT" w:cs="ArialMT"/>
          <w:sz w:val="20"/>
          <w:szCs w:val="20"/>
        </w:rPr>
        <w:t>eleva el temor de una deflació</w:t>
      </w:r>
      <w:r>
        <w:rPr>
          <w:rFonts w:ascii="ArialMT" w:hAnsi="ArialMT" w:cs="ArialMT"/>
          <w:sz w:val="20"/>
          <w:szCs w:val="20"/>
        </w:rPr>
        <w:t xml:space="preserve">n persistente en esta </w:t>
      </w:r>
      <w:r>
        <w:rPr>
          <w:rFonts w:ascii="Arial" w:hAnsi="Arial" w:cs="Arial"/>
          <w:sz w:val="20"/>
          <w:szCs w:val="20"/>
        </w:rPr>
        <w:t>región.</w:t>
      </w:r>
    </w:p>
    <w:p w:rsidR="006D07D4" w:rsidRP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lo que se refie</w:t>
      </w:r>
      <w:r>
        <w:rPr>
          <w:rFonts w:ascii="ArialMT" w:hAnsi="ArialMT" w:cs="ArialMT"/>
          <w:sz w:val="20"/>
          <w:szCs w:val="20"/>
        </w:rPr>
        <w:t xml:space="preserve">re a los mercados financieros y </w:t>
      </w:r>
      <w:r>
        <w:rPr>
          <w:rFonts w:ascii="Arial" w:hAnsi="Arial" w:cs="Arial"/>
          <w:sz w:val="20"/>
          <w:szCs w:val="20"/>
        </w:rPr>
        <w:t>cambiarios in</w:t>
      </w:r>
      <w:r>
        <w:rPr>
          <w:rFonts w:ascii="Arial" w:hAnsi="Arial" w:cs="Arial"/>
          <w:sz w:val="20"/>
          <w:szCs w:val="20"/>
        </w:rPr>
        <w:t xml:space="preserve">ternacionales, se evidenció una </w:t>
      </w:r>
      <w:r>
        <w:rPr>
          <w:rFonts w:ascii="Arial" w:hAnsi="Arial" w:cs="Arial"/>
          <w:sz w:val="20"/>
          <w:szCs w:val="20"/>
        </w:rPr>
        <w:t>mayor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volatilidad en la segunda parte del año conforme a las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crecien</w:t>
      </w:r>
      <w:r>
        <w:rPr>
          <w:rFonts w:ascii="Arial" w:hAnsi="Arial" w:cs="Arial"/>
          <w:sz w:val="20"/>
          <w:szCs w:val="20"/>
        </w:rPr>
        <w:t xml:space="preserve">tes tensiones geopolíticas, las </w:t>
      </w:r>
      <w:r>
        <w:rPr>
          <w:rFonts w:ascii="Arial" w:hAnsi="Arial" w:cs="Arial"/>
          <w:sz w:val="20"/>
          <w:szCs w:val="20"/>
        </w:rPr>
        <w:t>preocupaciones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sobre la recuperación económica, la depreciación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la mayoría de las monedas </w:t>
      </w:r>
      <w:r>
        <w:rPr>
          <w:rFonts w:ascii="Arial" w:hAnsi="Arial" w:cs="Arial"/>
          <w:sz w:val="20"/>
          <w:szCs w:val="20"/>
        </w:rPr>
        <w:t>respecto al dólar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estadounidense y la caída del precio de las materias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primas, principalmente del petróleo.</w:t>
      </w:r>
    </w:p>
    <w:p w:rsidR="006D07D4" w:rsidRP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América Latina conti</w:t>
      </w:r>
      <w:r>
        <w:rPr>
          <w:rFonts w:ascii="Arial" w:hAnsi="Arial" w:cs="Arial"/>
          <w:sz w:val="20"/>
          <w:szCs w:val="20"/>
        </w:rPr>
        <w:t xml:space="preserve">nuó desacelerándose debido a la </w:t>
      </w:r>
      <w:r>
        <w:rPr>
          <w:rFonts w:ascii="ArialMT" w:hAnsi="ArialMT" w:cs="ArialMT"/>
          <w:sz w:val="20"/>
          <w:szCs w:val="20"/>
        </w:rPr>
        <w:t>frágil inversió</w:t>
      </w:r>
      <w:r>
        <w:rPr>
          <w:rFonts w:ascii="ArialMT" w:hAnsi="ArialMT" w:cs="ArialMT"/>
          <w:sz w:val="20"/>
          <w:szCs w:val="20"/>
        </w:rPr>
        <w:t xml:space="preserve">n privada y menores </w:t>
      </w:r>
      <w:r>
        <w:rPr>
          <w:rFonts w:ascii="ArialMT" w:hAnsi="ArialMT" w:cs="ArialMT"/>
          <w:sz w:val="20"/>
          <w:szCs w:val="20"/>
        </w:rPr>
        <w:t>exportaciones por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 caída de los prec</w:t>
      </w:r>
      <w:r>
        <w:rPr>
          <w:rFonts w:ascii="Arial" w:hAnsi="Arial" w:cs="Arial"/>
          <w:sz w:val="20"/>
          <w:szCs w:val="20"/>
        </w:rPr>
        <w:t xml:space="preserve">ios de las materias primas. Sin embargo, al interior se mantuvieron las diferencias </w:t>
      </w:r>
      <w:r>
        <w:rPr>
          <w:rFonts w:ascii="ArialMT" w:hAnsi="ArialMT" w:cs="ArialMT"/>
          <w:sz w:val="20"/>
          <w:szCs w:val="20"/>
        </w:rPr>
        <w:t>entre países, entre ellos destaca Bolivia que, de</w:t>
      </w:r>
      <w:r>
        <w:rPr>
          <w:rFonts w:ascii="Arial" w:hAnsi="Arial" w:cs="Arial"/>
          <w:sz w:val="20"/>
          <w:szCs w:val="20"/>
        </w:rPr>
        <w:t xml:space="preserve"> acuerdo a las </w:t>
      </w:r>
      <w:r>
        <w:rPr>
          <w:rFonts w:ascii="Arial" w:hAnsi="Arial" w:cs="Arial"/>
          <w:sz w:val="20"/>
          <w:szCs w:val="20"/>
        </w:rPr>
        <w:t>estima</w:t>
      </w:r>
      <w:r>
        <w:rPr>
          <w:rFonts w:ascii="Arial" w:hAnsi="Arial" w:cs="Arial"/>
          <w:sz w:val="20"/>
          <w:szCs w:val="20"/>
        </w:rPr>
        <w:t xml:space="preserve">ciones, sería uno de los países </w:t>
      </w:r>
      <w:r>
        <w:rPr>
          <w:rFonts w:ascii="ArialMT" w:hAnsi="ArialMT" w:cs="ArialMT"/>
          <w:sz w:val="20"/>
          <w:szCs w:val="20"/>
        </w:rPr>
        <w:t>con mayor crecimiento en 2014.</w:t>
      </w:r>
      <w:r>
        <w:rPr>
          <w:rFonts w:ascii="Arial" w:hAnsi="Arial" w:cs="Arial"/>
          <w:sz w:val="20"/>
          <w:szCs w:val="20"/>
        </w:rPr>
        <w:t xml:space="preserve"> </w:t>
      </w: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efecto, el desempeño económico de Bolivia en </w:t>
      </w:r>
      <w:r>
        <w:rPr>
          <w:rFonts w:ascii="Arial" w:hAnsi="Arial" w:cs="Arial"/>
          <w:sz w:val="20"/>
          <w:szCs w:val="20"/>
        </w:rPr>
        <w:t>este año fue sobresalie</w:t>
      </w:r>
      <w:r>
        <w:rPr>
          <w:rFonts w:ascii="Arial" w:hAnsi="Arial" w:cs="Arial"/>
          <w:sz w:val="20"/>
          <w:szCs w:val="20"/>
        </w:rPr>
        <w:t xml:space="preserve">nte. Al tercer trimestre de </w:t>
      </w:r>
      <w:r>
        <w:rPr>
          <w:rFonts w:ascii="ArialMT" w:hAnsi="ArialMT" w:cs="ArialMT"/>
          <w:sz w:val="20"/>
          <w:szCs w:val="20"/>
        </w:rPr>
        <w:t>2014 el crecimiento acumulado de la actividad real en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Bolivia alcanzó</w:t>
      </w:r>
      <w:r>
        <w:rPr>
          <w:rFonts w:ascii="ArialMT" w:hAnsi="ArialMT" w:cs="ArialMT"/>
          <w:sz w:val="20"/>
          <w:szCs w:val="20"/>
        </w:rPr>
        <w:t xml:space="preserve"> a 5,4%, y se estima que el </w:t>
      </w:r>
      <w:r>
        <w:rPr>
          <w:rFonts w:ascii="ArialMT" w:hAnsi="ArialMT" w:cs="ArialMT"/>
          <w:sz w:val="20"/>
          <w:szCs w:val="20"/>
        </w:rPr>
        <w:t>crecimiento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en el año estará alrededor del 5,5%, tasa acorde con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la meta anunciada en el IPM de </w:t>
      </w:r>
      <w:r>
        <w:rPr>
          <w:rFonts w:ascii="ArialMT" w:hAnsi="ArialMT" w:cs="ArialMT"/>
          <w:sz w:val="20"/>
          <w:szCs w:val="20"/>
        </w:rPr>
        <w:t>enero de 2014 (5,7%)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 la más alta en comp</w:t>
      </w:r>
      <w:r>
        <w:rPr>
          <w:rFonts w:ascii="Arial" w:hAnsi="Arial" w:cs="Arial"/>
          <w:sz w:val="20"/>
          <w:szCs w:val="20"/>
        </w:rPr>
        <w:t xml:space="preserve">aración al crecimiento estimado del resto de los países de Sudamérica. Todas las </w:t>
      </w:r>
      <w:r>
        <w:rPr>
          <w:rFonts w:ascii="Arial" w:hAnsi="Arial" w:cs="Arial"/>
          <w:sz w:val="20"/>
          <w:szCs w:val="20"/>
        </w:rPr>
        <w:t>actividades aport</w:t>
      </w:r>
      <w:r>
        <w:rPr>
          <w:rFonts w:ascii="Arial" w:hAnsi="Arial" w:cs="Arial"/>
          <w:sz w:val="20"/>
          <w:szCs w:val="20"/>
        </w:rPr>
        <w:t xml:space="preserve">aron al crecimiento y, desde la perspectiva del gasto, la demanda interna continuó </w:t>
      </w:r>
      <w:r>
        <w:rPr>
          <w:rFonts w:ascii="Arial" w:hAnsi="Arial" w:cs="Arial"/>
          <w:sz w:val="20"/>
          <w:szCs w:val="20"/>
        </w:rPr>
        <w:t>siendo su princ</w:t>
      </w:r>
      <w:r>
        <w:rPr>
          <w:rFonts w:ascii="Arial" w:hAnsi="Arial" w:cs="Arial"/>
          <w:sz w:val="20"/>
          <w:szCs w:val="20"/>
        </w:rPr>
        <w:t xml:space="preserve">ipal determinante, fundamentada principalmente en la contribución de la Formación </w:t>
      </w:r>
      <w:r>
        <w:rPr>
          <w:rFonts w:ascii="ArialMT" w:hAnsi="ArialMT" w:cs="ArialMT"/>
          <w:sz w:val="20"/>
          <w:szCs w:val="20"/>
        </w:rPr>
        <w:t>Bruta de Capital Fijo.</w:t>
      </w:r>
    </w:p>
    <w:p w:rsidR="006D07D4" w:rsidRP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Asimismo, a pesar d</w:t>
      </w:r>
      <w:r>
        <w:rPr>
          <w:rFonts w:ascii="ArialMT" w:hAnsi="ArialMT" w:cs="ArialMT"/>
          <w:sz w:val="20"/>
          <w:szCs w:val="20"/>
        </w:rPr>
        <w:t xml:space="preserve">el contexto internacional menos </w:t>
      </w:r>
      <w:r>
        <w:rPr>
          <w:rFonts w:ascii="Arial" w:hAnsi="Arial" w:cs="Arial"/>
          <w:sz w:val="20"/>
          <w:szCs w:val="20"/>
        </w:rPr>
        <w:t>favorable, lo</w:t>
      </w:r>
      <w:r>
        <w:rPr>
          <w:rFonts w:ascii="Arial" w:hAnsi="Arial" w:cs="Arial"/>
          <w:sz w:val="20"/>
          <w:szCs w:val="20"/>
        </w:rPr>
        <w:t xml:space="preserve">s resultados de las operaciones </w:t>
      </w:r>
      <w:r>
        <w:rPr>
          <w:rFonts w:ascii="Arial" w:hAnsi="Arial" w:cs="Arial"/>
          <w:sz w:val="20"/>
          <w:szCs w:val="20"/>
        </w:rPr>
        <w:t>con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el exterior en 20</w:t>
      </w:r>
      <w:r>
        <w:rPr>
          <w:rFonts w:ascii="ArialMT" w:hAnsi="ArialMT" w:cs="ArialMT"/>
          <w:sz w:val="20"/>
          <w:szCs w:val="20"/>
        </w:rPr>
        <w:t xml:space="preserve">14 fueron positivos: la balanza </w:t>
      </w:r>
      <w:r>
        <w:rPr>
          <w:rFonts w:ascii="ArialMT" w:hAnsi="ArialMT" w:cs="ArialMT"/>
          <w:sz w:val="20"/>
          <w:szCs w:val="20"/>
        </w:rPr>
        <w:t>comercial registró superávit, la Inversió</w:t>
      </w:r>
      <w:r>
        <w:rPr>
          <w:rFonts w:ascii="ArialMT" w:hAnsi="ArialMT" w:cs="ArialMT"/>
          <w:sz w:val="20"/>
          <w:szCs w:val="20"/>
        </w:rPr>
        <w:t xml:space="preserve">n Extranjera </w:t>
      </w:r>
      <w:r>
        <w:rPr>
          <w:rFonts w:ascii="ArialMT" w:hAnsi="ArialMT" w:cs="ArialMT"/>
          <w:sz w:val="20"/>
          <w:szCs w:val="20"/>
        </w:rPr>
        <w:t>Directa (IED) bruta fu</w:t>
      </w:r>
      <w:r>
        <w:rPr>
          <w:rFonts w:ascii="ArialMT" w:hAnsi="ArialMT" w:cs="ArialMT"/>
          <w:sz w:val="20"/>
          <w:szCs w:val="20"/>
        </w:rPr>
        <w:t xml:space="preserve">e muy importante y las reservas </w:t>
      </w:r>
      <w:r>
        <w:rPr>
          <w:rFonts w:ascii="ArialMT" w:hAnsi="ArialMT" w:cs="ArialMT"/>
          <w:sz w:val="20"/>
          <w:szCs w:val="20"/>
        </w:rPr>
        <w:t>in</w:t>
      </w:r>
      <w:r>
        <w:rPr>
          <w:rFonts w:ascii="ArialMT" w:hAnsi="ArialMT" w:cs="ArialMT"/>
          <w:sz w:val="20"/>
          <w:szCs w:val="20"/>
        </w:rPr>
        <w:t xml:space="preserve">ternacionales netas continuaron creciendo. No </w:t>
      </w:r>
      <w:r>
        <w:rPr>
          <w:rFonts w:ascii="ArialMT" w:hAnsi="ArialMT" w:cs="ArialMT"/>
          <w:sz w:val="20"/>
          <w:szCs w:val="20"/>
        </w:rPr>
        <w:t>obstante, es importante destacar que los superá</w:t>
      </w:r>
      <w:r>
        <w:rPr>
          <w:rFonts w:ascii="ArialMT" w:hAnsi="ArialMT" w:cs="ArialMT"/>
          <w:sz w:val="20"/>
          <w:szCs w:val="20"/>
        </w:rPr>
        <w:t xml:space="preserve">vits en balanza comercial y en cuenta corriente fueron </w:t>
      </w:r>
      <w:r>
        <w:rPr>
          <w:rFonts w:ascii="Arial" w:hAnsi="Arial" w:cs="Arial"/>
          <w:sz w:val="20"/>
          <w:szCs w:val="20"/>
        </w:rPr>
        <w:t>menores a los de gestiones anteriores, consistente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 el deterioro de los </w:t>
      </w:r>
      <w:r>
        <w:rPr>
          <w:rFonts w:ascii="Arial" w:hAnsi="Arial" w:cs="Arial"/>
          <w:sz w:val="20"/>
          <w:szCs w:val="20"/>
        </w:rPr>
        <w:t>términos de intercambio y,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principalmente, con el importante incremento de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la inversió</w:t>
      </w:r>
      <w:r>
        <w:rPr>
          <w:rFonts w:ascii="ArialMT" w:hAnsi="ArialMT" w:cs="ArialMT"/>
          <w:sz w:val="20"/>
          <w:szCs w:val="20"/>
        </w:rPr>
        <w:t xml:space="preserve">n en Bolivia, que se tradujo en mayores </w:t>
      </w:r>
      <w:r>
        <w:rPr>
          <w:rFonts w:ascii="ArialMT" w:hAnsi="ArialMT" w:cs="ArialMT"/>
          <w:sz w:val="20"/>
          <w:szCs w:val="20"/>
        </w:rPr>
        <w:t>volúmenes de import</w:t>
      </w:r>
      <w:r>
        <w:rPr>
          <w:rFonts w:ascii="ArialMT" w:hAnsi="ArialMT" w:cs="ArialMT"/>
          <w:sz w:val="20"/>
          <w:szCs w:val="20"/>
        </w:rPr>
        <w:t xml:space="preserve">aciones de bienes intermedios y </w:t>
      </w:r>
      <w:r>
        <w:rPr>
          <w:rFonts w:ascii="Arial" w:hAnsi="Arial" w:cs="Arial"/>
          <w:sz w:val="20"/>
          <w:szCs w:val="20"/>
        </w:rPr>
        <w:t xml:space="preserve">de capital, </w:t>
      </w:r>
      <w:r>
        <w:rPr>
          <w:rFonts w:ascii="Arial" w:hAnsi="Arial" w:cs="Arial"/>
          <w:sz w:val="20"/>
          <w:szCs w:val="20"/>
        </w:rPr>
        <w:t>principalmente.</w:t>
      </w:r>
      <w:r>
        <w:rPr>
          <w:rFonts w:ascii="ArialMT" w:hAnsi="ArialMT" w:cs="ArialMT"/>
          <w:sz w:val="20"/>
          <w:szCs w:val="20"/>
        </w:rPr>
        <w:t xml:space="preserve"> </w:t>
      </w: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El sistema financiero tuvo </w:t>
      </w:r>
      <w:r>
        <w:rPr>
          <w:rFonts w:ascii="ArialMT" w:hAnsi="ArialMT" w:cs="ArialMT"/>
          <w:sz w:val="20"/>
          <w:szCs w:val="20"/>
        </w:rPr>
        <w:t xml:space="preserve">un comportamiento </w:t>
      </w:r>
      <w:r>
        <w:rPr>
          <w:rFonts w:ascii="Arial" w:hAnsi="Arial" w:cs="Arial"/>
          <w:sz w:val="20"/>
          <w:szCs w:val="20"/>
        </w:rPr>
        <w:t>destacable, el ahorro aumentó en línea con el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incremento del ingreso disponible y el crecimiento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del crédito apoyó al dinamismo de la actividad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económica. La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 continuó</w:t>
      </w:r>
      <w:r>
        <w:rPr>
          <w:rFonts w:ascii="ArialMT" w:hAnsi="ArialMT" w:cs="ArialMT"/>
          <w:sz w:val="20"/>
          <w:szCs w:val="20"/>
        </w:rPr>
        <w:t xml:space="preserve"> avanzando, </w:t>
      </w:r>
      <w:r>
        <w:rPr>
          <w:rFonts w:ascii="Arial" w:hAnsi="Arial" w:cs="Arial"/>
          <w:sz w:val="20"/>
          <w:szCs w:val="20"/>
        </w:rPr>
        <w:t>constituy</w:t>
      </w:r>
      <w:r>
        <w:rPr>
          <w:rFonts w:ascii="Arial" w:hAnsi="Arial" w:cs="Arial"/>
          <w:sz w:val="20"/>
          <w:szCs w:val="20"/>
        </w:rPr>
        <w:t xml:space="preserve">éndose en uno de los logros más </w:t>
      </w:r>
      <w:r>
        <w:rPr>
          <w:rFonts w:ascii="Arial" w:hAnsi="Arial" w:cs="Arial"/>
          <w:sz w:val="20"/>
          <w:szCs w:val="20"/>
        </w:rPr>
        <w:t>relevantes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las políticas económicas de los últimos añ</w:t>
      </w:r>
      <w:r>
        <w:rPr>
          <w:rFonts w:ascii="ArialMT" w:hAnsi="ArialMT" w:cs="ArialMT"/>
          <w:sz w:val="20"/>
          <w:szCs w:val="20"/>
        </w:rPr>
        <w:t xml:space="preserve">os. El </w:t>
      </w:r>
      <w:r>
        <w:rPr>
          <w:rFonts w:ascii="Arial" w:hAnsi="Arial" w:cs="Arial"/>
          <w:sz w:val="20"/>
          <w:szCs w:val="20"/>
        </w:rPr>
        <w:t>crecim</w:t>
      </w:r>
      <w:r>
        <w:rPr>
          <w:rFonts w:ascii="Arial" w:hAnsi="Arial" w:cs="Arial"/>
          <w:sz w:val="20"/>
          <w:szCs w:val="20"/>
        </w:rPr>
        <w:t xml:space="preserve">iento del dinero fue controlado </w:t>
      </w:r>
      <w:r>
        <w:rPr>
          <w:rFonts w:ascii="Arial" w:hAnsi="Arial" w:cs="Arial"/>
          <w:sz w:val="20"/>
          <w:szCs w:val="20"/>
        </w:rPr>
        <w:t>cuidadosamente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 fin de evitar desequilibrios que generen presiones</w:t>
      </w:r>
      <w:r>
        <w:rPr>
          <w:rFonts w:ascii="ArialMT" w:hAnsi="ArialMT" w:cs="ArialMT"/>
          <w:sz w:val="20"/>
          <w:szCs w:val="20"/>
        </w:rPr>
        <w:t xml:space="preserve"> inflacionarias y, al mismo tiempo, no se afecte al </w:t>
      </w:r>
      <w:r>
        <w:rPr>
          <w:rFonts w:ascii="Arial" w:hAnsi="Arial" w:cs="Arial"/>
          <w:sz w:val="20"/>
          <w:szCs w:val="20"/>
        </w:rPr>
        <w:t>dinamismo de la actividad económica.</w:t>
      </w:r>
      <w:r>
        <w:rPr>
          <w:rFonts w:ascii="ArialMT" w:hAnsi="ArialMT" w:cs="ArialMT"/>
          <w:sz w:val="20"/>
          <w:szCs w:val="20"/>
        </w:rPr>
        <w:t xml:space="preserve"> </w:t>
      </w: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D07D4" w:rsidRP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este contexto, dura</w:t>
      </w:r>
      <w:r>
        <w:rPr>
          <w:rFonts w:ascii="ArialMT" w:hAnsi="ArialMT" w:cs="ArialMT"/>
          <w:sz w:val="20"/>
          <w:szCs w:val="20"/>
        </w:rPr>
        <w:t xml:space="preserve">nte los primeros meses de 2014, </w:t>
      </w:r>
      <w:r>
        <w:rPr>
          <w:rFonts w:ascii="ArialMT" w:hAnsi="ArialMT" w:cs="ArialMT"/>
          <w:sz w:val="20"/>
          <w:szCs w:val="20"/>
        </w:rPr>
        <w:t>la inflació</w:t>
      </w:r>
      <w:r>
        <w:rPr>
          <w:rFonts w:ascii="ArialMT" w:hAnsi="ArialMT" w:cs="ArialMT"/>
          <w:sz w:val="20"/>
          <w:szCs w:val="20"/>
        </w:rPr>
        <w:t xml:space="preserve">n en Bolivia mantuvo un comportamiento </w:t>
      </w:r>
      <w:r>
        <w:rPr>
          <w:rFonts w:ascii="ArialMT" w:hAnsi="ArialMT" w:cs="ArialMT"/>
          <w:sz w:val="20"/>
          <w:szCs w:val="20"/>
        </w:rPr>
        <w:t xml:space="preserve">estable. Posteriormente, </w:t>
      </w:r>
      <w:r>
        <w:rPr>
          <w:rFonts w:ascii="ArialMT" w:hAnsi="ArialMT" w:cs="ArialMT"/>
          <w:sz w:val="20"/>
          <w:szCs w:val="20"/>
        </w:rPr>
        <w:t xml:space="preserve">en junio y julio se advirtieron </w:t>
      </w:r>
      <w:r>
        <w:rPr>
          <w:rFonts w:ascii="Arial" w:hAnsi="Arial" w:cs="Arial"/>
          <w:sz w:val="20"/>
          <w:szCs w:val="20"/>
        </w:rPr>
        <w:t xml:space="preserve">repuntes transitorios debido </w:t>
      </w:r>
      <w:r>
        <w:rPr>
          <w:rFonts w:ascii="Arial" w:hAnsi="Arial" w:cs="Arial"/>
          <w:sz w:val="20"/>
          <w:szCs w:val="20"/>
        </w:rPr>
        <w:t>al incremento de los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precios de algunos alimentos a causa de choques </w:t>
      </w:r>
      <w:r>
        <w:rPr>
          <w:rFonts w:ascii="ArialMT" w:hAnsi="ArialMT" w:cs="ArialMT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 xml:space="preserve">oferta (fenómenos </w:t>
      </w:r>
      <w:r>
        <w:rPr>
          <w:rFonts w:ascii="Arial" w:hAnsi="Arial" w:cs="Arial"/>
          <w:sz w:val="20"/>
          <w:szCs w:val="20"/>
        </w:rPr>
        <w:t>climáticos adversos y actividades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especulativas). Entre</w:t>
      </w:r>
      <w:r>
        <w:rPr>
          <w:rFonts w:ascii="ArialMT" w:hAnsi="ArialMT" w:cs="ArialMT"/>
          <w:sz w:val="20"/>
          <w:szCs w:val="20"/>
        </w:rPr>
        <w:t xml:space="preserve"> agosto y octubre estos precios se </w:t>
      </w:r>
      <w:r>
        <w:rPr>
          <w:rFonts w:ascii="ArialMT" w:hAnsi="ArialMT" w:cs="ArialMT"/>
          <w:sz w:val="20"/>
          <w:szCs w:val="20"/>
        </w:rPr>
        <w:t>corrigieron, lle</w:t>
      </w:r>
      <w:r>
        <w:rPr>
          <w:rFonts w:ascii="ArialMT" w:hAnsi="ArialMT" w:cs="ArialMT"/>
          <w:sz w:val="20"/>
          <w:szCs w:val="20"/>
        </w:rPr>
        <w:t xml:space="preserve">gando a registrarse inflaciones </w:t>
      </w:r>
      <w:r>
        <w:rPr>
          <w:rFonts w:ascii="ArialMT" w:hAnsi="ArialMT" w:cs="ArialMT"/>
          <w:sz w:val="20"/>
          <w:szCs w:val="20"/>
        </w:rPr>
        <w:t>mensuales muy b</w:t>
      </w:r>
      <w:r>
        <w:rPr>
          <w:rFonts w:ascii="ArialMT" w:hAnsi="ArialMT" w:cs="ArialMT"/>
          <w:sz w:val="20"/>
          <w:szCs w:val="20"/>
        </w:rPr>
        <w:t xml:space="preserve">ajas e incluso una de ellas fue </w:t>
      </w:r>
      <w:r>
        <w:rPr>
          <w:rFonts w:ascii="ArialMT" w:hAnsi="ArialMT" w:cs="ArialMT"/>
          <w:sz w:val="20"/>
          <w:szCs w:val="20"/>
        </w:rPr>
        <w:t>negativa. Finalmente, en el último bimestre del añ</w:t>
      </w:r>
      <w:r>
        <w:rPr>
          <w:rFonts w:ascii="ArialMT" w:hAnsi="ArialMT" w:cs="ArialMT"/>
          <w:sz w:val="20"/>
          <w:szCs w:val="20"/>
        </w:rPr>
        <w:t xml:space="preserve">o, se </w:t>
      </w:r>
      <w:r>
        <w:rPr>
          <w:rFonts w:ascii="Arial" w:hAnsi="Arial" w:cs="Arial"/>
          <w:sz w:val="20"/>
          <w:szCs w:val="20"/>
        </w:rPr>
        <w:t>obs</w:t>
      </w:r>
      <w:r>
        <w:rPr>
          <w:rFonts w:ascii="Arial" w:hAnsi="Arial" w:cs="Arial"/>
          <w:sz w:val="20"/>
          <w:szCs w:val="20"/>
        </w:rPr>
        <w:t xml:space="preserve">ervaron nuevos incrementos como </w:t>
      </w:r>
      <w:r>
        <w:rPr>
          <w:rFonts w:ascii="Arial" w:hAnsi="Arial" w:cs="Arial"/>
          <w:sz w:val="20"/>
          <w:szCs w:val="20"/>
        </w:rPr>
        <w:t>consecuencia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condiciones climá</w:t>
      </w:r>
      <w:r>
        <w:rPr>
          <w:rFonts w:ascii="ArialMT" w:hAnsi="ArialMT" w:cs="ArialMT"/>
          <w:sz w:val="20"/>
          <w:szCs w:val="20"/>
        </w:rPr>
        <w:t xml:space="preserve">ticas desfavorables que </w:t>
      </w:r>
      <w:r>
        <w:rPr>
          <w:rFonts w:ascii="Arial" w:hAnsi="Arial" w:cs="Arial"/>
          <w:sz w:val="20"/>
          <w:szCs w:val="20"/>
        </w:rPr>
        <w:t xml:space="preserve">repercutieron en el precio </w:t>
      </w:r>
      <w:r>
        <w:rPr>
          <w:rFonts w:ascii="Arial" w:hAnsi="Arial" w:cs="Arial"/>
          <w:sz w:val="20"/>
          <w:szCs w:val="20"/>
        </w:rPr>
        <w:t>principalmente del tomate.</w:t>
      </w: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Es de destacar que, a pesar de una mayor volatilidad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por los choques señ</w:t>
      </w:r>
      <w:r>
        <w:rPr>
          <w:rFonts w:ascii="ArialMT" w:hAnsi="ArialMT" w:cs="ArialMT"/>
          <w:sz w:val="20"/>
          <w:szCs w:val="20"/>
        </w:rPr>
        <w:t xml:space="preserve">alados, la trayectoria de la </w:t>
      </w:r>
      <w:r>
        <w:rPr>
          <w:rFonts w:ascii="ArialMT" w:hAnsi="ArialMT" w:cs="ArialMT"/>
          <w:sz w:val="20"/>
          <w:szCs w:val="20"/>
        </w:rPr>
        <w:t>inflación se mantuvo en lí</w:t>
      </w:r>
      <w:r>
        <w:rPr>
          <w:rFonts w:ascii="ArialMT" w:hAnsi="ArialMT" w:cs="ArialMT"/>
          <w:sz w:val="20"/>
          <w:szCs w:val="20"/>
        </w:rPr>
        <w:t xml:space="preserve">nea con las proyecciones </w:t>
      </w:r>
      <w:r>
        <w:rPr>
          <w:rFonts w:ascii="ArialMT" w:hAnsi="ArialMT" w:cs="ArialMT"/>
          <w:sz w:val="20"/>
          <w:szCs w:val="20"/>
        </w:rPr>
        <w:t>anunciadas</w:t>
      </w:r>
      <w:r>
        <w:rPr>
          <w:rFonts w:ascii="ArialMT" w:hAnsi="ArialMT" w:cs="ArialMT"/>
          <w:sz w:val="20"/>
          <w:szCs w:val="20"/>
        </w:rPr>
        <w:t xml:space="preserve"> en el IPM de enero de 2014. Al cierre de </w:t>
      </w:r>
      <w:r>
        <w:rPr>
          <w:rFonts w:ascii="ArialMT" w:hAnsi="ArialMT" w:cs="ArialMT"/>
          <w:sz w:val="20"/>
          <w:szCs w:val="20"/>
        </w:rPr>
        <w:t>gestión la tasa de variación de precios (5,2%) se situó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</w:t>
      </w:r>
      <w:r>
        <w:rPr>
          <w:rFonts w:ascii="ArialMT" w:hAnsi="ArialMT" w:cs="ArialMT"/>
          <w:sz w:val="20"/>
          <w:szCs w:val="20"/>
        </w:rPr>
        <w:t xml:space="preserve">ntro del rango anunciado (entre 4,6% y 7%) y en </w:t>
      </w:r>
      <w:r>
        <w:rPr>
          <w:rFonts w:ascii="ArialMT" w:hAnsi="ArialMT" w:cs="ArialMT"/>
          <w:sz w:val="20"/>
          <w:szCs w:val="20"/>
        </w:rPr>
        <w:t>un nivel por debajo del objetivo señalado en dicho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Informe (5,5%).</w:t>
      </w: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Los indicadores de ten</w:t>
      </w:r>
      <w:r>
        <w:rPr>
          <w:rFonts w:ascii="ArialMT" w:hAnsi="ArialMT" w:cs="ArialMT"/>
          <w:sz w:val="20"/>
          <w:szCs w:val="20"/>
        </w:rPr>
        <w:t xml:space="preserve">dencia inflacionaria reflejaron </w:t>
      </w:r>
      <w:r>
        <w:rPr>
          <w:rFonts w:ascii="Arial" w:hAnsi="Arial" w:cs="Arial"/>
          <w:sz w:val="20"/>
          <w:szCs w:val="20"/>
        </w:rPr>
        <w:t>una evo</w:t>
      </w:r>
      <w:r>
        <w:rPr>
          <w:rFonts w:ascii="Arial" w:hAnsi="Arial" w:cs="Arial"/>
          <w:sz w:val="20"/>
          <w:szCs w:val="20"/>
        </w:rPr>
        <w:t xml:space="preserve">lución estable, con variaciones </w:t>
      </w:r>
      <w:r>
        <w:rPr>
          <w:rFonts w:ascii="Arial" w:hAnsi="Arial" w:cs="Arial"/>
          <w:sz w:val="20"/>
          <w:szCs w:val="20"/>
        </w:rPr>
        <w:t>interanuales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en torno a 4%. Este comportamiento señ</w:t>
      </w:r>
      <w:r>
        <w:rPr>
          <w:rFonts w:ascii="ArialMT" w:hAnsi="ArialMT" w:cs="ArialMT"/>
          <w:sz w:val="20"/>
          <w:szCs w:val="20"/>
        </w:rPr>
        <w:t xml:space="preserve">ala que </w:t>
      </w:r>
      <w:r>
        <w:rPr>
          <w:rFonts w:ascii="ArialMT" w:hAnsi="ArialMT" w:cs="ArialMT"/>
          <w:sz w:val="20"/>
          <w:szCs w:val="20"/>
        </w:rPr>
        <w:t>no exis</w:t>
      </w:r>
      <w:r>
        <w:rPr>
          <w:rFonts w:ascii="ArialMT" w:hAnsi="ArialMT" w:cs="ArialMT"/>
          <w:sz w:val="20"/>
          <w:szCs w:val="20"/>
        </w:rPr>
        <w:t xml:space="preserve">tieron presiones significativas sobre el </w:t>
      </w:r>
      <w:r>
        <w:rPr>
          <w:rFonts w:ascii="ArialMT" w:hAnsi="ArialMT" w:cs="ArialMT"/>
          <w:sz w:val="20"/>
          <w:szCs w:val="20"/>
        </w:rPr>
        <w:t>componente de largo plazo de la inflació</w:t>
      </w:r>
      <w:r>
        <w:rPr>
          <w:rFonts w:ascii="ArialMT" w:hAnsi="ArialMT" w:cs="ArialMT"/>
          <w:sz w:val="20"/>
          <w:szCs w:val="20"/>
        </w:rPr>
        <w:t xml:space="preserve">n y que los </w:t>
      </w:r>
      <w:r>
        <w:rPr>
          <w:rFonts w:ascii="ArialMT" w:hAnsi="ArialMT" w:cs="ArialMT"/>
          <w:sz w:val="20"/>
          <w:szCs w:val="20"/>
        </w:rPr>
        <w:t>incrementos de la inflació</w:t>
      </w:r>
      <w:r>
        <w:rPr>
          <w:rFonts w:ascii="ArialMT" w:hAnsi="ArialMT" w:cs="ArialMT"/>
          <w:sz w:val="20"/>
          <w:szCs w:val="20"/>
        </w:rPr>
        <w:t xml:space="preserve">n mensual a mediados y </w:t>
      </w:r>
      <w:r>
        <w:rPr>
          <w:rFonts w:ascii="ArialMT" w:hAnsi="ArialMT" w:cs="ArialMT"/>
          <w:sz w:val="20"/>
          <w:szCs w:val="20"/>
        </w:rPr>
        <w:t>finales de año se expl</w:t>
      </w:r>
      <w:r>
        <w:rPr>
          <w:rFonts w:ascii="ArialMT" w:hAnsi="ArialMT" w:cs="ArialMT"/>
          <w:sz w:val="20"/>
          <w:szCs w:val="20"/>
        </w:rPr>
        <w:t xml:space="preserve">icaron por choques transitorios </w:t>
      </w:r>
      <w:r>
        <w:rPr>
          <w:rFonts w:ascii="Arial" w:hAnsi="Arial" w:cs="Arial"/>
          <w:sz w:val="20"/>
          <w:szCs w:val="20"/>
        </w:rPr>
        <w:t>de oferta.</w:t>
      </w:r>
    </w:p>
    <w:p w:rsidR="006D07D4" w:rsidRP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sentido, fuero</w:t>
      </w:r>
      <w:r>
        <w:rPr>
          <w:rFonts w:ascii="Arial" w:hAnsi="Arial" w:cs="Arial"/>
          <w:sz w:val="20"/>
          <w:szCs w:val="20"/>
        </w:rPr>
        <w:t xml:space="preserve">n determinantes las políticas y </w:t>
      </w:r>
      <w:r>
        <w:rPr>
          <w:rFonts w:ascii="ArialMT" w:hAnsi="ArialMT" w:cs="ArialMT"/>
          <w:sz w:val="20"/>
          <w:szCs w:val="20"/>
        </w:rPr>
        <w:t>medidas que implementó el Ó</w:t>
      </w:r>
      <w:r>
        <w:rPr>
          <w:rFonts w:ascii="ArialMT" w:hAnsi="ArialMT" w:cs="ArialMT"/>
          <w:sz w:val="20"/>
          <w:szCs w:val="20"/>
        </w:rPr>
        <w:t xml:space="preserve">rgano Ejecutivo </w:t>
      </w:r>
      <w:r>
        <w:rPr>
          <w:rFonts w:ascii="ArialMT" w:hAnsi="ArialMT" w:cs="ArialMT"/>
          <w:sz w:val="20"/>
          <w:szCs w:val="20"/>
        </w:rPr>
        <w:t>para el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abastecimiento de produc</w:t>
      </w:r>
      <w:r>
        <w:rPr>
          <w:rFonts w:ascii="Arial" w:hAnsi="Arial" w:cs="Arial"/>
          <w:sz w:val="20"/>
          <w:szCs w:val="20"/>
        </w:rPr>
        <w:t xml:space="preserve">tos afectados por factores </w:t>
      </w:r>
      <w:r>
        <w:rPr>
          <w:rFonts w:ascii="Arial" w:hAnsi="Arial" w:cs="Arial"/>
          <w:sz w:val="20"/>
          <w:szCs w:val="20"/>
        </w:rPr>
        <w:t>climat</w:t>
      </w:r>
      <w:r>
        <w:rPr>
          <w:rFonts w:ascii="Arial" w:hAnsi="Arial" w:cs="Arial"/>
          <w:sz w:val="20"/>
          <w:szCs w:val="20"/>
        </w:rPr>
        <w:t xml:space="preserve">ológicos adversos y actividades especulativas. </w:t>
      </w:r>
      <w:r>
        <w:rPr>
          <w:rFonts w:ascii="ArialMT" w:hAnsi="ArialMT" w:cs="ArialMT"/>
          <w:sz w:val="20"/>
          <w:szCs w:val="20"/>
        </w:rPr>
        <w:t>En tanto que, la regulación de la liquidez por parte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del BCB permitió</w:t>
      </w:r>
      <w:r>
        <w:rPr>
          <w:rFonts w:ascii="ArialMT" w:hAnsi="ArialMT" w:cs="ArialMT"/>
          <w:sz w:val="20"/>
          <w:szCs w:val="20"/>
        </w:rPr>
        <w:t xml:space="preserve"> evitar que se </w:t>
      </w:r>
      <w:r>
        <w:rPr>
          <w:rFonts w:ascii="ArialMT" w:hAnsi="ArialMT" w:cs="ArialMT"/>
          <w:sz w:val="20"/>
          <w:szCs w:val="20"/>
        </w:rPr>
        <w:t>generalicen dichos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fenómenos</w:t>
      </w:r>
      <w:r>
        <w:rPr>
          <w:rFonts w:ascii="Arial" w:hAnsi="Arial" w:cs="Arial"/>
          <w:sz w:val="20"/>
          <w:szCs w:val="20"/>
        </w:rPr>
        <w:t xml:space="preserve"> por efectos de segunda vuelta. </w:t>
      </w: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efecto, en la gestión, se </w:t>
      </w:r>
      <w:r>
        <w:rPr>
          <w:rFonts w:ascii="Arial" w:hAnsi="Arial" w:cs="Arial"/>
          <w:sz w:val="20"/>
          <w:szCs w:val="20"/>
        </w:rPr>
        <w:t>reg</w:t>
      </w:r>
      <w:r>
        <w:rPr>
          <w:rFonts w:ascii="Arial" w:hAnsi="Arial" w:cs="Arial"/>
          <w:sz w:val="20"/>
          <w:szCs w:val="20"/>
        </w:rPr>
        <w:t xml:space="preserve">istraron márgenes </w:t>
      </w:r>
      <w:r>
        <w:rPr>
          <w:rFonts w:ascii="Arial" w:hAnsi="Arial" w:cs="Arial"/>
          <w:sz w:val="20"/>
          <w:szCs w:val="20"/>
        </w:rPr>
        <w:t>en todas las me</w:t>
      </w:r>
      <w:r>
        <w:rPr>
          <w:rFonts w:ascii="Arial" w:hAnsi="Arial" w:cs="Arial"/>
          <w:sz w:val="20"/>
          <w:szCs w:val="20"/>
        </w:rPr>
        <w:t xml:space="preserve">tas acordadas en la Decisión de </w:t>
      </w:r>
      <w:r>
        <w:rPr>
          <w:rFonts w:ascii="ArialMT" w:hAnsi="ArialMT" w:cs="ArialMT"/>
          <w:sz w:val="20"/>
          <w:szCs w:val="20"/>
        </w:rPr>
        <w:t>Ejecució</w:t>
      </w:r>
      <w:r>
        <w:rPr>
          <w:rFonts w:ascii="ArialMT" w:hAnsi="ArialMT" w:cs="ArialMT"/>
          <w:sz w:val="20"/>
          <w:szCs w:val="20"/>
        </w:rPr>
        <w:t xml:space="preserve">n del Programa </w:t>
      </w:r>
      <w:r>
        <w:rPr>
          <w:rFonts w:ascii="ArialMT" w:hAnsi="ArialMT" w:cs="ArialMT"/>
          <w:sz w:val="20"/>
          <w:szCs w:val="20"/>
        </w:rPr>
        <w:t>Fiscal – Financiero 2014, las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cuales fueron ajustadas debido a un mayor gasto de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capital en el SPNF. En este sentido, destaca el fuerte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dinamismo de estos gastos y la </w:t>
      </w:r>
      <w:r>
        <w:rPr>
          <w:rFonts w:ascii="ArialMT" w:hAnsi="ArialMT" w:cs="ArialMT"/>
          <w:sz w:val="20"/>
          <w:szCs w:val="20"/>
        </w:rPr>
        <w:t>previsión realizada por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las autoridades al mo</w:t>
      </w:r>
      <w:r>
        <w:rPr>
          <w:rFonts w:ascii="Arial" w:hAnsi="Arial" w:cs="Arial"/>
          <w:sz w:val="20"/>
          <w:szCs w:val="20"/>
        </w:rPr>
        <w:t xml:space="preserve">mento de establecer las metas a </w:t>
      </w:r>
      <w:r>
        <w:rPr>
          <w:rFonts w:ascii="ArialMT" w:hAnsi="ArialMT" w:cs="ArialMT"/>
          <w:sz w:val="20"/>
          <w:szCs w:val="20"/>
        </w:rPr>
        <w:t>fin de que é</w:t>
      </w:r>
      <w:r>
        <w:rPr>
          <w:rFonts w:ascii="ArialMT" w:hAnsi="ArialMT" w:cs="ArialMT"/>
          <w:sz w:val="20"/>
          <w:szCs w:val="20"/>
        </w:rPr>
        <w:t xml:space="preserve">stas no </w:t>
      </w:r>
      <w:r>
        <w:rPr>
          <w:rFonts w:ascii="ArialMT" w:hAnsi="ArialMT" w:cs="ArialMT"/>
          <w:sz w:val="20"/>
          <w:szCs w:val="20"/>
        </w:rPr>
        <w:t>limiten la inversión pública.</w:t>
      </w:r>
      <w:r>
        <w:rPr>
          <w:rFonts w:ascii="Arial" w:hAnsi="Arial" w:cs="Arial"/>
          <w:sz w:val="20"/>
          <w:szCs w:val="20"/>
        </w:rPr>
        <w:t xml:space="preserve"> </w:t>
      </w: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política moneta</w:t>
      </w:r>
      <w:r>
        <w:rPr>
          <w:rFonts w:ascii="Arial" w:hAnsi="Arial" w:cs="Arial"/>
          <w:sz w:val="20"/>
          <w:szCs w:val="20"/>
        </w:rPr>
        <w:t xml:space="preserve">ria en los primeros siete meses </w:t>
      </w:r>
      <w:r>
        <w:rPr>
          <w:rFonts w:ascii="ArialMT" w:hAnsi="ArialMT" w:cs="ArialMT"/>
          <w:sz w:val="20"/>
          <w:szCs w:val="20"/>
        </w:rPr>
        <w:t xml:space="preserve">de 2014 mantuvo </w:t>
      </w:r>
      <w:r>
        <w:rPr>
          <w:rFonts w:ascii="ArialMT" w:hAnsi="ArialMT" w:cs="ArialMT"/>
          <w:sz w:val="20"/>
          <w:szCs w:val="20"/>
        </w:rPr>
        <w:t>una orientación contractiva que se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aplicó gradualmente desde fines de 2012 para prevenir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efectos </w:t>
      </w:r>
      <w:r>
        <w:rPr>
          <w:rFonts w:ascii="ArialMT" w:hAnsi="ArialMT" w:cs="ArialMT"/>
          <w:sz w:val="20"/>
          <w:szCs w:val="20"/>
        </w:rPr>
        <w:t>in</w:t>
      </w:r>
      <w:r>
        <w:rPr>
          <w:rFonts w:ascii="ArialMT" w:hAnsi="ArialMT" w:cs="ArialMT"/>
          <w:sz w:val="20"/>
          <w:szCs w:val="20"/>
        </w:rPr>
        <w:t xml:space="preserve">flacionarios de segunda vuelta. </w:t>
      </w:r>
      <w:r>
        <w:rPr>
          <w:rFonts w:ascii="ArialMT" w:hAnsi="ArialMT" w:cs="ArialMT"/>
          <w:sz w:val="20"/>
          <w:szCs w:val="20"/>
        </w:rPr>
        <w:t>Entre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agosto y octubre, hubo una reorientación progresiva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en direcció</w:t>
      </w:r>
      <w:r>
        <w:rPr>
          <w:rFonts w:ascii="ArialMT" w:hAnsi="ArialMT" w:cs="ArialMT"/>
          <w:sz w:val="20"/>
          <w:szCs w:val="20"/>
        </w:rPr>
        <w:t xml:space="preserve">n expansiva aprovechando las menores </w:t>
      </w:r>
      <w:r>
        <w:rPr>
          <w:rFonts w:ascii="ArialMT" w:hAnsi="ArialMT" w:cs="ArialMT"/>
          <w:sz w:val="20"/>
          <w:szCs w:val="20"/>
        </w:rPr>
        <w:t xml:space="preserve">tasas de inflación </w:t>
      </w:r>
      <w:r>
        <w:rPr>
          <w:rFonts w:ascii="ArialMT" w:hAnsi="ArialMT" w:cs="ArialMT"/>
          <w:sz w:val="20"/>
          <w:szCs w:val="20"/>
        </w:rPr>
        <w:t xml:space="preserve">mensual para corregir las tasas </w:t>
      </w:r>
      <w:r>
        <w:rPr>
          <w:rFonts w:ascii="ArialMT" w:hAnsi="ArialMT" w:cs="ArialMT"/>
          <w:sz w:val="20"/>
          <w:szCs w:val="20"/>
        </w:rPr>
        <w:t>de interé</w:t>
      </w:r>
      <w:r>
        <w:rPr>
          <w:rFonts w:ascii="ArialMT" w:hAnsi="ArialMT" w:cs="ArialMT"/>
          <w:sz w:val="20"/>
          <w:szCs w:val="20"/>
        </w:rPr>
        <w:t xml:space="preserve">s hacia la </w:t>
      </w:r>
      <w:r>
        <w:rPr>
          <w:rFonts w:ascii="ArialMT" w:hAnsi="ArialMT" w:cs="ArialMT"/>
          <w:sz w:val="20"/>
          <w:szCs w:val="20"/>
        </w:rPr>
        <w:t>baja. En los ú</w:t>
      </w:r>
      <w:r>
        <w:rPr>
          <w:rFonts w:ascii="ArialMT" w:hAnsi="ArialMT" w:cs="ArialMT"/>
          <w:sz w:val="20"/>
          <w:szCs w:val="20"/>
        </w:rPr>
        <w:t xml:space="preserve">ltimos dos meses </w:t>
      </w:r>
      <w:r>
        <w:rPr>
          <w:rFonts w:ascii="ArialMT" w:hAnsi="ArialMT" w:cs="ArialMT"/>
          <w:sz w:val="20"/>
          <w:szCs w:val="20"/>
        </w:rPr>
        <w:t>del año, previniendo</w:t>
      </w:r>
      <w:r>
        <w:rPr>
          <w:rFonts w:ascii="ArialMT" w:hAnsi="ArialMT" w:cs="ArialMT"/>
          <w:sz w:val="20"/>
          <w:szCs w:val="20"/>
        </w:rPr>
        <w:t xml:space="preserve"> expansiones estacionales de la liquidez que </w:t>
      </w:r>
      <w:r>
        <w:rPr>
          <w:rFonts w:ascii="ArialMT" w:hAnsi="ArialMT" w:cs="ArialMT"/>
          <w:sz w:val="20"/>
          <w:szCs w:val="20"/>
        </w:rPr>
        <w:t>podrían g</w:t>
      </w:r>
      <w:r>
        <w:rPr>
          <w:rFonts w:ascii="ArialMT" w:hAnsi="ArialMT" w:cs="ArialMT"/>
          <w:sz w:val="20"/>
          <w:szCs w:val="20"/>
        </w:rPr>
        <w:t xml:space="preserve">enerar presiones inflacionarias </w:t>
      </w:r>
      <w:r>
        <w:rPr>
          <w:rFonts w:ascii="ArialMT" w:hAnsi="ArialMT" w:cs="ArialMT"/>
          <w:sz w:val="20"/>
          <w:szCs w:val="20"/>
        </w:rPr>
        <w:t>se realizó una nueva colocació</w:t>
      </w:r>
      <w:r>
        <w:rPr>
          <w:rFonts w:ascii="ArialMT" w:hAnsi="ArialMT" w:cs="ArialMT"/>
          <w:sz w:val="20"/>
          <w:szCs w:val="20"/>
        </w:rPr>
        <w:t xml:space="preserve">n de Certificados de </w:t>
      </w:r>
      <w:r>
        <w:rPr>
          <w:rFonts w:ascii="ArialMT" w:hAnsi="ArialMT" w:cs="ArialMT"/>
          <w:sz w:val="20"/>
          <w:szCs w:val="20"/>
        </w:rPr>
        <w:t>Depósitos y en las últimas semanas se incrementó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sustancialmente la oferta de tí</w:t>
      </w:r>
      <w:r>
        <w:rPr>
          <w:rFonts w:ascii="Arial" w:hAnsi="Arial" w:cs="Arial"/>
          <w:sz w:val="20"/>
          <w:szCs w:val="20"/>
        </w:rPr>
        <w:t xml:space="preserve">tulos de </w:t>
      </w:r>
      <w:r>
        <w:rPr>
          <w:rFonts w:ascii="Arial" w:hAnsi="Arial" w:cs="Arial"/>
          <w:sz w:val="20"/>
          <w:szCs w:val="20"/>
        </w:rPr>
        <w:t>regulación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monetaria. Esta política se implementó manteniendo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bajas las tasas de interé</w:t>
      </w:r>
      <w:r>
        <w:rPr>
          <w:rFonts w:ascii="ArialMT" w:hAnsi="ArialMT" w:cs="ArialMT"/>
          <w:sz w:val="20"/>
          <w:szCs w:val="20"/>
        </w:rPr>
        <w:t xml:space="preserve">s la mayor </w:t>
      </w:r>
      <w:r>
        <w:rPr>
          <w:rFonts w:ascii="ArialMT" w:hAnsi="ArialMT" w:cs="ArialMT"/>
          <w:sz w:val="20"/>
          <w:szCs w:val="20"/>
        </w:rPr>
        <w:t>parte del añ</w:t>
      </w:r>
      <w:r>
        <w:rPr>
          <w:rFonts w:ascii="ArialMT" w:hAnsi="ArialMT" w:cs="ArialMT"/>
          <w:sz w:val="20"/>
          <w:szCs w:val="20"/>
        </w:rPr>
        <w:t xml:space="preserve">o </w:t>
      </w:r>
      <w:r>
        <w:rPr>
          <w:rFonts w:ascii="ArialMT" w:hAnsi="ArialMT" w:cs="ArialMT"/>
          <w:sz w:val="20"/>
          <w:szCs w:val="20"/>
        </w:rPr>
        <w:t>con el fin de sosten</w:t>
      </w:r>
      <w:r>
        <w:rPr>
          <w:rFonts w:ascii="ArialMT" w:hAnsi="ArialMT" w:cs="ArialMT"/>
          <w:sz w:val="20"/>
          <w:szCs w:val="20"/>
        </w:rPr>
        <w:t xml:space="preserve">er el dinamismo de la actividad </w:t>
      </w:r>
      <w:r>
        <w:rPr>
          <w:rFonts w:ascii="Arial" w:hAnsi="Arial" w:cs="Arial"/>
          <w:sz w:val="20"/>
          <w:szCs w:val="20"/>
        </w:rPr>
        <w:t>económica.</w:t>
      </w:r>
    </w:p>
    <w:p w:rsidR="006D07D4" w:rsidRP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 esta forma, el obje</w:t>
      </w:r>
      <w:r>
        <w:rPr>
          <w:rFonts w:ascii="ArialMT" w:hAnsi="ArialMT" w:cs="ArialMT"/>
          <w:sz w:val="20"/>
          <w:szCs w:val="20"/>
        </w:rPr>
        <w:t xml:space="preserve">tivo de mantener la estabilidad </w:t>
      </w:r>
      <w:r>
        <w:rPr>
          <w:rFonts w:ascii="ArialMT" w:hAnsi="ArialMT" w:cs="ArialMT"/>
          <w:sz w:val="20"/>
          <w:szCs w:val="20"/>
        </w:rPr>
        <w:t>del poder adquisit</w:t>
      </w:r>
      <w:r>
        <w:rPr>
          <w:rFonts w:ascii="ArialMT" w:hAnsi="ArialMT" w:cs="ArialMT"/>
          <w:sz w:val="20"/>
          <w:szCs w:val="20"/>
        </w:rPr>
        <w:t xml:space="preserve">ivo interno de la moneda para </w:t>
      </w:r>
      <w:r>
        <w:rPr>
          <w:rFonts w:ascii="Arial" w:hAnsi="Arial" w:cs="Arial"/>
          <w:sz w:val="20"/>
          <w:szCs w:val="20"/>
        </w:rPr>
        <w:t>contribuir al desarrollo económico y social del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país,</w:t>
      </w:r>
      <w:r>
        <w:rPr>
          <w:rFonts w:ascii="ArialMT" w:hAnsi="ArialMT" w:cs="ArialMT"/>
          <w:sz w:val="20"/>
          <w:szCs w:val="20"/>
        </w:rPr>
        <w:t xml:space="preserve"> fue alcanzado con el empleo de instrumentos </w:t>
      </w:r>
      <w:r>
        <w:rPr>
          <w:rFonts w:ascii="ArialMT" w:hAnsi="ArialMT" w:cs="ArialMT"/>
          <w:sz w:val="20"/>
          <w:szCs w:val="20"/>
        </w:rPr>
        <w:t xml:space="preserve">heterodoxos, manteniendo el carácter </w:t>
      </w:r>
      <w:proofErr w:type="spellStart"/>
      <w:r>
        <w:rPr>
          <w:rFonts w:ascii="ArialMT" w:hAnsi="ArialMT" w:cs="ArialMT"/>
          <w:sz w:val="20"/>
          <w:szCs w:val="20"/>
        </w:rPr>
        <w:t>contrací</w:t>
      </w:r>
      <w:r>
        <w:rPr>
          <w:rFonts w:ascii="ArialMT" w:hAnsi="ArialMT" w:cs="ArialMT"/>
          <w:sz w:val="20"/>
          <w:szCs w:val="20"/>
        </w:rPr>
        <w:t>clico</w:t>
      </w:r>
      <w:proofErr w:type="spellEnd"/>
      <w:r>
        <w:rPr>
          <w:rFonts w:ascii="ArialMT" w:hAnsi="ArialMT" w:cs="ArialMT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 xml:space="preserve">la política monetaria y </w:t>
      </w:r>
      <w:r>
        <w:rPr>
          <w:rFonts w:ascii="Arial" w:hAnsi="Arial" w:cs="Arial"/>
          <w:sz w:val="20"/>
          <w:szCs w:val="20"/>
        </w:rPr>
        <w:t>coordinando adecuadamente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con el Órgano Ejecutivo </w:t>
      </w:r>
      <w:r>
        <w:rPr>
          <w:rFonts w:ascii="ArialMT" w:hAnsi="ArialMT" w:cs="ArialMT"/>
          <w:sz w:val="20"/>
          <w:szCs w:val="20"/>
        </w:rPr>
        <w:t xml:space="preserve">como manda la CPE. </w:t>
      </w: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Durante 2014, el tipo de cambio de la MN respecto </w:t>
      </w:r>
      <w:r>
        <w:rPr>
          <w:rFonts w:ascii="Arial" w:hAnsi="Arial" w:cs="Arial"/>
          <w:sz w:val="20"/>
          <w:szCs w:val="20"/>
        </w:rPr>
        <w:t>al dólar estadounidense se mantuvo invariable (en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Bs6</w:t>
      </w:r>
      <w:proofErr w:type="gramStart"/>
      <w:r>
        <w:rPr>
          <w:rFonts w:ascii="ArialMT" w:hAnsi="ArialMT" w:cs="ArialMT"/>
          <w:sz w:val="20"/>
          <w:szCs w:val="20"/>
        </w:rPr>
        <w:t>,96</w:t>
      </w:r>
      <w:proofErr w:type="gramEnd"/>
      <w:r>
        <w:rPr>
          <w:rFonts w:ascii="ArialMT" w:hAnsi="ArialMT" w:cs="ArialMT"/>
          <w:sz w:val="20"/>
          <w:szCs w:val="20"/>
        </w:rPr>
        <w:t xml:space="preserve"> por dó</w:t>
      </w:r>
      <w:r>
        <w:rPr>
          <w:rFonts w:ascii="ArialMT" w:hAnsi="ArialMT" w:cs="ArialMT"/>
          <w:sz w:val="20"/>
          <w:szCs w:val="20"/>
        </w:rPr>
        <w:t xml:space="preserve">lar para la venta y Bs6,86 para la </w:t>
      </w:r>
      <w:r>
        <w:rPr>
          <w:rFonts w:ascii="ArialMT" w:hAnsi="ArialMT" w:cs="ArialMT"/>
          <w:sz w:val="20"/>
          <w:szCs w:val="20"/>
        </w:rPr>
        <w:t>compra), orientació</w:t>
      </w:r>
      <w:r>
        <w:rPr>
          <w:rFonts w:ascii="ArialMT" w:hAnsi="ArialMT" w:cs="ArialMT"/>
          <w:sz w:val="20"/>
          <w:szCs w:val="20"/>
        </w:rPr>
        <w:t xml:space="preserve">n que permanece desde finales de 2011. La </w:t>
      </w:r>
      <w:r>
        <w:rPr>
          <w:rFonts w:ascii="ArialMT" w:hAnsi="ArialMT" w:cs="ArialMT"/>
          <w:sz w:val="20"/>
          <w:szCs w:val="20"/>
        </w:rPr>
        <w:t>estabilidad del tipo de camb</w:t>
      </w:r>
      <w:r>
        <w:rPr>
          <w:rFonts w:ascii="ArialMT" w:hAnsi="ArialMT" w:cs="ArialMT"/>
          <w:sz w:val="20"/>
          <w:szCs w:val="20"/>
        </w:rPr>
        <w:t xml:space="preserve">io nominal </w:t>
      </w:r>
      <w:r>
        <w:rPr>
          <w:rFonts w:ascii="Arial" w:hAnsi="Arial" w:cs="Arial"/>
          <w:sz w:val="20"/>
          <w:szCs w:val="20"/>
        </w:rPr>
        <w:t>fue consistente con el descenso de las presiones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inflacionarias externas y contribuyó</w:t>
      </w:r>
      <w:r>
        <w:rPr>
          <w:rFonts w:ascii="ArialMT" w:hAnsi="ArialMT" w:cs="ArialMT"/>
          <w:sz w:val="20"/>
          <w:szCs w:val="20"/>
        </w:rPr>
        <w:t xml:space="preserve"> a estabilizar las </w:t>
      </w:r>
      <w:r>
        <w:rPr>
          <w:rFonts w:ascii="ArialMT" w:hAnsi="ArialMT" w:cs="ArialMT"/>
          <w:sz w:val="20"/>
          <w:szCs w:val="20"/>
        </w:rPr>
        <w:t>expectativas de la població</w:t>
      </w:r>
      <w:r>
        <w:rPr>
          <w:rFonts w:ascii="ArialMT" w:hAnsi="ArialMT" w:cs="ArialMT"/>
          <w:sz w:val="20"/>
          <w:szCs w:val="20"/>
        </w:rPr>
        <w:t xml:space="preserve">n en el mercado cambiario, </w:t>
      </w:r>
      <w:r>
        <w:rPr>
          <w:rFonts w:ascii="ArialMT" w:hAnsi="ArialMT" w:cs="ArialMT"/>
          <w:sz w:val="20"/>
          <w:szCs w:val="20"/>
        </w:rPr>
        <w:t>en un contexto de eleva</w:t>
      </w:r>
      <w:r>
        <w:rPr>
          <w:rFonts w:ascii="ArialMT" w:hAnsi="ArialMT" w:cs="ArialMT"/>
          <w:sz w:val="20"/>
          <w:szCs w:val="20"/>
        </w:rPr>
        <w:t xml:space="preserve">da volatilidad de las paridades </w:t>
      </w:r>
      <w:r>
        <w:rPr>
          <w:rFonts w:ascii="ArialMT" w:hAnsi="ArialMT" w:cs="ArialMT"/>
          <w:sz w:val="20"/>
          <w:szCs w:val="20"/>
        </w:rPr>
        <w:t>de paí</w:t>
      </w:r>
      <w:r>
        <w:rPr>
          <w:rFonts w:ascii="ArialMT" w:hAnsi="ArialMT" w:cs="ArialMT"/>
          <w:sz w:val="20"/>
          <w:szCs w:val="20"/>
        </w:rPr>
        <w:t xml:space="preserve">ses vecinos. </w:t>
      </w:r>
      <w:r>
        <w:rPr>
          <w:rFonts w:ascii="ArialMT" w:hAnsi="ArialMT" w:cs="ArialMT"/>
          <w:sz w:val="20"/>
          <w:szCs w:val="20"/>
        </w:rPr>
        <w:t>Asimismo, deb</w:t>
      </w:r>
      <w:r>
        <w:rPr>
          <w:rFonts w:ascii="ArialMT" w:hAnsi="ArialMT" w:cs="ArialMT"/>
          <w:sz w:val="20"/>
          <w:szCs w:val="20"/>
        </w:rPr>
        <w:t xml:space="preserve">e destacarse que </w:t>
      </w:r>
      <w:r>
        <w:rPr>
          <w:rFonts w:ascii="Arial" w:hAnsi="Arial" w:cs="Arial"/>
          <w:sz w:val="20"/>
          <w:szCs w:val="20"/>
        </w:rPr>
        <w:t xml:space="preserve">en este periodo no se generaron </w:t>
      </w:r>
      <w:proofErr w:type="spellStart"/>
      <w:r>
        <w:rPr>
          <w:rFonts w:ascii="Arial" w:hAnsi="Arial" w:cs="Arial"/>
          <w:sz w:val="20"/>
          <w:szCs w:val="20"/>
        </w:rPr>
        <w:t>desalineamientos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persistentes </w:t>
      </w:r>
      <w:r>
        <w:rPr>
          <w:rFonts w:ascii="Arial" w:hAnsi="Arial" w:cs="Arial"/>
          <w:sz w:val="20"/>
          <w:szCs w:val="20"/>
        </w:rPr>
        <w:t>del tipo de cambio real respecto a una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referencia del tip</w:t>
      </w:r>
      <w:r>
        <w:rPr>
          <w:rFonts w:ascii="ArialMT" w:hAnsi="ArialMT" w:cs="ArialMT"/>
          <w:sz w:val="20"/>
          <w:szCs w:val="20"/>
        </w:rPr>
        <w:t xml:space="preserve">o de cambio real de equilibrio. </w:t>
      </w: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En el marco </w:t>
      </w:r>
      <w:r>
        <w:rPr>
          <w:rFonts w:ascii="ArialMT" w:hAnsi="ArialMT" w:cs="ArialMT"/>
          <w:sz w:val="20"/>
          <w:szCs w:val="20"/>
        </w:rPr>
        <w:t>de las polí</w:t>
      </w:r>
      <w:r>
        <w:rPr>
          <w:rFonts w:ascii="ArialMT" w:hAnsi="ArialMT" w:cs="ArialMT"/>
          <w:sz w:val="20"/>
          <w:szCs w:val="20"/>
        </w:rPr>
        <w:t xml:space="preserve">ticas heterodoxas </w:t>
      </w:r>
      <w:r>
        <w:rPr>
          <w:rFonts w:ascii="ArialMT" w:hAnsi="ArialMT" w:cs="ArialMT"/>
          <w:sz w:val="20"/>
          <w:szCs w:val="20"/>
        </w:rPr>
        <w:t>implementadas</w:t>
      </w:r>
      <w:r>
        <w:rPr>
          <w:rFonts w:ascii="ArialMT" w:hAnsi="ArialMT" w:cs="ArialMT"/>
          <w:sz w:val="20"/>
          <w:szCs w:val="20"/>
        </w:rPr>
        <w:t xml:space="preserve"> por el Ente Emisor, en 2014 se </w:t>
      </w:r>
      <w:r>
        <w:rPr>
          <w:rFonts w:ascii="ArialMT" w:hAnsi="ArialMT" w:cs="ArialMT"/>
          <w:sz w:val="20"/>
          <w:szCs w:val="20"/>
        </w:rPr>
        <w:t>continuó</w:t>
      </w:r>
      <w:r>
        <w:rPr>
          <w:rFonts w:ascii="ArialMT" w:hAnsi="ArialMT" w:cs="ArialMT"/>
          <w:sz w:val="20"/>
          <w:szCs w:val="20"/>
        </w:rPr>
        <w:t xml:space="preserve"> financiando a </w:t>
      </w:r>
      <w:r>
        <w:rPr>
          <w:rFonts w:ascii="ArialMT" w:hAnsi="ArialMT" w:cs="ArialMT"/>
          <w:sz w:val="20"/>
          <w:szCs w:val="20"/>
        </w:rPr>
        <w:t>las Empresas Pú</w:t>
      </w:r>
      <w:r>
        <w:rPr>
          <w:rFonts w:ascii="ArialMT" w:hAnsi="ArialMT" w:cs="ArialMT"/>
          <w:sz w:val="20"/>
          <w:szCs w:val="20"/>
        </w:rPr>
        <w:t xml:space="preserve">blicas </w:t>
      </w:r>
      <w:r>
        <w:rPr>
          <w:rFonts w:ascii="ArialMT" w:hAnsi="ArialMT" w:cs="ArialMT"/>
          <w:sz w:val="20"/>
          <w:szCs w:val="20"/>
        </w:rPr>
        <w:t>Nacionales Estratégi</w:t>
      </w:r>
      <w:r>
        <w:rPr>
          <w:rFonts w:ascii="ArialMT" w:hAnsi="ArialMT" w:cs="ArialMT"/>
          <w:sz w:val="20"/>
          <w:szCs w:val="20"/>
        </w:rPr>
        <w:t xml:space="preserve">cas y a programas sociales como </w:t>
      </w:r>
      <w:r>
        <w:rPr>
          <w:rFonts w:ascii="ArialMT" w:hAnsi="ArialMT" w:cs="ArialMT"/>
          <w:sz w:val="20"/>
          <w:szCs w:val="20"/>
        </w:rPr>
        <w:t>el Bono Juana Azurduy. Asimismo, en 2014 el Fondo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para la Revolució</w:t>
      </w:r>
      <w:r>
        <w:rPr>
          <w:rFonts w:ascii="ArialMT" w:hAnsi="ArialMT" w:cs="ArialMT"/>
          <w:sz w:val="20"/>
          <w:szCs w:val="20"/>
        </w:rPr>
        <w:t xml:space="preserve">n Industrial y Productiva (FINPRO) </w:t>
      </w:r>
      <w:r>
        <w:rPr>
          <w:rFonts w:ascii="Arial" w:hAnsi="Arial" w:cs="Arial"/>
          <w:sz w:val="20"/>
          <w:szCs w:val="20"/>
        </w:rPr>
        <w:t>constituido con recursos del BCB continuó otorgando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crédito</w:t>
      </w:r>
      <w:r>
        <w:rPr>
          <w:rFonts w:ascii="Arial" w:hAnsi="Arial" w:cs="Arial"/>
          <w:sz w:val="20"/>
          <w:szCs w:val="20"/>
        </w:rPr>
        <w:t xml:space="preserve">s para emprendimientos </w:t>
      </w:r>
      <w:r>
        <w:rPr>
          <w:rFonts w:ascii="Arial" w:hAnsi="Arial" w:cs="Arial"/>
          <w:sz w:val="20"/>
          <w:szCs w:val="20"/>
        </w:rPr>
        <w:t>productivos.</w:t>
      </w:r>
      <w:r>
        <w:rPr>
          <w:rFonts w:ascii="ArialMT" w:hAnsi="ArialMT" w:cs="ArialMT"/>
          <w:sz w:val="20"/>
          <w:szCs w:val="20"/>
        </w:rPr>
        <w:t xml:space="preserve"> </w:t>
      </w: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23E9C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En perspectiva </w:t>
      </w:r>
      <w:r>
        <w:rPr>
          <w:rFonts w:ascii="ArialMT" w:hAnsi="ArialMT" w:cs="ArialMT"/>
          <w:sz w:val="20"/>
          <w:szCs w:val="20"/>
        </w:rPr>
        <w:t xml:space="preserve">para el bienio 2015-2016, en el </w:t>
      </w:r>
      <w:r>
        <w:rPr>
          <w:rFonts w:ascii="ArialMT" w:hAnsi="ArialMT" w:cs="ArialMT"/>
          <w:sz w:val="20"/>
          <w:szCs w:val="20"/>
        </w:rPr>
        <w:t>context</w:t>
      </w:r>
      <w:r>
        <w:rPr>
          <w:rFonts w:ascii="ArialMT" w:hAnsi="ArialMT" w:cs="ArialMT"/>
          <w:sz w:val="20"/>
          <w:szCs w:val="20"/>
        </w:rPr>
        <w:t xml:space="preserve">o internacional se proyecta que </w:t>
      </w:r>
      <w:r>
        <w:rPr>
          <w:rFonts w:ascii="ArialMT" w:hAnsi="ArialMT" w:cs="ArialMT"/>
          <w:sz w:val="20"/>
          <w:szCs w:val="20"/>
        </w:rPr>
        <w:t>el crecimiento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la actividad </w:t>
      </w:r>
      <w:r>
        <w:rPr>
          <w:rFonts w:ascii="Arial" w:hAnsi="Arial" w:cs="Arial"/>
          <w:sz w:val="20"/>
          <w:szCs w:val="20"/>
        </w:rPr>
        <w:t xml:space="preserve">económica global será levemente </w:t>
      </w:r>
      <w:r>
        <w:rPr>
          <w:rFonts w:ascii="ArialMT" w:hAnsi="ArialMT" w:cs="ArialMT"/>
          <w:sz w:val="20"/>
          <w:szCs w:val="20"/>
        </w:rPr>
        <w:t>mayor con relació</w:t>
      </w:r>
      <w:r>
        <w:rPr>
          <w:rFonts w:ascii="ArialMT" w:hAnsi="ArialMT" w:cs="ArialMT"/>
          <w:sz w:val="20"/>
          <w:szCs w:val="20"/>
        </w:rPr>
        <w:t xml:space="preserve">n a 2014; pero </w:t>
      </w:r>
      <w:r>
        <w:rPr>
          <w:rFonts w:ascii="ArialMT" w:hAnsi="ArialMT" w:cs="ArialMT"/>
          <w:sz w:val="20"/>
          <w:szCs w:val="20"/>
        </w:rPr>
        <w:t>menor con respecto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 lo proyectado en el IPM de enero de 2014. Esta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revisió</w:t>
      </w:r>
      <w:r>
        <w:rPr>
          <w:rFonts w:ascii="ArialMT" w:hAnsi="ArialMT" w:cs="ArialMT"/>
          <w:sz w:val="20"/>
          <w:szCs w:val="20"/>
        </w:rPr>
        <w:t xml:space="preserve">n a la baja se </w:t>
      </w:r>
      <w:r>
        <w:rPr>
          <w:rFonts w:ascii="ArialMT" w:hAnsi="ArialMT" w:cs="ArialMT"/>
          <w:sz w:val="20"/>
          <w:szCs w:val="20"/>
        </w:rPr>
        <w:t>fundamenta en perspectivas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menos optimistas so</w:t>
      </w:r>
      <w:r>
        <w:rPr>
          <w:rFonts w:ascii="Arial" w:hAnsi="Arial" w:cs="Arial"/>
          <w:sz w:val="20"/>
          <w:szCs w:val="20"/>
        </w:rPr>
        <w:t xml:space="preserve">bre el desempeño de un grupo de economías </w:t>
      </w:r>
      <w:r>
        <w:rPr>
          <w:rFonts w:ascii="Arial" w:hAnsi="Arial" w:cs="Arial"/>
          <w:sz w:val="20"/>
          <w:szCs w:val="20"/>
        </w:rPr>
        <w:t>emergent</w:t>
      </w:r>
      <w:r>
        <w:rPr>
          <w:rFonts w:ascii="Arial" w:hAnsi="Arial" w:cs="Arial"/>
          <w:sz w:val="20"/>
          <w:szCs w:val="20"/>
        </w:rPr>
        <w:t xml:space="preserve">es y en desarrollo como China y </w:t>
      </w:r>
      <w:r>
        <w:rPr>
          <w:rFonts w:ascii="ArialMT" w:hAnsi="ArialMT" w:cs="ArialMT"/>
          <w:sz w:val="20"/>
          <w:szCs w:val="20"/>
        </w:rPr>
        <w:t>Rusia, economías avanzadas como Japón y la Zona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Euro, además de países importantes en América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Latina, especialmen</w:t>
      </w:r>
      <w:r>
        <w:rPr>
          <w:rFonts w:ascii="Arial" w:hAnsi="Arial" w:cs="Arial"/>
          <w:sz w:val="20"/>
          <w:szCs w:val="20"/>
        </w:rPr>
        <w:t xml:space="preserve">te Brasil. En síntesis, a pesar </w:t>
      </w:r>
      <w:r>
        <w:rPr>
          <w:rFonts w:ascii="Arial" w:hAnsi="Arial" w:cs="Arial"/>
          <w:sz w:val="20"/>
          <w:szCs w:val="20"/>
        </w:rPr>
        <w:lastRenderedPageBreak/>
        <w:t xml:space="preserve">de la </w:t>
      </w:r>
      <w:r>
        <w:rPr>
          <w:rFonts w:ascii="Arial" w:hAnsi="Arial" w:cs="Arial"/>
          <w:sz w:val="20"/>
          <w:szCs w:val="20"/>
        </w:rPr>
        <w:t>caída del precio del pet</w:t>
      </w:r>
      <w:r>
        <w:rPr>
          <w:rFonts w:ascii="Arial" w:hAnsi="Arial" w:cs="Arial"/>
          <w:sz w:val="20"/>
          <w:szCs w:val="20"/>
        </w:rPr>
        <w:t xml:space="preserve">róleo y el consiguiente impulso </w:t>
      </w:r>
      <w:r>
        <w:rPr>
          <w:rFonts w:ascii="ArialMT" w:hAnsi="ArialMT" w:cs="ArialMT"/>
          <w:sz w:val="20"/>
          <w:szCs w:val="20"/>
        </w:rPr>
        <w:t>que cobró</w:t>
      </w:r>
      <w:r>
        <w:rPr>
          <w:rFonts w:ascii="ArialMT" w:hAnsi="ArialMT" w:cs="ArialMT"/>
          <w:sz w:val="20"/>
          <w:szCs w:val="20"/>
        </w:rPr>
        <w:t xml:space="preserve"> la actividad en EE.UU, las </w:t>
      </w:r>
      <w:r>
        <w:rPr>
          <w:rFonts w:ascii="ArialMT" w:hAnsi="ArialMT" w:cs="ArialMT"/>
          <w:sz w:val="20"/>
          <w:szCs w:val="20"/>
        </w:rPr>
        <w:t>previsiones de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recuperación global son muy cautas.</w:t>
      </w: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lo concernie</w:t>
      </w:r>
      <w:r>
        <w:rPr>
          <w:rFonts w:ascii="Arial" w:hAnsi="Arial" w:cs="Arial"/>
          <w:sz w:val="20"/>
          <w:szCs w:val="20"/>
        </w:rPr>
        <w:t xml:space="preserve">nte al desempeño de la economía </w:t>
      </w:r>
      <w:r>
        <w:rPr>
          <w:rFonts w:ascii="ArialMT" w:hAnsi="ArialMT" w:cs="ArialMT"/>
          <w:sz w:val="20"/>
          <w:szCs w:val="20"/>
        </w:rPr>
        <w:t>Boliviana para la gestión 2015, se ha fijado como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objetivo un crecimiento de 5,0%. En un entorno de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menor im</w:t>
      </w:r>
      <w:r>
        <w:rPr>
          <w:rFonts w:ascii="ArialMT" w:hAnsi="ArialMT" w:cs="ArialMT"/>
          <w:sz w:val="20"/>
          <w:szCs w:val="20"/>
        </w:rPr>
        <w:t xml:space="preserve">pulso de la demanda externa, el </w:t>
      </w:r>
      <w:r>
        <w:rPr>
          <w:rFonts w:ascii="ArialMT" w:hAnsi="ArialMT" w:cs="ArialMT"/>
          <w:sz w:val="20"/>
          <w:szCs w:val="20"/>
        </w:rPr>
        <w:t>desempeño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previsto se </w:t>
      </w:r>
      <w:r>
        <w:rPr>
          <w:rFonts w:ascii="Arial" w:hAnsi="Arial" w:cs="Arial"/>
          <w:sz w:val="20"/>
          <w:szCs w:val="20"/>
        </w:rPr>
        <w:t xml:space="preserve">fundamentaría en un crecimiento </w:t>
      </w:r>
      <w:r>
        <w:rPr>
          <w:rFonts w:ascii="Arial" w:hAnsi="Arial" w:cs="Arial"/>
          <w:sz w:val="20"/>
          <w:szCs w:val="20"/>
        </w:rPr>
        <w:t>sostenido de la demanda i</w:t>
      </w:r>
      <w:r>
        <w:rPr>
          <w:rFonts w:ascii="Arial" w:hAnsi="Arial" w:cs="Arial"/>
          <w:sz w:val="20"/>
          <w:szCs w:val="20"/>
        </w:rPr>
        <w:t xml:space="preserve">nterna, sustentado en una </w:t>
      </w:r>
      <w:r>
        <w:rPr>
          <w:rFonts w:ascii="ArialMT" w:hAnsi="ArialMT" w:cs="ArialMT"/>
          <w:sz w:val="20"/>
          <w:szCs w:val="20"/>
        </w:rPr>
        <w:t>fuerte incidencia de la inversión pública.</w:t>
      </w:r>
    </w:p>
    <w:p w:rsidR="006D07D4" w:rsidRP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su vez, la inflación en Bolivia convergerá</w:t>
      </w:r>
      <w:r>
        <w:rPr>
          <w:rFonts w:ascii="ArialMT" w:hAnsi="ArialMT" w:cs="ArialMT"/>
          <w:sz w:val="20"/>
          <w:szCs w:val="20"/>
        </w:rPr>
        <w:t xml:space="preserve"> a una tasa </w:t>
      </w:r>
      <w:r>
        <w:rPr>
          <w:rFonts w:ascii="ArialMT" w:hAnsi="ArialMT" w:cs="ArialMT"/>
          <w:sz w:val="20"/>
          <w:szCs w:val="20"/>
        </w:rPr>
        <w:t>alred</w:t>
      </w:r>
      <w:r>
        <w:rPr>
          <w:rFonts w:ascii="ArialMT" w:hAnsi="ArialMT" w:cs="ArialMT"/>
          <w:sz w:val="20"/>
          <w:szCs w:val="20"/>
        </w:rPr>
        <w:t xml:space="preserve">edor de 5,5% a finales de 2015, </w:t>
      </w:r>
      <w:r>
        <w:rPr>
          <w:rFonts w:ascii="ArialMT" w:hAnsi="ArialMT" w:cs="ArialMT"/>
          <w:sz w:val="20"/>
          <w:szCs w:val="20"/>
        </w:rPr>
        <w:t>situá</w:t>
      </w:r>
      <w:r>
        <w:rPr>
          <w:rFonts w:ascii="ArialMT" w:hAnsi="ArialMT" w:cs="ArialMT"/>
          <w:sz w:val="20"/>
          <w:szCs w:val="20"/>
        </w:rPr>
        <w:t xml:space="preserve">ndose al </w:t>
      </w:r>
      <w:r>
        <w:rPr>
          <w:rFonts w:ascii="ArialMT" w:hAnsi="ArialMT" w:cs="ArialMT"/>
          <w:sz w:val="20"/>
          <w:szCs w:val="20"/>
        </w:rPr>
        <w:t>interior del rango e</w:t>
      </w:r>
      <w:r>
        <w:rPr>
          <w:rFonts w:ascii="ArialMT" w:hAnsi="ArialMT" w:cs="ArialMT"/>
          <w:sz w:val="20"/>
          <w:szCs w:val="20"/>
        </w:rPr>
        <w:t xml:space="preserve">ntre 4,5% y 6,5%. Para 2016, se </w:t>
      </w:r>
      <w:r>
        <w:rPr>
          <w:rFonts w:ascii="ArialMT" w:hAnsi="ArialMT" w:cs="ArialMT"/>
          <w:sz w:val="20"/>
          <w:szCs w:val="20"/>
        </w:rPr>
        <w:t xml:space="preserve">estima que el incremento en </w:t>
      </w:r>
      <w:r>
        <w:rPr>
          <w:rFonts w:ascii="ArialMT" w:hAnsi="ArialMT" w:cs="ArialMT"/>
          <w:sz w:val="20"/>
          <w:szCs w:val="20"/>
        </w:rPr>
        <w:t xml:space="preserve">los precios internos se </w:t>
      </w:r>
      <w:r>
        <w:rPr>
          <w:rFonts w:ascii="ArialMT" w:hAnsi="ArialMT" w:cs="ArialMT"/>
          <w:sz w:val="20"/>
          <w:szCs w:val="20"/>
        </w:rPr>
        <w:t>encuentre en torno a 5,3%.</w:t>
      </w: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política mon</w:t>
      </w:r>
      <w:r>
        <w:rPr>
          <w:rFonts w:ascii="Arial" w:hAnsi="Arial" w:cs="Arial"/>
          <w:sz w:val="20"/>
          <w:szCs w:val="20"/>
        </w:rPr>
        <w:t xml:space="preserve">etaria mantendrá su orientación </w:t>
      </w:r>
      <w:proofErr w:type="spellStart"/>
      <w:r>
        <w:rPr>
          <w:rFonts w:ascii="Arial" w:hAnsi="Arial" w:cs="Arial"/>
          <w:sz w:val="20"/>
          <w:szCs w:val="20"/>
        </w:rPr>
        <w:t>contracíclica</w:t>
      </w:r>
      <w:proofErr w:type="spellEnd"/>
      <w:r>
        <w:rPr>
          <w:rFonts w:ascii="Arial" w:hAnsi="Arial" w:cs="Arial"/>
          <w:sz w:val="20"/>
          <w:szCs w:val="20"/>
        </w:rPr>
        <w:t xml:space="preserve">, en </w:t>
      </w:r>
      <w:r>
        <w:rPr>
          <w:rFonts w:ascii="Arial" w:hAnsi="Arial" w:cs="Arial"/>
          <w:sz w:val="20"/>
          <w:szCs w:val="20"/>
        </w:rPr>
        <w:t xml:space="preserve">el marco de un balance adecuado </w:t>
      </w:r>
      <w:r>
        <w:rPr>
          <w:rFonts w:ascii="ArialMT" w:hAnsi="ArialMT" w:cs="ArialMT"/>
          <w:sz w:val="20"/>
          <w:szCs w:val="20"/>
        </w:rPr>
        <w:t>que permita preservar la estabilidad de precios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 contribuir al de</w:t>
      </w:r>
      <w:r>
        <w:rPr>
          <w:rFonts w:ascii="Arial" w:hAnsi="Arial" w:cs="Arial"/>
          <w:sz w:val="20"/>
          <w:szCs w:val="20"/>
        </w:rPr>
        <w:t xml:space="preserve">sarrollo económico y social. La </w:t>
      </w:r>
      <w:r>
        <w:rPr>
          <w:rFonts w:ascii="Arial" w:hAnsi="Arial" w:cs="Arial"/>
          <w:sz w:val="20"/>
          <w:szCs w:val="20"/>
        </w:rPr>
        <w:t>Política Cambi</w:t>
      </w:r>
      <w:r>
        <w:rPr>
          <w:rFonts w:ascii="Arial" w:hAnsi="Arial" w:cs="Arial"/>
          <w:sz w:val="20"/>
          <w:szCs w:val="20"/>
        </w:rPr>
        <w:t xml:space="preserve">aria, evitando </w:t>
      </w:r>
      <w:proofErr w:type="spellStart"/>
      <w:r>
        <w:rPr>
          <w:rFonts w:ascii="Arial" w:hAnsi="Arial" w:cs="Arial"/>
          <w:sz w:val="20"/>
          <w:szCs w:val="20"/>
        </w:rPr>
        <w:t>desalineamientos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persistentes del ti</w:t>
      </w:r>
      <w:r>
        <w:rPr>
          <w:rFonts w:ascii="Arial" w:hAnsi="Arial" w:cs="Arial"/>
          <w:sz w:val="20"/>
          <w:szCs w:val="20"/>
        </w:rPr>
        <w:t xml:space="preserve">po de cambio real respecto a su </w:t>
      </w:r>
      <w:r>
        <w:rPr>
          <w:rFonts w:ascii="ArialMT" w:hAnsi="ArialMT" w:cs="ArialMT"/>
          <w:sz w:val="20"/>
          <w:szCs w:val="20"/>
        </w:rPr>
        <w:t>nivel de largo plazo, seguirá orientada a profundizar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el proceso de </w:t>
      </w:r>
      <w:proofErr w:type="spellStart"/>
      <w:r>
        <w:rPr>
          <w:rFonts w:ascii="ArialMT" w:hAnsi="ArialMT" w:cs="ArialMT"/>
          <w:sz w:val="20"/>
          <w:szCs w:val="20"/>
        </w:rPr>
        <w:t>bolivianizació</w:t>
      </w:r>
      <w:r>
        <w:rPr>
          <w:rFonts w:ascii="ArialMT" w:hAnsi="ArialMT" w:cs="ArialMT"/>
          <w:sz w:val="20"/>
          <w:szCs w:val="20"/>
        </w:rPr>
        <w:t>n</w:t>
      </w:r>
      <w:proofErr w:type="spellEnd"/>
      <w:r>
        <w:rPr>
          <w:rFonts w:ascii="ArialMT" w:hAnsi="ArialMT" w:cs="ArialMT"/>
          <w:sz w:val="20"/>
          <w:szCs w:val="20"/>
        </w:rPr>
        <w:t xml:space="preserve">, anclar las </w:t>
      </w:r>
      <w:r>
        <w:rPr>
          <w:rFonts w:ascii="ArialMT" w:hAnsi="ArialMT" w:cs="ArialMT"/>
          <w:sz w:val="20"/>
          <w:szCs w:val="20"/>
        </w:rPr>
        <w:t>expectativas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la población y p</w:t>
      </w:r>
      <w:r>
        <w:rPr>
          <w:rFonts w:ascii="ArialMT" w:hAnsi="ArialMT" w:cs="ArialMT"/>
          <w:sz w:val="20"/>
          <w:szCs w:val="20"/>
        </w:rPr>
        <w:t xml:space="preserve">reservar la solidez del sistema </w:t>
      </w:r>
      <w:r>
        <w:rPr>
          <w:rFonts w:ascii="ArialMT" w:hAnsi="ArialMT" w:cs="ArialMT"/>
          <w:sz w:val="20"/>
          <w:szCs w:val="20"/>
        </w:rPr>
        <w:t>financiero</w:t>
      </w:r>
      <w:r>
        <w:rPr>
          <w:rFonts w:ascii="ArialMT" w:hAnsi="ArialMT" w:cs="ArialMT"/>
          <w:sz w:val="20"/>
          <w:szCs w:val="20"/>
        </w:rPr>
        <w:t xml:space="preserve">. En este contexto, se garantiza que no se </w:t>
      </w:r>
      <w:r>
        <w:rPr>
          <w:rFonts w:ascii="ArialMT" w:hAnsi="ArialMT" w:cs="ArialMT"/>
          <w:sz w:val="20"/>
          <w:szCs w:val="20"/>
        </w:rPr>
        <w:t>realizarán modificacio</w:t>
      </w:r>
      <w:r>
        <w:rPr>
          <w:rFonts w:ascii="ArialMT" w:hAnsi="ArialMT" w:cs="ArialMT"/>
          <w:sz w:val="20"/>
          <w:szCs w:val="20"/>
        </w:rPr>
        <w:t xml:space="preserve">nes bruscas del tipo de cambio. </w:t>
      </w:r>
      <w:r>
        <w:rPr>
          <w:rFonts w:ascii="Arial" w:hAnsi="Arial" w:cs="Arial"/>
          <w:sz w:val="20"/>
          <w:szCs w:val="20"/>
        </w:rPr>
        <w:t xml:space="preserve">Ambas políticas, en el </w:t>
      </w:r>
      <w:r>
        <w:rPr>
          <w:rFonts w:ascii="Arial" w:hAnsi="Arial" w:cs="Arial"/>
          <w:sz w:val="20"/>
          <w:szCs w:val="20"/>
        </w:rPr>
        <w:t>marco de lo dispuesto en la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CPE, mantendrán la coordinación con las políticas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del Ó</w:t>
      </w:r>
      <w:r>
        <w:rPr>
          <w:rFonts w:ascii="ArialMT" w:hAnsi="ArialMT" w:cs="ArialMT"/>
          <w:sz w:val="20"/>
          <w:szCs w:val="20"/>
        </w:rPr>
        <w:t xml:space="preserve">rgano </w:t>
      </w:r>
      <w:r>
        <w:rPr>
          <w:rFonts w:ascii="ArialMT" w:hAnsi="ArialMT" w:cs="ArialMT"/>
          <w:sz w:val="20"/>
          <w:szCs w:val="20"/>
        </w:rPr>
        <w:t>Ejecu</w:t>
      </w:r>
      <w:r>
        <w:rPr>
          <w:rFonts w:ascii="ArialMT" w:hAnsi="ArialMT" w:cs="ArialMT"/>
          <w:sz w:val="20"/>
          <w:szCs w:val="20"/>
        </w:rPr>
        <w:t xml:space="preserve">tivo mediante los mecanismos ya </w:t>
      </w:r>
      <w:r>
        <w:rPr>
          <w:rFonts w:ascii="ArialMT" w:hAnsi="ArialMT" w:cs="ArialMT"/>
          <w:sz w:val="20"/>
          <w:szCs w:val="20"/>
        </w:rPr>
        <w:t>institucionalizados en los últimos años.</w:t>
      </w: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 evolución futura de la inflación no está</w:t>
      </w:r>
      <w:r>
        <w:rPr>
          <w:rFonts w:ascii="ArialMT" w:hAnsi="ArialMT" w:cs="ArialMT"/>
          <w:sz w:val="20"/>
          <w:szCs w:val="20"/>
        </w:rPr>
        <w:t xml:space="preserve"> exenta </w:t>
      </w:r>
      <w:r>
        <w:rPr>
          <w:rFonts w:ascii="ArialMT" w:hAnsi="ArialMT" w:cs="ArialMT"/>
          <w:sz w:val="20"/>
          <w:szCs w:val="20"/>
        </w:rPr>
        <w:t>de riesgos que, de materializarse,</w:t>
      </w:r>
      <w:bookmarkStart w:id="0" w:name="_GoBack"/>
      <w:bookmarkEnd w:id="0"/>
      <w:r>
        <w:rPr>
          <w:rFonts w:ascii="ArialMT" w:hAnsi="ArialMT" w:cs="ArialMT"/>
          <w:sz w:val="20"/>
          <w:szCs w:val="20"/>
        </w:rPr>
        <w:t xml:space="preserve"> podrí</w:t>
      </w:r>
      <w:r>
        <w:rPr>
          <w:rFonts w:ascii="ArialMT" w:hAnsi="ArialMT" w:cs="ArialMT"/>
          <w:sz w:val="20"/>
          <w:szCs w:val="20"/>
        </w:rPr>
        <w:t xml:space="preserve">an conducir </w:t>
      </w:r>
      <w:r>
        <w:rPr>
          <w:rFonts w:ascii="Arial" w:hAnsi="Arial" w:cs="Arial"/>
          <w:sz w:val="20"/>
          <w:szCs w:val="20"/>
        </w:rPr>
        <w:t>a esta variable a una trayectoria diferente de la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señalada </w:t>
      </w:r>
      <w:r>
        <w:rPr>
          <w:rFonts w:ascii="Arial" w:hAnsi="Arial" w:cs="Arial"/>
          <w:sz w:val="20"/>
          <w:szCs w:val="20"/>
        </w:rPr>
        <w:t xml:space="preserve">en este informe. De concretarse </w:t>
      </w:r>
      <w:r>
        <w:rPr>
          <w:rFonts w:ascii="Arial" w:hAnsi="Arial" w:cs="Arial"/>
          <w:sz w:val="20"/>
          <w:szCs w:val="20"/>
        </w:rPr>
        <w:t>alguno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los riesgos, el Órgano</w:t>
      </w:r>
      <w:r>
        <w:rPr>
          <w:rFonts w:ascii="ArialMT" w:hAnsi="ArialMT" w:cs="ArialMT"/>
          <w:sz w:val="20"/>
          <w:szCs w:val="20"/>
        </w:rPr>
        <w:t xml:space="preserve"> Ejecutivo y el BCB, en el </w:t>
      </w:r>
      <w:r>
        <w:rPr>
          <w:rFonts w:ascii="Arial" w:hAnsi="Arial" w:cs="Arial"/>
          <w:sz w:val="20"/>
          <w:szCs w:val="20"/>
        </w:rPr>
        <w:t>marco</w:t>
      </w:r>
      <w:r>
        <w:rPr>
          <w:rFonts w:ascii="Arial" w:hAnsi="Arial" w:cs="Arial"/>
          <w:sz w:val="20"/>
          <w:szCs w:val="20"/>
        </w:rPr>
        <w:t xml:space="preserve"> de sus competencias y de forma </w:t>
      </w:r>
      <w:r>
        <w:rPr>
          <w:rFonts w:ascii="Arial" w:hAnsi="Arial" w:cs="Arial"/>
          <w:sz w:val="20"/>
          <w:szCs w:val="20"/>
        </w:rPr>
        <w:t>coordinada,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continuarán empleando los instrumentos de política 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su alcance para cumplir con los objetivos anunciados.</w:t>
      </w:r>
    </w:p>
    <w:p w:rsidR="006D07D4" w:rsidRPr="006D07D4" w:rsidRDefault="006D07D4" w:rsidP="006D07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sectPr w:rsidR="006D07D4" w:rsidRPr="006D0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7D4"/>
    <w:rsid w:val="00123E9C"/>
    <w:rsid w:val="0025772A"/>
    <w:rsid w:val="006D07D4"/>
    <w:rsid w:val="00D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1600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2019-06-14T20:11:00Z</dcterms:created>
  <dcterms:modified xsi:type="dcterms:W3CDTF">2019-06-14T20:25:00Z</dcterms:modified>
</cp:coreProperties>
</file>