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primer semestre</w:t>
      </w:r>
      <w:r>
        <w:rPr>
          <w:rFonts w:ascii="Arial" w:hAnsi="Arial" w:cs="Arial"/>
          <w:sz w:val="20"/>
          <w:szCs w:val="20"/>
        </w:rPr>
        <w:t xml:space="preserve"> de 2017 la actividad económica </w:t>
      </w:r>
      <w:r>
        <w:rPr>
          <w:rFonts w:ascii="Arial" w:hAnsi="Arial" w:cs="Arial"/>
          <w:sz w:val="20"/>
          <w:szCs w:val="20"/>
        </w:rPr>
        <w:t xml:space="preserve">mundial </w:t>
      </w:r>
      <w:r>
        <w:rPr>
          <w:rFonts w:ascii="Arial" w:hAnsi="Arial" w:cs="Arial"/>
          <w:sz w:val="20"/>
          <w:szCs w:val="20"/>
        </w:rPr>
        <w:t xml:space="preserve">presentó una leve recuperación, aunque por </w:t>
      </w:r>
      <w:r>
        <w:rPr>
          <w:rFonts w:ascii="ArialMT" w:hAnsi="ArialMT" w:cs="ArialMT"/>
          <w:sz w:val="20"/>
          <w:szCs w:val="20"/>
        </w:rPr>
        <w:t>debajo de lo esperado; destacando el desempeño</w:t>
      </w:r>
      <w:r>
        <w:rPr>
          <w:rFonts w:ascii="Arial" w:hAnsi="Arial" w:cs="Arial"/>
          <w:sz w:val="20"/>
          <w:szCs w:val="20"/>
        </w:rPr>
        <w:t xml:space="preserve"> del sector manufacturero y de servicios, del comercio </w:t>
      </w:r>
      <w:r>
        <w:rPr>
          <w:rFonts w:ascii="ArialMT" w:hAnsi="ArialMT" w:cs="ArialMT"/>
          <w:sz w:val="20"/>
          <w:szCs w:val="20"/>
        </w:rPr>
        <w:t>internacional y de los indicadores de confianza. La</w:t>
      </w:r>
      <w:r>
        <w:rPr>
          <w:rFonts w:ascii="Arial" w:hAnsi="Arial" w:cs="Arial"/>
          <w:sz w:val="20"/>
          <w:szCs w:val="20"/>
        </w:rPr>
        <w:t xml:space="preserve"> recuperación de los precios internacionales de las </w:t>
      </w:r>
      <w:r>
        <w:rPr>
          <w:rFonts w:ascii="Arial" w:hAnsi="Arial" w:cs="Arial"/>
          <w:sz w:val="20"/>
          <w:szCs w:val="20"/>
        </w:rPr>
        <w:t>materias prima</w:t>
      </w:r>
      <w:r>
        <w:rPr>
          <w:rFonts w:ascii="Arial" w:hAnsi="Arial" w:cs="Arial"/>
          <w:sz w:val="20"/>
          <w:szCs w:val="20"/>
        </w:rPr>
        <w:t xml:space="preserve">s fue moderada, afectada por el comportamiento débil de los precios del petróleo que </w:t>
      </w:r>
      <w:r>
        <w:rPr>
          <w:rFonts w:ascii="ArialMT" w:hAnsi="ArialMT" w:cs="ArialMT"/>
          <w:sz w:val="20"/>
          <w:szCs w:val="20"/>
        </w:rPr>
        <w:t>redujo sus perspectivas. Mientras, las condiciones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los mercados </w:t>
      </w:r>
      <w:r>
        <w:rPr>
          <w:rFonts w:ascii="ArialMT" w:hAnsi="ArialMT" w:cs="ArialMT"/>
          <w:sz w:val="20"/>
          <w:szCs w:val="20"/>
        </w:rPr>
        <w:t>financieros permanecieron favorables,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 entradas netas</w:t>
      </w:r>
      <w:r>
        <w:rPr>
          <w:rFonts w:ascii="Arial" w:hAnsi="Arial" w:cs="Arial"/>
          <w:sz w:val="20"/>
          <w:szCs w:val="20"/>
        </w:rPr>
        <w:t xml:space="preserve"> de capital hacia las economías </w:t>
      </w:r>
      <w:r>
        <w:rPr>
          <w:rFonts w:ascii="Arial" w:hAnsi="Arial" w:cs="Arial"/>
          <w:sz w:val="20"/>
          <w:szCs w:val="20"/>
        </w:rPr>
        <w:t>emergentes y u</w:t>
      </w:r>
      <w:r>
        <w:rPr>
          <w:rFonts w:ascii="Arial" w:hAnsi="Arial" w:cs="Arial"/>
          <w:sz w:val="20"/>
          <w:szCs w:val="20"/>
        </w:rPr>
        <w:t xml:space="preserve">n comportamiento volátil de las </w:t>
      </w:r>
      <w:r>
        <w:rPr>
          <w:rFonts w:ascii="Arial" w:hAnsi="Arial" w:cs="Arial"/>
          <w:sz w:val="20"/>
          <w:szCs w:val="20"/>
        </w:rPr>
        <w:t>paridades cambiarias a nivel regional.</w:t>
      </w: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contexto, los</w:t>
      </w:r>
      <w:r>
        <w:rPr>
          <w:rFonts w:ascii="Arial" w:hAnsi="Arial" w:cs="Arial"/>
          <w:sz w:val="20"/>
          <w:szCs w:val="20"/>
        </w:rPr>
        <w:t xml:space="preserve"> países desarrollados mostraron </w:t>
      </w:r>
      <w:r>
        <w:rPr>
          <w:rFonts w:ascii="Arial" w:hAnsi="Arial" w:cs="Arial"/>
          <w:sz w:val="20"/>
          <w:szCs w:val="20"/>
        </w:rPr>
        <w:t>signos de con</w:t>
      </w:r>
      <w:r>
        <w:rPr>
          <w:rFonts w:ascii="Arial" w:hAnsi="Arial" w:cs="Arial"/>
          <w:sz w:val="20"/>
          <w:szCs w:val="20"/>
        </w:rPr>
        <w:t xml:space="preserve">tinuar con su leve recuperación luego </w:t>
      </w:r>
      <w:r>
        <w:rPr>
          <w:rFonts w:ascii="Arial" w:hAnsi="Arial" w:cs="Arial"/>
          <w:sz w:val="20"/>
          <w:szCs w:val="20"/>
        </w:rPr>
        <w:t>de un período de ince</w:t>
      </w:r>
      <w:r>
        <w:rPr>
          <w:rFonts w:ascii="Arial" w:hAnsi="Arial" w:cs="Arial"/>
          <w:sz w:val="20"/>
          <w:szCs w:val="20"/>
        </w:rPr>
        <w:t xml:space="preserve">rtidumbre política a principios </w:t>
      </w:r>
      <w:r>
        <w:rPr>
          <w:rFonts w:ascii="Arial" w:hAnsi="Arial" w:cs="Arial"/>
          <w:sz w:val="20"/>
          <w:szCs w:val="20"/>
        </w:rPr>
        <w:t>de</w:t>
      </w:r>
      <w:r>
        <w:rPr>
          <w:rFonts w:ascii="Arial" w:hAnsi="Arial" w:cs="Arial"/>
          <w:sz w:val="20"/>
          <w:szCs w:val="20"/>
        </w:rPr>
        <w:t xml:space="preserve"> año, aunque las previsiones de crecimiento de </w:t>
      </w:r>
      <w:r>
        <w:rPr>
          <w:rFonts w:ascii="ArialMT" w:hAnsi="ArialMT" w:cs="ArialMT"/>
          <w:sz w:val="20"/>
          <w:szCs w:val="20"/>
        </w:rPr>
        <w:t>EE.UU. se revisaron a la baja debido principalmente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a la falta de avance y </w:t>
      </w:r>
      <w:r>
        <w:rPr>
          <w:rFonts w:ascii="ArialMT" w:hAnsi="ArialMT" w:cs="ArialMT"/>
          <w:sz w:val="20"/>
          <w:szCs w:val="20"/>
        </w:rPr>
        <w:t>definición en las medidas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estímulo fiscal. La inflación en las principales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economías avanzada</w:t>
      </w:r>
      <w:r>
        <w:rPr>
          <w:rFonts w:ascii="ArialMT" w:hAnsi="ArialMT" w:cs="ArialMT"/>
          <w:sz w:val="20"/>
          <w:szCs w:val="20"/>
        </w:rPr>
        <w:t xml:space="preserve">s </w:t>
      </w:r>
      <w:r>
        <w:rPr>
          <w:rFonts w:ascii="ArialMT" w:hAnsi="ArialMT" w:cs="ArialMT"/>
          <w:sz w:val="20"/>
          <w:szCs w:val="20"/>
        </w:rPr>
        <w:t>se encuentra por debajo del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objetivo establecido por sus bancos centrales, luego</w:t>
      </w:r>
      <w:r>
        <w:rPr>
          <w:rFonts w:ascii="Arial" w:hAnsi="Arial" w:cs="Arial"/>
          <w:sz w:val="20"/>
          <w:szCs w:val="20"/>
        </w:rPr>
        <w:t xml:space="preserve"> de un repunte a </w:t>
      </w:r>
      <w:r>
        <w:rPr>
          <w:rFonts w:ascii="Arial" w:hAnsi="Arial" w:cs="Arial"/>
          <w:sz w:val="20"/>
          <w:szCs w:val="20"/>
        </w:rPr>
        <w:t>in</w:t>
      </w:r>
      <w:r>
        <w:rPr>
          <w:rFonts w:ascii="Arial" w:hAnsi="Arial" w:cs="Arial"/>
          <w:sz w:val="20"/>
          <w:szCs w:val="20"/>
        </w:rPr>
        <w:t xml:space="preserve">icio del año, situación que dio </w:t>
      </w:r>
      <w:r>
        <w:rPr>
          <w:rFonts w:ascii="ArialMT" w:hAnsi="ArialMT" w:cs="ArialMT"/>
          <w:sz w:val="20"/>
          <w:szCs w:val="20"/>
        </w:rPr>
        <w:t>lugar al incremento de tasas de interés en EE.UU. y</w:t>
      </w:r>
      <w:r>
        <w:rPr>
          <w:rFonts w:ascii="Arial" w:hAnsi="Arial" w:cs="Arial"/>
          <w:sz w:val="20"/>
          <w:szCs w:val="20"/>
        </w:rPr>
        <w:t xml:space="preserve"> a la reducción </w:t>
      </w:r>
      <w:r>
        <w:rPr>
          <w:rFonts w:ascii="Arial" w:hAnsi="Arial" w:cs="Arial"/>
          <w:sz w:val="20"/>
          <w:szCs w:val="20"/>
        </w:rPr>
        <w:t>pre</w:t>
      </w:r>
      <w:r>
        <w:rPr>
          <w:rFonts w:ascii="Arial" w:hAnsi="Arial" w:cs="Arial"/>
          <w:sz w:val="20"/>
          <w:szCs w:val="20"/>
        </w:rPr>
        <w:t xml:space="preserve">vista del programa de compra de </w:t>
      </w:r>
      <w:r>
        <w:rPr>
          <w:rFonts w:ascii="Arial" w:hAnsi="Arial" w:cs="Arial"/>
          <w:sz w:val="20"/>
          <w:szCs w:val="20"/>
        </w:rPr>
        <w:t>activos en la Zona Euro.</w:t>
      </w: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las econo</w:t>
      </w:r>
      <w:r>
        <w:rPr>
          <w:rFonts w:ascii="Arial" w:hAnsi="Arial" w:cs="Arial"/>
          <w:sz w:val="20"/>
          <w:szCs w:val="20"/>
        </w:rPr>
        <w:t xml:space="preserve">mías emergentes y en desarrollo </w:t>
      </w:r>
      <w:r>
        <w:rPr>
          <w:rFonts w:ascii="Arial" w:hAnsi="Arial" w:cs="Arial"/>
          <w:sz w:val="20"/>
          <w:szCs w:val="20"/>
        </w:rPr>
        <w:t>se evidenci</w:t>
      </w:r>
      <w:r>
        <w:rPr>
          <w:rFonts w:ascii="Arial" w:hAnsi="Arial" w:cs="Arial"/>
          <w:sz w:val="20"/>
          <w:szCs w:val="20"/>
        </w:rPr>
        <w:t xml:space="preserve">aron comportamientos mixtos. En </w:t>
      </w:r>
      <w:r>
        <w:rPr>
          <w:rFonts w:ascii="Arial" w:hAnsi="Arial" w:cs="Arial"/>
          <w:sz w:val="20"/>
          <w:szCs w:val="20"/>
        </w:rPr>
        <w:t>América del Sur, n</w:t>
      </w:r>
      <w:r>
        <w:rPr>
          <w:rFonts w:ascii="Arial" w:hAnsi="Arial" w:cs="Arial"/>
          <w:sz w:val="20"/>
          <w:szCs w:val="20"/>
        </w:rPr>
        <w:t xml:space="preserve">o obstante que se espera que la </w:t>
      </w:r>
      <w:r>
        <w:rPr>
          <w:rFonts w:ascii="Arial" w:hAnsi="Arial" w:cs="Arial"/>
          <w:sz w:val="20"/>
          <w:szCs w:val="20"/>
        </w:rPr>
        <w:t>contracción de lo</w:t>
      </w:r>
      <w:r>
        <w:rPr>
          <w:rFonts w:ascii="Arial" w:hAnsi="Arial" w:cs="Arial"/>
          <w:sz w:val="20"/>
          <w:szCs w:val="20"/>
        </w:rPr>
        <w:t xml:space="preserve">s dos últimos años se revierta, las </w:t>
      </w:r>
      <w:r>
        <w:rPr>
          <w:rFonts w:ascii="Arial" w:hAnsi="Arial" w:cs="Arial"/>
          <w:sz w:val="20"/>
          <w:szCs w:val="20"/>
        </w:rPr>
        <w:t>proyecciones de cr</w:t>
      </w:r>
      <w:r>
        <w:rPr>
          <w:rFonts w:ascii="Arial" w:hAnsi="Arial" w:cs="Arial"/>
          <w:sz w:val="20"/>
          <w:szCs w:val="20"/>
        </w:rPr>
        <w:t xml:space="preserve">ecimiento fueron revisadas a la </w:t>
      </w:r>
      <w:r>
        <w:rPr>
          <w:rFonts w:ascii="ArialMT" w:hAnsi="ArialMT" w:cs="ArialMT"/>
          <w:sz w:val="20"/>
          <w:szCs w:val="20"/>
        </w:rPr>
        <w:t>baja, ante perspectivas más dé</w:t>
      </w:r>
      <w:r>
        <w:rPr>
          <w:rFonts w:ascii="ArialMT" w:hAnsi="ArialMT" w:cs="ArialMT"/>
          <w:sz w:val="20"/>
          <w:szCs w:val="20"/>
        </w:rPr>
        <w:t xml:space="preserve">biles de los </w:t>
      </w:r>
      <w:r>
        <w:rPr>
          <w:rFonts w:ascii="ArialMT" w:hAnsi="ArialMT" w:cs="ArialMT"/>
          <w:sz w:val="20"/>
          <w:szCs w:val="20"/>
        </w:rPr>
        <w:t>precios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internacionales d</w:t>
      </w:r>
      <w:r>
        <w:rPr>
          <w:rFonts w:ascii="Arial" w:hAnsi="Arial" w:cs="Arial"/>
          <w:sz w:val="20"/>
          <w:szCs w:val="20"/>
        </w:rPr>
        <w:t xml:space="preserve">e las materias primas y riesgos </w:t>
      </w:r>
      <w:r>
        <w:rPr>
          <w:rFonts w:ascii="Arial" w:hAnsi="Arial" w:cs="Arial"/>
          <w:sz w:val="20"/>
          <w:szCs w:val="20"/>
        </w:rPr>
        <w:t xml:space="preserve">internos </w:t>
      </w:r>
      <w:r>
        <w:rPr>
          <w:rFonts w:ascii="Arial" w:hAnsi="Arial" w:cs="Arial"/>
          <w:sz w:val="20"/>
          <w:szCs w:val="20"/>
        </w:rPr>
        <w:t xml:space="preserve">de carácter político en algunas economías. </w:t>
      </w:r>
      <w:r>
        <w:rPr>
          <w:rFonts w:ascii="ArialMT" w:hAnsi="ArialMT" w:cs="ArialMT"/>
          <w:sz w:val="20"/>
          <w:szCs w:val="20"/>
        </w:rPr>
        <w:t>En este marco, las presiones inflacionarias en la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región se redujeron, lo que abrió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espacios a los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bancos centrales p</w:t>
      </w:r>
      <w:r>
        <w:rPr>
          <w:rFonts w:ascii="Arial" w:hAnsi="Arial" w:cs="Arial"/>
          <w:sz w:val="20"/>
          <w:szCs w:val="20"/>
        </w:rPr>
        <w:t xml:space="preserve">ara adoptar medidas de estímulo monetario, con el propósito de impulsar la actividad </w:t>
      </w:r>
      <w:r>
        <w:rPr>
          <w:rFonts w:ascii="Arial" w:hAnsi="Arial" w:cs="Arial"/>
          <w:sz w:val="20"/>
          <w:szCs w:val="20"/>
        </w:rPr>
        <w:t>económica. Destaca</w:t>
      </w:r>
      <w:r>
        <w:rPr>
          <w:rFonts w:ascii="Arial" w:hAnsi="Arial" w:cs="Arial"/>
          <w:sz w:val="20"/>
          <w:szCs w:val="20"/>
        </w:rPr>
        <w:t xml:space="preserve"> Bolivia con una de las mayores expansiones esperadas para 2017 y la menor </w:t>
      </w:r>
      <w:r>
        <w:rPr>
          <w:rFonts w:ascii="ArialMT" w:hAnsi="ArialMT" w:cs="ArialMT"/>
          <w:sz w:val="20"/>
          <w:szCs w:val="20"/>
        </w:rPr>
        <w:t>inflación acumulada de la región al primer semestre.</w:t>
      </w:r>
      <w:r>
        <w:rPr>
          <w:rFonts w:ascii="Arial" w:hAnsi="Arial" w:cs="Arial"/>
          <w:sz w:val="20"/>
          <w:szCs w:val="20"/>
        </w:rPr>
        <w:t xml:space="preserve"> </w:t>
      </w: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En este marco regional </w:t>
      </w:r>
      <w:r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e débil recuperación y </w:t>
      </w:r>
      <w:r>
        <w:rPr>
          <w:rFonts w:ascii="Arial" w:hAnsi="Arial" w:cs="Arial"/>
          <w:sz w:val="20"/>
          <w:szCs w:val="20"/>
        </w:rPr>
        <w:t>alzas moderadas</w:t>
      </w:r>
      <w:r>
        <w:rPr>
          <w:rFonts w:ascii="Arial" w:hAnsi="Arial" w:cs="Arial"/>
          <w:sz w:val="20"/>
          <w:szCs w:val="20"/>
        </w:rPr>
        <w:t xml:space="preserve"> en los precios internacionales de las materias primas durante el primer semestre </w:t>
      </w:r>
      <w:r>
        <w:rPr>
          <w:rFonts w:ascii="Arial" w:hAnsi="Arial" w:cs="Arial"/>
          <w:sz w:val="20"/>
          <w:szCs w:val="20"/>
        </w:rPr>
        <w:t>de 2017, las au</w:t>
      </w:r>
      <w:r>
        <w:rPr>
          <w:rFonts w:ascii="Arial" w:hAnsi="Arial" w:cs="Arial"/>
          <w:sz w:val="20"/>
          <w:szCs w:val="20"/>
        </w:rPr>
        <w:t xml:space="preserve">toridades nacionales decidieron </w:t>
      </w:r>
      <w:r>
        <w:rPr>
          <w:rFonts w:ascii="Arial" w:hAnsi="Arial" w:cs="Arial"/>
          <w:sz w:val="20"/>
          <w:szCs w:val="20"/>
        </w:rPr>
        <w:t xml:space="preserve">mantener políticas </w:t>
      </w:r>
      <w:proofErr w:type="spellStart"/>
      <w:r>
        <w:rPr>
          <w:rFonts w:ascii="Arial" w:hAnsi="Arial" w:cs="Arial"/>
          <w:sz w:val="20"/>
          <w:szCs w:val="20"/>
        </w:rPr>
        <w:t>cont</w:t>
      </w:r>
      <w:r>
        <w:rPr>
          <w:rFonts w:ascii="Arial" w:hAnsi="Arial" w:cs="Arial"/>
          <w:sz w:val="20"/>
          <w:szCs w:val="20"/>
        </w:rPr>
        <w:t>racíclicas</w:t>
      </w:r>
      <w:proofErr w:type="spellEnd"/>
      <w:r>
        <w:rPr>
          <w:rFonts w:ascii="Arial" w:hAnsi="Arial" w:cs="Arial"/>
          <w:sz w:val="20"/>
          <w:szCs w:val="20"/>
        </w:rPr>
        <w:t xml:space="preserve"> dirigidas a sostener </w:t>
      </w:r>
      <w:r>
        <w:rPr>
          <w:rFonts w:ascii="Arial" w:hAnsi="Arial" w:cs="Arial"/>
          <w:sz w:val="20"/>
          <w:szCs w:val="20"/>
        </w:rPr>
        <w:t>el dinamismo de la actividad econó</w:t>
      </w:r>
      <w:r>
        <w:rPr>
          <w:rFonts w:ascii="Arial" w:hAnsi="Arial" w:cs="Arial"/>
          <w:sz w:val="20"/>
          <w:szCs w:val="20"/>
        </w:rPr>
        <w:t xml:space="preserve">mica y la lucha </w:t>
      </w:r>
      <w:r>
        <w:rPr>
          <w:rFonts w:ascii="Arial" w:hAnsi="Arial" w:cs="Arial"/>
          <w:sz w:val="20"/>
          <w:szCs w:val="20"/>
        </w:rPr>
        <w:t>contra la pobreza</w:t>
      </w:r>
      <w:r>
        <w:rPr>
          <w:rFonts w:ascii="Arial" w:hAnsi="Arial" w:cs="Arial"/>
          <w:sz w:val="20"/>
          <w:szCs w:val="20"/>
        </w:rPr>
        <w:t xml:space="preserve">, preservando la estabilidad de </w:t>
      </w:r>
      <w:r>
        <w:rPr>
          <w:rFonts w:ascii="Arial" w:hAnsi="Arial" w:cs="Arial"/>
          <w:sz w:val="20"/>
          <w:szCs w:val="20"/>
        </w:rPr>
        <w:t>precios.</w:t>
      </w: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sentido,</w:t>
      </w:r>
      <w:r>
        <w:rPr>
          <w:rFonts w:ascii="Arial" w:hAnsi="Arial" w:cs="Arial"/>
          <w:sz w:val="20"/>
          <w:szCs w:val="20"/>
        </w:rPr>
        <w:t xml:space="preserve"> en la primera parte del año el </w:t>
      </w:r>
      <w:r>
        <w:rPr>
          <w:rFonts w:ascii="Arial" w:hAnsi="Arial" w:cs="Arial"/>
          <w:sz w:val="20"/>
          <w:szCs w:val="20"/>
        </w:rPr>
        <w:t>BCB mantuvo</w:t>
      </w:r>
      <w:r>
        <w:rPr>
          <w:rFonts w:ascii="Arial" w:hAnsi="Arial" w:cs="Arial"/>
          <w:sz w:val="20"/>
          <w:szCs w:val="20"/>
        </w:rPr>
        <w:t xml:space="preserve"> la orientación expansiva de la política </w:t>
      </w:r>
      <w:r>
        <w:rPr>
          <w:rFonts w:ascii="Arial" w:hAnsi="Arial" w:cs="Arial"/>
          <w:sz w:val="20"/>
          <w:szCs w:val="20"/>
        </w:rPr>
        <w:t>monetar</w:t>
      </w:r>
      <w:r>
        <w:rPr>
          <w:rFonts w:ascii="Arial" w:hAnsi="Arial" w:cs="Arial"/>
          <w:sz w:val="20"/>
          <w:szCs w:val="20"/>
        </w:rPr>
        <w:t xml:space="preserve">ia iniciada a mediados de 2014, </w:t>
      </w:r>
      <w:r>
        <w:rPr>
          <w:rFonts w:ascii="Arial" w:hAnsi="Arial" w:cs="Arial"/>
          <w:sz w:val="20"/>
          <w:szCs w:val="20"/>
        </w:rPr>
        <w:t>precautelando niveles adecuados de liquidez</w:t>
      </w:r>
      <w:r>
        <w:rPr>
          <w:rFonts w:ascii="Arial" w:hAnsi="Arial" w:cs="Arial"/>
          <w:sz w:val="20"/>
          <w:szCs w:val="20"/>
        </w:rPr>
        <w:t xml:space="preserve"> y tasas de </w:t>
      </w:r>
      <w:r>
        <w:rPr>
          <w:rFonts w:ascii="Arial" w:hAnsi="Arial" w:cs="Arial"/>
          <w:sz w:val="20"/>
          <w:szCs w:val="20"/>
        </w:rPr>
        <w:t>interés de título</w:t>
      </w:r>
      <w:r>
        <w:rPr>
          <w:rFonts w:ascii="Arial" w:hAnsi="Arial" w:cs="Arial"/>
          <w:sz w:val="20"/>
          <w:szCs w:val="20"/>
        </w:rPr>
        <w:t xml:space="preserve">s públicos cercanas a cero, con </w:t>
      </w:r>
      <w:r>
        <w:rPr>
          <w:rFonts w:ascii="ArialMT" w:hAnsi="ArialMT" w:cs="ArialMT"/>
          <w:sz w:val="20"/>
          <w:szCs w:val="20"/>
        </w:rPr>
        <w:t>el objetivo de apoyar el dinamismo del crédito del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sistema financiero al sector privado, principalmente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los sector</w:t>
      </w:r>
      <w:r>
        <w:rPr>
          <w:rFonts w:ascii="Arial" w:hAnsi="Arial" w:cs="Arial"/>
          <w:sz w:val="20"/>
          <w:szCs w:val="20"/>
        </w:rPr>
        <w:t xml:space="preserve">es productivos y de vivienda de interés </w:t>
      </w:r>
      <w:r>
        <w:rPr>
          <w:rFonts w:ascii="Arial" w:hAnsi="Arial" w:cs="Arial"/>
          <w:sz w:val="20"/>
          <w:szCs w:val="20"/>
        </w:rPr>
        <w:t>social en co</w:t>
      </w:r>
      <w:r>
        <w:rPr>
          <w:rFonts w:ascii="Arial" w:hAnsi="Arial" w:cs="Arial"/>
          <w:sz w:val="20"/>
          <w:szCs w:val="20"/>
        </w:rPr>
        <w:t xml:space="preserve">nformidad a la Ley de Servicios </w:t>
      </w:r>
      <w:r>
        <w:rPr>
          <w:rFonts w:ascii="ArialMT" w:hAnsi="ArialMT" w:cs="ArialMT"/>
          <w:sz w:val="20"/>
          <w:szCs w:val="20"/>
        </w:rPr>
        <w:t>Financieros.</w:t>
      </w:r>
      <w:r>
        <w:rPr>
          <w:rFonts w:ascii="ArialMT" w:hAnsi="ArialMT" w:cs="ArialMT"/>
          <w:sz w:val="20"/>
          <w:szCs w:val="20"/>
        </w:rPr>
        <w:t xml:space="preserve"> En efecto, se redujo la oferta </w:t>
      </w:r>
      <w:r>
        <w:rPr>
          <w:rFonts w:ascii="ArialMT" w:hAnsi="ArialMT" w:cs="ArialMT"/>
          <w:sz w:val="20"/>
          <w:szCs w:val="20"/>
        </w:rPr>
        <w:t>semanal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títulos de regulación monetaria en subasta a fines</w:t>
      </w:r>
      <w:r>
        <w:rPr>
          <w:rFonts w:ascii="Arial" w:hAnsi="Arial" w:cs="Arial"/>
          <w:sz w:val="20"/>
          <w:szCs w:val="20"/>
        </w:rPr>
        <w:t xml:space="preserve"> de febrero y se realizaron redenciones netas desde </w:t>
      </w:r>
      <w:r>
        <w:rPr>
          <w:rFonts w:ascii="Arial" w:hAnsi="Arial" w:cs="Arial"/>
          <w:sz w:val="20"/>
          <w:szCs w:val="20"/>
        </w:rPr>
        <w:t xml:space="preserve">marzo, en respuesta a </w:t>
      </w:r>
      <w:r>
        <w:rPr>
          <w:rFonts w:ascii="Arial" w:hAnsi="Arial" w:cs="Arial"/>
          <w:sz w:val="20"/>
          <w:szCs w:val="20"/>
        </w:rPr>
        <w:t xml:space="preserve">la caída de la liquidez. Frente </w:t>
      </w:r>
      <w:r>
        <w:rPr>
          <w:rFonts w:ascii="Arial" w:hAnsi="Arial" w:cs="Arial"/>
          <w:sz w:val="20"/>
          <w:szCs w:val="20"/>
        </w:rPr>
        <w:t>a</w:t>
      </w:r>
      <w:r>
        <w:rPr>
          <w:rFonts w:ascii="Arial" w:hAnsi="Arial" w:cs="Arial"/>
          <w:sz w:val="20"/>
          <w:szCs w:val="20"/>
        </w:rPr>
        <w:t xml:space="preserve"> disminuciones </w:t>
      </w:r>
      <w:r>
        <w:rPr>
          <w:rFonts w:ascii="Arial" w:hAnsi="Arial" w:cs="Arial"/>
          <w:sz w:val="20"/>
          <w:szCs w:val="20"/>
        </w:rPr>
        <w:t>má</w:t>
      </w:r>
      <w:r>
        <w:rPr>
          <w:rFonts w:ascii="Arial" w:hAnsi="Arial" w:cs="Arial"/>
          <w:sz w:val="20"/>
          <w:szCs w:val="20"/>
        </w:rPr>
        <w:t xml:space="preserve">s pronunciadas de esta variable </w:t>
      </w:r>
      <w:r>
        <w:rPr>
          <w:rFonts w:ascii="ArialMT" w:hAnsi="ArialMT" w:cs="ArialMT"/>
          <w:sz w:val="20"/>
          <w:szCs w:val="20"/>
        </w:rPr>
        <w:t>en abril y mayo se aplicaron medidas adicionales;</w:t>
      </w:r>
      <w:r>
        <w:rPr>
          <w:rFonts w:ascii="Arial" w:hAnsi="Arial" w:cs="Arial"/>
          <w:sz w:val="20"/>
          <w:szCs w:val="20"/>
        </w:rPr>
        <w:t xml:space="preserve"> no se </w:t>
      </w:r>
      <w:r>
        <w:rPr>
          <w:rFonts w:ascii="Arial" w:hAnsi="Arial" w:cs="Arial"/>
          <w:sz w:val="20"/>
          <w:szCs w:val="20"/>
        </w:rPr>
        <w:t>realizaron coloca</w:t>
      </w:r>
      <w:r>
        <w:rPr>
          <w:rFonts w:ascii="Arial" w:hAnsi="Arial" w:cs="Arial"/>
          <w:sz w:val="20"/>
          <w:szCs w:val="20"/>
        </w:rPr>
        <w:t xml:space="preserve">ciones de títulos, la oferta de </w:t>
      </w:r>
      <w:r>
        <w:rPr>
          <w:rFonts w:ascii="Arial" w:hAnsi="Arial" w:cs="Arial"/>
          <w:sz w:val="20"/>
          <w:szCs w:val="20"/>
        </w:rPr>
        <w:t>estos instrumentos</w:t>
      </w:r>
      <w:r>
        <w:rPr>
          <w:rFonts w:ascii="Arial" w:hAnsi="Arial" w:cs="Arial"/>
          <w:sz w:val="20"/>
          <w:szCs w:val="20"/>
        </w:rPr>
        <w:t xml:space="preserve"> fue nuevamente disminuida y se </w:t>
      </w:r>
      <w:r>
        <w:rPr>
          <w:rFonts w:ascii="ArialMT" w:hAnsi="ArialMT" w:cs="ArialMT"/>
          <w:sz w:val="20"/>
          <w:szCs w:val="20"/>
        </w:rPr>
        <w:t>ejerció la opción de redención anticipada de títulos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reclamables. C</w:t>
      </w:r>
      <w:r>
        <w:rPr>
          <w:rFonts w:ascii="Arial" w:hAnsi="Arial" w:cs="Arial"/>
          <w:sz w:val="20"/>
          <w:szCs w:val="20"/>
        </w:rPr>
        <w:t xml:space="preserve">omplementariamente, se facilitó el </w:t>
      </w:r>
      <w:r>
        <w:rPr>
          <w:rFonts w:ascii="Arial" w:hAnsi="Arial" w:cs="Arial"/>
          <w:sz w:val="20"/>
          <w:szCs w:val="20"/>
        </w:rPr>
        <w:t>acceso de las EIF a las v</w:t>
      </w:r>
      <w:r>
        <w:rPr>
          <w:rFonts w:ascii="Arial" w:hAnsi="Arial" w:cs="Arial"/>
          <w:sz w:val="20"/>
          <w:szCs w:val="20"/>
        </w:rPr>
        <w:t xml:space="preserve">entanillas de créditos del BCB, </w:t>
      </w:r>
      <w:r>
        <w:rPr>
          <w:rFonts w:ascii="Arial" w:hAnsi="Arial" w:cs="Arial"/>
          <w:sz w:val="20"/>
          <w:szCs w:val="20"/>
        </w:rPr>
        <w:t>dotando recursos para las operaciones de reporto y los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créditos con garant</w:t>
      </w:r>
      <w:r>
        <w:rPr>
          <w:rFonts w:ascii="Arial" w:hAnsi="Arial" w:cs="Arial"/>
          <w:sz w:val="20"/>
          <w:szCs w:val="20"/>
        </w:rPr>
        <w:t xml:space="preserve">ía del Fondo RAL y disminuyendo las tasas de ambos </w:t>
      </w:r>
      <w:r>
        <w:rPr>
          <w:rFonts w:ascii="Arial" w:hAnsi="Arial" w:cs="Arial"/>
          <w:sz w:val="20"/>
          <w:szCs w:val="20"/>
        </w:rPr>
        <w:t>instrumentos. Asimismo, s</w:t>
      </w:r>
      <w:r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MT" w:hAnsi="ArialMT" w:cs="ArialMT"/>
          <w:sz w:val="20"/>
          <w:szCs w:val="20"/>
        </w:rPr>
        <w:t>realizaron modificaciones al Reglamento de Encaje</w:t>
      </w:r>
      <w:r>
        <w:rPr>
          <w:rFonts w:ascii="Arial" w:hAnsi="Arial" w:cs="Arial"/>
          <w:sz w:val="20"/>
          <w:szCs w:val="20"/>
        </w:rPr>
        <w:t xml:space="preserve"> Legal, liberando recursos para la constitución </w:t>
      </w:r>
      <w:r>
        <w:rPr>
          <w:rFonts w:ascii="Arial" w:hAnsi="Arial" w:cs="Arial"/>
          <w:sz w:val="20"/>
          <w:szCs w:val="20"/>
        </w:rPr>
        <w:t>del Fondo par</w:t>
      </w:r>
      <w:r>
        <w:rPr>
          <w:rFonts w:ascii="Arial" w:hAnsi="Arial" w:cs="Arial"/>
          <w:sz w:val="20"/>
          <w:szCs w:val="20"/>
        </w:rPr>
        <w:t xml:space="preserve">a Créditos destinados al Sector Productivo y a Vivienda de Interés Social (FCPVIS), </w:t>
      </w:r>
      <w:r>
        <w:rPr>
          <w:rFonts w:ascii="ArialMT" w:hAnsi="ArialMT" w:cs="ArialMT"/>
          <w:sz w:val="20"/>
          <w:szCs w:val="20"/>
        </w:rPr>
        <w:t>lo que permitió a las EIF obtener financiamiento 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condicio</w:t>
      </w:r>
      <w:r>
        <w:rPr>
          <w:rFonts w:ascii="ArialMT" w:hAnsi="ArialMT" w:cs="ArialMT"/>
          <w:sz w:val="20"/>
          <w:szCs w:val="20"/>
        </w:rPr>
        <w:t xml:space="preserve">nes </w:t>
      </w:r>
      <w:r>
        <w:rPr>
          <w:rFonts w:ascii="ArialMT" w:hAnsi="ArialMT" w:cs="ArialMT"/>
          <w:sz w:val="20"/>
          <w:szCs w:val="20"/>
        </w:rPr>
        <w:t>ventajosas para incrementar la cartera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créditos a estos d</w:t>
      </w:r>
      <w:r>
        <w:rPr>
          <w:rFonts w:ascii="Arial" w:hAnsi="Arial" w:cs="Arial"/>
          <w:sz w:val="20"/>
          <w:szCs w:val="20"/>
        </w:rPr>
        <w:t xml:space="preserve">estinos en conformidad a la Ley de </w:t>
      </w:r>
      <w:r>
        <w:rPr>
          <w:rFonts w:ascii="Arial" w:hAnsi="Arial" w:cs="Arial"/>
          <w:sz w:val="20"/>
          <w:szCs w:val="20"/>
        </w:rPr>
        <w:t>Servicios Financieros.</w:t>
      </w: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1F0F" w:rsidRP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Con relación a </w:t>
      </w:r>
      <w:r>
        <w:rPr>
          <w:rFonts w:ascii="Arial" w:hAnsi="Arial" w:cs="Arial"/>
          <w:sz w:val="20"/>
          <w:szCs w:val="20"/>
        </w:rPr>
        <w:t xml:space="preserve">la política cambiaria, frente a </w:t>
      </w:r>
      <w:r>
        <w:rPr>
          <w:rFonts w:ascii="Arial" w:hAnsi="Arial" w:cs="Arial"/>
          <w:sz w:val="20"/>
          <w:szCs w:val="20"/>
        </w:rPr>
        <w:t>paridades cambia</w:t>
      </w:r>
      <w:r>
        <w:rPr>
          <w:rFonts w:ascii="Arial" w:hAnsi="Arial" w:cs="Arial"/>
          <w:sz w:val="20"/>
          <w:szCs w:val="20"/>
        </w:rPr>
        <w:t xml:space="preserve">rias volátiles en la región, la política </w:t>
      </w:r>
      <w:r>
        <w:rPr>
          <w:rFonts w:ascii="Arial" w:hAnsi="Arial" w:cs="Arial"/>
          <w:sz w:val="20"/>
          <w:szCs w:val="20"/>
        </w:rPr>
        <w:t>de estabilidad del tipo de cam</w:t>
      </w:r>
      <w:r>
        <w:rPr>
          <w:rFonts w:ascii="Arial" w:hAnsi="Arial" w:cs="Arial"/>
          <w:sz w:val="20"/>
          <w:szCs w:val="20"/>
        </w:rPr>
        <w:t xml:space="preserve">bio en el país </w:t>
      </w:r>
      <w:r>
        <w:rPr>
          <w:rFonts w:ascii="Arial" w:hAnsi="Arial" w:cs="Arial"/>
          <w:sz w:val="20"/>
          <w:szCs w:val="20"/>
        </w:rPr>
        <w:t>ancló las expectativas</w:t>
      </w:r>
      <w:r>
        <w:rPr>
          <w:rFonts w:ascii="Arial" w:hAnsi="Arial" w:cs="Arial"/>
          <w:sz w:val="20"/>
          <w:szCs w:val="20"/>
        </w:rPr>
        <w:t xml:space="preserve"> del público sobre el valor del </w:t>
      </w:r>
      <w:r>
        <w:rPr>
          <w:rFonts w:ascii="ArialMT" w:hAnsi="ArialMT" w:cs="ArialMT"/>
          <w:sz w:val="20"/>
          <w:szCs w:val="20"/>
        </w:rPr>
        <w:t>dólar, permitió mantener baja la inflación y favoreció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la orientación expansiva de la polí</w:t>
      </w:r>
      <w:r>
        <w:rPr>
          <w:rFonts w:ascii="ArialMT" w:hAnsi="ArialMT" w:cs="ArialMT"/>
          <w:sz w:val="20"/>
          <w:szCs w:val="20"/>
        </w:rPr>
        <w:t xml:space="preserve">tica </w:t>
      </w:r>
      <w:r>
        <w:rPr>
          <w:rFonts w:ascii="ArialMT" w:hAnsi="ArialMT" w:cs="ArialMT"/>
          <w:sz w:val="20"/>
          <w:szCs w:val="20"/>
        </w:rPr>
        <w:t>monetaria;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asimismo, contribuyó</w:t>
      </w:r>
      <w:r>
        <w:rPr>
          <w:rFonts w:ascii="Arial" w:hAnsi="Arial" w:cs="Arial"/>
          <w:sz w:val="20"/>
          <w:szCs w:val="20"/>
        </w:rPr>
        <w:t xml:space="preserve"> a la consolidación del proceso de </w:t>
      </w:r>
      <w:proofErr w:type="spellStart"/>
      <w:r>
        <w:rPr>
          <w:rFonts w:ascii="Arial" w:hAnsi="Arial" w:cs="Arial"/>
          <w:sz w:val="20"/>
          <w:szCs w:val="20"/>
        </w:rPr>
        <w:t>Bolivianización</w:t>
      </w:r>
      <w:proofErr w:type="spellEnd"/>
      <w:r>
        <w:rPr>
          <w:rFonts w:ascii="Arial" w:hAnsi="Arial" w:cs="Arial"/>
          <w:sz w:val="20"/>
          <w:szCs w:val="20"/>
        </w:rPr>
        <w:t xml:space="preserve">. Estos resultados positivos se </w:t>
      </w:r>
      <w:r>
        <w:rPr>
          <w:rFonts w:ascii="Arial" w:hAnsi="Arial" w:cs="Arial"/>
          <w:sz w:val="20"/>
          <w:szCs w:val="20"/>
        </w:rPr>
        <w:t>lograron sin que se h</w:t>
      </w:r>
      <w:r>
        <w:rPr>
          <w:rFonts w:ascii="Arial" w:hAnsi="Arial" w:cs="Arial"/>
          <w:sz w:val="20"/>
          <w:szCs w:val="20"/>
        </w:rPr>
        <w:t xml:space="preserve">ayan producido </w:t>
      </w:r>
      <w:proofErr w:type="spellStart"/>
      <w:r>
        <w:rPr>
          <w:rFonts w:ascii="Arial" w:hAnsi="Arial" w:cs="Arial"/>
          <w:sz w:val="20"/>
          <w:szCs w:val="20"/>
        </w:rPr>
        <w:t>desalineamientos</w:t>
      </w:r>
      <w:proofErr w:type="spellEnd"/>
      <w:r>
        <w:rPr>
          <w:rFonts w:ascii="Arial" w:hAnsi="Arial" w:cs="Arial"/>
          <w:sz w:val="20"/>
          <w:szCs w:val="20"/>
        </w:rPr>
        <w:t xml:space="preserve"> del tipo de cambio </w:t>
      </w:r>
      <w:r>
        <w:rPr>
          <w:rFonts w:ascii="Arial" w:hAnsi="Arial" w:cs="Arial"/>
          <w:sz w:val="20"/>
          <w:szCs w:val="20"/>
        </w:rPr>
        <w:t>rea</w:t>
      </w:r>
      <w:r>
        <w:rPr>
          <w:rFonts w:ascii="Arial" w:hAnsi="Arial" w:cs="Arial"/>
          <w:sz w:val="20"/>
          <w:szCs w:val="20"/>
        </w:rPr>
        <w:t xml:space="preserve">l respecto de su nivel de largo </w:t>
      </w:r>
      <w:r>
        <w:rPr>
          <w:rFonts w:ascii="Arial" w:hAnsi="Arial" w:cs="Arial"/>
          <w:sz w:val="20"/>
          <w:szCs w:val="20"/>
        </w:rPr>
        <w:t>plazo determinad</w:t>
      </w:r>
      <w:r>
        <w:rPr>
          <w:rFonts w:ascii="Arial" w:hAnsi="Arial" w:cs="Arial"/>
          <w:sz w:val="20"/>
          <w:szCs w:val="20"/>
        </w:rPr>
        <w:t xml:space="preserve">o por sus fundamentos. De igual forma, se </w:t>
      </w:r>
      <w:r>
        <w:rPr>
          <w:rFonts w:ascii="Arial" w:hAnsi="Arial" w:cs="Arial"/>
          <w:sz w:val="20"/>
          <w:szCs w:val="20"/>
        </w:rPr>
        <w:t>impleme</w:t>
      </w:r>
      <w:r>
        <w:rPr>
          <w:rFonts w:ascii="Arial" w:hAnsi="Arial" w:cs="Arial"/>
          <w:sz w:val="20"/>
          <w:szCs w:val="20"/>
        </w:rPr>
        <w:t xml:space="preserve">ntaron medidas adicionales para </w:t>
      </w:r>
      <w:r>
        <w:rPr>
          <w:rFonts w:ascii="Arial" w:hAnsi="Arial" w:cs="Arial"/>
          <w:sz w:val="20"/>
          <w:szCs w:val="20"/>
        </w:rPr>
        <w:t>complementar la orien</w:t>
      </w:r>
      <w:r>
        <w:rPr>
          <w:rFonts w:ascii="Arial" w:hAnsi="Arial" w:cs="Arial"/>
          <w:sz w:val="20"/>
          <w:szCs w:val="20"/>
        </w:rPr>
        <w:t xml:space="preserve">tación expansiva de la política </w:t>
      </w:r>
      <w:r>
        <w:rPr>
          <w:rFonts w:ascii="ArialMT" w:hAnsi="ArialMT" w:cs="ArialMT"/>
          <w:sz w:val="20"/>
          <w:szCs w:val="20"/>
        </w:rPr>
        <w:t>monetaria y ralentizar el flujo de divisas al exterior.</w:t>
      </w: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lastRenderedPageBreak/>
        <w:t>En coordinación con el Ó</w:t>
      </w:r>
      <w:r>
        <w:rPr>
          <w:rFonts w:ascii="ArialMT" w:hAnsi="ArialMT" w:cs="ArialMT"/>
          <w:sz w:val="20"/>
          <w:szCs w:val="20"/>
        </w:rPr>
        <w:t xml:space="preserve">rgano Ejecutivo, el BCB </w:t>
      </w:r>
      <w:r>
        <w:rPr>
          <w:rFonts w:ascii="Arial" w:hAnsi="Arial" w:cs="Arial"/>
          <w:sz w:val="20"/>
          <w:szCs w:val="20"/>
        </w:rPr>
        <w:t>continuó apor</w:t>
      </w:r>
      <w:r>
        <w:rPr>
          <w:rFonts w:ascii="Arial" w:hAnsi="Arial" w:cs="Arial"/>
          <w:sz w:val="20"/>
          <w:szCs w:val="20"/>
        </w:rPr>
        <w:t xml:space="preserve">tando al desarrollo económico y </w:t>
      </w:r>
      <w:r>
        <w:rPr>
          <w:rFonts w:ascii="Arial" w:hAnsi="Arial" w:cs="Arial"/>
          <w:sz w:val="20"/>
          <w:szCs w:val="20"/>
        </w:rPr>
        <w:t>social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del país a través del financiamiento a las EPNE q</w:t>
      </w:r>
      <w:r>
        <w:rPr>
          <w:rFonts w:ascii="ArialMT" w:hAnsi="ArialMT" w:cs="ArialMT"/>
          <w:sz w:val="20"/>
          <w:szCs w:val="20"/>
        </w:rPr>
        <w:t xml:space="preserve">ue </w:t>
      </w:r>
      <w:r>
        <w:rPr>
          <w:rFonts w:ascii="Arial" w:hAnsi="Arial" w:cs="Arial"/>
          <w:sz w:val="20"/>
          <w:szCs w:val="20"/>
        </w:rPr>
        <w:t>estuvo d</w:t>
      </w:r>
      <w:r>
        <w:rPr>
          <w:rFonts w:ascii="Arial" w:hAnsi="Arial" w:cs="Arial"/>
          <w:sz w:val="20"/>
          <w:szCs w:val="20"/>
        </w:rPr>
        <w:t xml:space="preserve">irigido principalmente a apoyar </w:t>
      </w:r>
      <w:r>
        <w:rPr>
          <w:rFonts w:ascii="Arial" w:hAnsi="Arial" w:cs="Arial"/>
          <w:sz w:val="20"/>
          <w:szCs w:val="20"/>
        </w:rPr>
        <w:t>la seguridad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energética y la industrialización de nuestros recursos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na</w:t>
      </w:r>
      <w:r>
        <w:rPr>
          <w:rFonts w:ascii="Arial" w:hAnsi="Arial" w:cs="Arial"/>
          <w:sz w:val="20"/>
          <w:szCs w:val="20"/>
        </w:rPr>
        <w:t xml:space="preserve">turales. Asimismo, los créditos </w:t>
      </w:r>
      <w:r>
        <w:rPr>
          <w:rFonts w:ascii="Arial" w:hAnsi="Arial" w:cs="Arial"/>
          <w:sz w:val="20"/>
          <w:szCs w:val="20"/>
        </w:rPr>
        <w:t>otorgados a las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gobernaciones y municipios a través del Fideicomiso</w:t>
      </w:r>
      <w:r>
        <w:rPr>
          <w:rFonts w:ascii="ArialMT" w:hAnsi="ArialMT" w:cs="ArialMT"/>
          <w:sz w:val="20"/>
          <w:szCs w:val="20"/>
        </w:rPr>
        <w:t xml:space="preserve"> del FNDR se destinaron </w:t>
      </w:r>
      <w:r>
        <w:rPr>
          <w:rFonts w:ascii="ArialMT" w:hAnsi="ArialMT" w:cs="ArialMT"/>
          <w:sz w:val="20"/>
          <w:szCs w:val="20"/>
        </w:rPr>
        <w:t>principalmente a fin</w:t>
      </w:r>
      <w:r>
        <w:rPr>
          <w:rFonts w:ascii="ArialMT" w:hAnsi="ArialMT" w:cs="ArialMT"/>
          <w:sz w:val="20"/>
          <w:szCs w:val="20"/>
        </w:rPr>
        <w:t xml:space="preserve">anciar </w:t>
      </w:r>
      <w:r>
        <w:rPr>
          <w:rFonts w:ascii="Arial" w:hAnsi="Arial" w:cs="Arial"/>
          <w:sz w:val="20"/>
          <w:szCs w:val="20"/>
        </w:rPr>
        <w:t>proyectos de infraestructura. Igualmente, se</w:t>
      </w:r>
      <w:r>
        <w:rPr>
          <w:rFonts w:ascii="ArialMT" w:hAnsi="ArialMT" w:cs="ArialMT"/>
          <w:sz w:val="20"/>
          <w:szCs w:val="20"/>
        </w:rPr>
        <w:t xml:space="preserve"> mantuvieron los financiamientos otorgados por </w:t>
      </w:r>
      <w:r>
        <w:rPr>
          <w:rFonts w:ascii="Arial" w:hAnsi="Arial" w:cs="Arial"/>
          <w:sz w:val="20"/>
          <w:szCs w:val="20"/>
        </w:rPr>
        <w:t>FINPRO y los recursos entregados para el pago del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Bono Juana </w:t>
      </w:r>
      <w:r>
        <w:rPr>
          <w:rFonts w:ascii="Arial" w:hAnsi="Arial" w:cs="Arial"/>
          <w:sz w:val="20"/>
          <w:szCs w:val="20"/>
        </w:rPr>
        <w:t>Azurduy, pilar importante dentro de los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programas de protección social y de redistribución del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ingreso.</w:t>
      </w:r>
    </w:p>
    <w:p w:rsidR="00DC0611" w:rsidRPr="00041F0F" w:rsidRDefault="00DC0611" w:rsidP="00041F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relación al co</w:t>
      </w:r>
      <w:r w:rsidR="00DC0611">
        <w:rPr>
          <w:rFonts w:ascii="Arial" w:hAnsi="Arial" w:cs="Arial"/>
          <w:sz w:val="20"/>
          <w:szCs w:val="20"/>
        </w:rPr>
        <w:t xml:space="preserve">mportamiento de los precios, la </w:t>
      </w:r>
      <w:r>
        <w:rPr>
          <w:rFonts w:ascii="ArialMT" w:hAnsi="ArialMT" w:cs="ArialMT"/>
          <w:sz w:val="20"/>
          <w:szCs w:val="20"/>
        </w:rPr>
        <w:t>inflación interanual estuvo acorde con lo esperado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hasta marzo. Sin embargo, a partir de abril se produjo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una caída en la trayectoria de la inflació</w:t>
      </w:r>
      <w:r w:rsidR="00DC0611">
        <w:rPr>
          <w:rFonts w:ascii="ArialMT" w:hAnsi="ArialMT" w:cs="ArialMT"/>
          <w:sz w:val="20"/>
          <w:szCs w:val="20"/>
        </w:rPr>
        <w:t xml:space="preserve">n por </w:t>
      </w:r>
      <w:r>
        <w:rPr>
          <w:rFonts w:ascii="ArialMT" w:hAnsi="ArialMT" w:cs="ArialMT"/>
          <w:sz w:val="20"/>
          <w:szCs w:val="20"/>
        </w:rPr>
        <w:t>debajo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del rango de proyección. Este resultado</w:t>
      </w:r>
      <w:r w:rsidR="00DC0611">
        <w:rPr>
          <w:rFonts w:ascii="Arial" w:hAnsi="Arial" w:cs="Arial"/>
          <w:sz w:val="20"/>
          <w:szCs w:val="20"/>
        </w:rPr>
        <w:t xml:space="preserve"> estuvo </w:t>
      </w:r>
      <w:r>
        <w:rPr>
          <w:rFonts w:ascii="Arial" w:hAnsi="Arial" w:cs="Arial"/>
          <w:sz w:val="20"/>
          <w:szCs w:val="20"/>
        </w:rPr>
        <w:t>explicado</w:t>
      </w:r>
      <w:r w:rsidR="00DC0611">
        <w:rPr>
          <w:rFonts w:ascii="Arial" w:hAnsi="Arial" w:cs="Arial"/>
          <w:sz w:val="20"/>
          <w:szCs w:val="20"/>
        </w:rPr>
        <w:t xml:space="preserve"> por el buen año agrícola y una mayor oferta </w:t>
      </w:r>
      <w:r>
        <w:rPr>
          <w:rFonts w:ascii="Arial" w:hAnsi="Arial" w:cs="Arial"/>
          <w:sz w:val="20"/>
          <w:szCs w:val="20"/>
        </w:rPr>
        <w:t>de productos que per</w:t>
      </w:r>
      <w:r w:rsidR="00DC0611">
        <w:rPr>
          <w:rFonts w:ascii="Arial" w:hAnsi="Arial" w:cs="Arial"/>
          <w:sz w:val="20"/>
          <w:szCs w:val="20"/>
        </w:rPr>
        <w:t xml:space="preserve">mitieron una disminución de los precios de los alimentos perecederos, especialmente </w:t>
      </w:r>
      <w:r>
        <w:rPr>
          <w:rFonts w:ascii="ArialMT" w:hAnsi="ArialMT" w:cs="ArialMT"/>
          <w:sz w:val="20"/>
          <w:szCs w:val="20"/>
        </w:rPr>
        <w:t>de la papa y el tomate; expectativas de inflación</w:t>
      </w:r>
      <w:r w:rsidR="00DC0611">
        <w:rPr>
          <w:rFonts w:ascii="Arial" w:hAnsi="Arial" w:cs="Arial"/>
          <w:sz w:val="20"/>
          <w:szCs w:val="20"/>
        </w:rPr>
        <w:t xml:space="preserve"> </w:t>
      </w:r>
      <w:r w:rsidR="00DC0611">
        <w:rPr>
          <w:rFonts w:ascii="ArialMT" w:hAnsi="ArialMT" w:cs="ArialMT"/>
          <w:sz w:val="20"/>
          <w:szCs w:val="20"/>
        </w:rPr>
        <w:t xml:space="preserve">dentro del rango de </w:t>
      </w:r>
      <w:r>
        <w:rPr>
          <w:rFonts w:ascii="ArialMT" w:hAnsi="ArialMT" w:cs="ArialMT"/>
          <w:sz w:val="20"/>
          <w:szCs w:val="20"/>
        </w:rPr>
        <w:t>proyección; estabilidad del tipo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 cambio; y variaciones moderadas de precios de</w:t>
      </w:r>
      <w:r w:rsidR="00DC0611">
        <w:rPr>
          <w:rFonts w:ascii="Arial" w:hAnsi="Arial" w:cs="Arial"/>
          <w:sz w:val="20"/>
          <w:szCs w:val="20"/>
        </w:rPr>
        <w:t xml:space="preserve"> </w:t>
      </w:r>
      <w:r w:rsidR="00DC0611">
        <w:rPr>
          <w:rFonts w:ascii="ArialMT" w:hAnsi="ArialMT" w:cs="ArialMT"/>
          <w:sz w:val="20"/>
          <w:szCs w:val="20"/>
        </w:rPr>
        <w:t xml:space="preserve">los servicios. En </w:t>
      </w:r>
      <w:r>
        <w:rPr>
          <w:rFonts w:ascii="ArialMT" w:hAnsi="ArialMT" w:cs="ArialMT"/>
          <w:sz w:val="20"/>
          <w:szCs w:val="20"/>
        </w:rPr>
        <w:t>este marco, la inflación acumulada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en los primeros seis meses (0,14%), registró el nivel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má</w:t>
      </w:r>
      <w:r w:rsidR="00DC0611">
        <w:rPr>
          <w:rFonts w:ascii="ArialMT" w:hAnsi="ArialMT" w:cs="ArialMT"/>
          <w:sz w:val="20"/>
          <w:szCs w:val="20"/>
        </w:rPr>
        <w:t xml:space="preserve">s bajo </w:t>
      </w:r>
      <w:r>
        <w:rPr>
          <w:rFonts w:ascii="ArialMT" w:hAnsi="ArialMT" w:cs="ArialMT"/>
          <w:sz w:val="20"/>
          <w:szCs w:val="20"/>
        </w:rPr>
        <w:t>desde 2009 y a nivel regional.</w:t>
      </w:r>
    </w:p>
    <w:p w:rsidR="00DC0611" w:rsidRPr="00DC0611" w:rsidRDefault="00DC0611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0611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este panora</w:t>
      </w:r>
      <w:r w:rsidR="00DC0611">
        <w:rPr>
          <w:rFonts w:ascii="Arial" w:hAnsi="Arial" w:cs="Arial"/>
          <w:sz w:val="20"/>
          <w:szCs w:val="20"/>
        </w:rPr>
        <w:t xml:space="preserve">ma de leve recuperación mundial </w:t>
      </w:r>
      <w:r>
        <w:rPr>
          <w:rFonts w:ascii="ArialMT" w:hAnsi="ArialMT" w:cs="ArialMT"/>
          <w:sz w:val="20"/>
          <w:szCs w:val="20"/>
        </w:rPr>
        <w:t>y perspectivas de crecimiento revisadas a la baja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a nivel regional,</w:t>
      </w:r>
      <w:r w:rsidR="00DC0611">
        <w:rPr>
          <w:rFonts w:ascii="Arial" w:hAnsi="Arial" w:cs="Arial"/>
          <w:sz w:val="20"/>
          <w:szCs w:val="20"/>
        </w:rPr>
        <w:t xml:space="preserve"> Bolivia mantuvo un crecimiento </w:t>
      </w:r>
      <w:r>
        <w:rPr>
          <w:rFonts w:ascii="Arial" w:hAnsi="Arial" w:cs="Arial"/>
          <w:sz w:val="20"/>
          <w:szCs w:val="20"/>
        </w:rPr>
        <w:t>sostenido basado e</w:t>
      </w:r>
      <w:r w:rsidR="00DC0611">
        <w:rPr>
          <w:rFonts w:ascii="Arial" w:hAnsi="Arial" w:cs="Arial"/>
          <w:sz w:val="20"/>
          <w:szCs w:val="20"/>
        </w:rPr>
        <w:t xml:space="preserve">n los sectores relacionados con </w:t>
      </w:r>
      <w:r>
        <w:rPr>
          <w:rFonts w:ascii="ArialMT" w:hAnsi="ArialMT" w:cs="ArialMT"/>
          <w:sz w:val="20"/>
          <w:szCs w:val="20"/>
        </w:rPr>
        <w:t>los impulsos de las políticas fiscal y monetaria y, por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tanto, con l</w:t>
      </w:r>
      <w:r w:rsidR="00DC0611">
        <w:rPr>
          <w:rFonts w:ascii="Arial" w:hAnsi="Arial" w:cs="Arial"/>
          <w:sz w:val="20"/>
          <w:szCs w:val="20"/>
        </w:rPr>
        <w:t xml:space="preserve">a demanda interna. En el primer </w:t>
      </w:r>
      <w:r>
        <w:rPr>
          <w:rFonts w:ascii="Arial" w:hAnsi="Arial" w:cs="Arial"/>
          <w:sz w:val="20"/>
          <w:szCs w:val="20"/>
        </w:rPr>
        <w:t>trimestr</w:t>
      </w:r>
      <w:r w:rsidR="00DC0611">
        <w:rPr>
          <w:rFonts w:ascii="Arial" w:hAnsi="Arial" w:cs="Arial"/>
          <w:sz w:val="20"/>
          <w:szCs w:val="20"/>
        </w:rPr>
        <w:t xml:space="preserve">e </w:t>
      </w:r>
      <w:r>
        <w:rPr>
          <w:rFonts w:ascii="ArialMT" w:hAnsi="ArialMT" w:cs="ArialMT"/>
          <w:sz w:val="20"/>
          <w:szCs w:val="20"/>
        </w:rPr>
        <w:t>de 2017 la actividad económica creció en 3,3%, una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la</w:t>
      </w:r>
      <w:r w:rsidR="00DC0611">
        <w:rPr>
          <w:rFonts w:ascii="Arial" w:hAnsi="Arial" w:cs="Arial"/>
          <w:sz w:val="20"/>
          <w:szCs w:val="20"/>
        </w:rPr>
        <w:t xml:space="preserve">s tasas más altas de la región, destacando el </w:t>
      </w:r>
      <w:r>
        <w:rPr>
          <w:rFonts w:ascii="Arial" w:hAnsi="Arial" w:cs="Arial"/>
          <w:sz w:val="20"/>
          <w:szCs w:val="20"/>
        </w:rPr>
        <w:t xml:space="preserve">mayor dinamismo del </w:t>
      </w:r>
      <w:r w:rsidR="00DC0611">
        <w:rPr>
          <w:rFonts w:ascii="Arial" w:hAnsi="Arial" w:cs="Arial"/>
          <w:sz w:val="20"/>
          <w:szCs w:val="20"/>
        </w:rPr>
        <w:t xml:space="preserve">sector agropecuario por el buen año agrícola. Asimismo, se registraron crecimientos </w:t>
      </w:r>
      <w:r>
        <w:rPr>
          <w:rFonts w:ascii="Arial" w:hAnsi="Arial" w:cs="Arial"/>
          <w:sz w:val="20"/>
          <w:szCs w:val="20"/>
        </w:rPr>
        <w:t xml:space="preserve">importantes de </w:t>
      </w:r>
      <w:r w:rsidR="00DC0611">
        <w:rPr>
          <w:rFonts w:ascii="Arial" w:hAnsi="Arial" w:cs="Arial"/>
          <w:sz w:val="20"/>
          <w:szCs w:val="20"/>
        </w:rPr>
        <w:t xml:space="preserve">los sectores no extractivos que </w:t>
      </w:r>
      <w:r>
        <w:rPr>
          <w:rFonts w:ascii="ArialMT" w:hAnsi="ArialMT" w:cs="ArialMT"/>
          <w:sz w:val="20"/>
          <w:szCs w:val="20"/>
        </w:rPr>
        <w:t>f</w:t>
      </w:r>
      <w:r w:rsidR="00DC0611">
        <w:rPr>
          <w:rFonts w:ascii="ArialMT" w:hAnsi="ArialMT" w:cs="ArialMT"/>
          <w:sz w:val="20"/>
          <w:szCs w:val="20"/>
        </w:rPr>
        <w:t xml:space="preserve">ueron impulsados por las </w:t>
      </w:r>
      <w:r>
        <w:rPr>
          <w:rFonts w:ascii="ArialMT" w:hAnsi="ArialMT" w:cs="ArialMT"/>
          <w:sz w:val="20"/>
          <w:szCs w:val="20"/>
        </w:rPr>
        <w:t>políticas fiscal y monetaria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expansivas, entre los </w:t>
      </w:r>
      <w:r w:rsidR="00DC0611">
        <w:rPr>
          <w:rFonts w:ascii="Arial" w:hAnsi="Arial" w:cs="Arial"/>
          <w:sz w:val="20"/>
          <w:szCs w:val="20"/>
        </w:rPr>
        <w:t xml:space="preserve">que sobresalen establecimientos </w:t>
      </w:r>
      <w:r w:rsidR="00DC0611">
        <w:rPr>
          <w:rFonts w:ascii="ArialMT" w:hAnsi="ArialMT" w:cs="ArialMT"/>
          <w:sz w:val="20"/>
          <w:szCs w:val="20"/>
        </w:rPr>
        <w:t xml:space="preserve">financieros, </w:t>
      </w:r>
      <w:r>
        <w:rPr>
          <w:rFonts w:ascii="ArialMT" w:hAnsi="ArialMT" w:cs="ArialMT"/>
          <w:sz w:val="20"/>
          <w:szCs w:val="20"/>
        </w:rPr>
        <w:t>transporte, servicios de la administración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pública, industri</w:t>
      </w:r>
      <w:r w:rsidR="00DC0611">
        <w:rPr>
          <w:rFonts w:ascii="Arial" w:hAnsi="Arial" w:cs="Arial"/>
          <w:sz w:val="20"/>
          <w:szCs w:val="20"/>
        </w:rPr>
        <w:t xml:space="preserve">a de alimentos, entre otros. No obstante, </w:t>
      </w:r>
      <w:r>
        <w:rPr>
          <w:rFonts w:ascii="Arial" w:hAnsi="Arial" w:cs="Arial"/>
          <w:sz w:val="20"/>
          <w:szCs w:val="20"/>
        </w:rPr>
        <w:t xml:space="preserve">dos sectores relacionados con la </w:t>
      </w:r>
      <w:r w:rsidR="00DC0611">
        <w:rPr>
          <w:rFonts w:ascii="Arial" w:hAnsi="Arial" w:cs="Arial"/>
          <w:sz w:val="20"/>
          <w:szCs w:val="20"/>
        </w:rPr>
        <w:t xml:space="preserve">demanda </w:t>
      </w:r>
      <w:r>
        <w:rPr>
          <w:rFonts w:ascii="Arial" w:hAnsi="Arial" w:cs="Arial"/>
          <w:sz w:val="20"/>
          <w:szCs w:val="20"/>
        </w:rPr>
        <w:t>externa presentan c</w:t>
      </w:r>
      <w:r w:rsidR="00DC0611">
        <w:rPr>
          <w:rFonts w:ascii="Arial" w:hAnsi="Arial" w:cs="Arial"/>
          <w:sz w:val="20"/>
          <w:szCs w:val="20"/>
        </w:rPr>
        <w:t xml:space="preserve">ontracciones: hidrocarburos por la </w:t>
      </w:r>
      <w:r>
        <w:rPr>
          <w:rFonts w:ascii="Arial" w:hAnsi="Arial" w:cs="Arial"/>
          <w:sz w:val="20"/>
          <w:szCs w:val="20"/>
        </w:rPr>
        <w:t xml:space="preserve">menor demanda de </w:t>
      </w:r>
      <w:r w:rsidR="00DC0611">
        <w:rPr>
          <w:rFonts w:ascii="Arial" w:hAnsi="Arial" w:cs="Arial"/>
          <w:sz w:val="20"/>
          <w:szCs w:val="20"/>
        </w:rPr>
        <w:t xml:space="preserve">gas natural por parte de Brasil </w:t>
      </w:r>
      <w:r>
        <w:rPr>
          <w:rFonts w:ascii="Arial" w:hAnsi="Arial" w:cs="Arial"/>
          <w:sz w:val="20"/>
          <w:szCs w:val="20"/>
        </w:rPr>
        <w:t>y minerí</w:t>
      </w:r>
      <w:r w:rsidR="00DC0611">
        <w:rPr>
          <w:rFonts w:ascii="Arial" w:hAnsi="Arial" w:cs="Arial"/>
          <w:sz w:val="20"/>
          <w:szCs w:val="20"/>
        </w:rPr>
        <w:t xml:space="preserve">a por retrasos temporales en la producción. </w:t>
      </w:r>
    </w:p>
    <w:p w:rsidR="00DC0611" w:rsidRDefault="00DC0611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41F0F" w:rsidRDefault="00041F0F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el primer trimest</w:t>
      </w:r>
      <w:r w:rsidR="00DC0611">
        <w:rPr>
          <w:rFonts w:ascii="Arial" w:hAnsi="Arial" w:cs="Arial"/>
          <w:sz w:val="20"/>
          <w:szCs w:val="20"/>
        </w:rPr>
        <w:t xml:space="preserve">re de 2017, la balanza de pagos </w:t>
      </w:r>
      <w:r>
        <w:rPr>
          <w:rFonts w:ascii="ArialMT" w:hAnsi="ArialMT" w:cs="ArialMT"/>
          <w:sz w:val="20"/>
          <w:szCs w:val="20"/>
        </w:rPr>
        <w:t>presentó un dé</w:t>
      </w:r>
      <w:r w:rsidR="00DC0611">
        <w:rPr>
          <w:rFonts w:ascii="ArialMT" w:hAnsi="ArialMT" w:cs="ArialMT"/>
          <w:sz w:val="20"/>
          <w:szCs w:val="20"/>
        </w:rPr>
        <w:t xml:space="preserve">ficit en cuenta corriente </w:t>
      </w:r>
      <w:r>
        <w:rPr>
          <w:rFonts w:ascii="ArialMT" w:hAnsi="ArialMT" w:cs="ArialMT"/>
          <w:sz w:val="20"/>
          <w:szCs w:val="20"/>
        </w:rPr>
        <w:t>compensado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por mayores influjos netos de capitales, por lo que</w:t>
      </w:r>
      <w:r w:rsidR="00DC0611">
        <w:rPr>
          <w:rFonts w:ascii="Arial" w:hAnsi="Arial" w:cs="Arial"/>
          <w:sz w:val="20"/>
          <w:szCs w:val="20"/>
        </w:rPr>
        <w:t xml:space="preserve"> hubo una menor necesidad de utilización de Reservas </w:t>
      </w:r>
      <w:r>
        <w:rPr>
          <w:rFonts w:ascii="Arial" w:hAnsi="Arial" w:cs="Arial"/>
          <w:sz w:val="20"/>
          <w:szCs w:val="20"/>
        </w:rPr>
        <w:t>Internacionales. En</w:t>
      </w:r>
      <w:r w:rsidR="00DC0611">
        <w:rPr>
          <w:rFonts w:ascii="Arial" w:hAnsi="Arial" w:cs="Arial"/>
          <w:sz w:val="20"/>
          <w:szCs w:val="20"/>
        </w:rPr>
        <w:t xml:space="preserve"> la cuenta corriente destacaron el incremento del valor de las exportaciones y los </w:t>
      </w:r>
      <w:r>
        <w:rPr>
          <w:rFonts w:ascii="Arial" w:hAnsi="Arial" w:cs="Arial"/>
          <w:sz w:val="20"/>
          <w:szCs w:val="20"/>
        </w:rPr>
        <w:t>mayores ingresos por remesas familiares,</w:t>
      </w:r>
      <w:r w:rsidR="00DC0611">
        <w:rPr>
          <w:rFonts w:ascii="Arial" w:hAnsi="Arial" w:cs="Arial"/>
          <w:sz w:val="20"/>
          <w:szCs w:val="20"/>
        </w:rPr>
        <w:t xml:space="preserve"> entre </w:t>
      </w:r>
      <w:r w:rsidR="00DC0611">
        <w:rPr>
          <w:rFonts w:ascii="ArialMT" w:hAnsi="ArialMT" w:cs="ArialMT"/>
          <w:sz w:val="20"/>
          <w:szCs w:val="20"/>
        </w:rPr>
        <w:t xml:space="preserve">otros. Por su parte, en la </w:t>
      </w:r>
      <w:r>
        <w:rPr>
          <w:rFonts w:ascii="ArialMT" w:hAnsi="ArialMT" w:cs="ArialMT"/>
          <w:sz w:val="20"/>
          <w:szCs w:val="20"/>
        </w:rPr>
        <w:t>cuenta financiera, la emisión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bonos soberanos po</w:t>
      </w:r>
      <w:r w:rsidR="00DC0611">
        <w:rPr>
          <w:rFonts w:ascii="Arial" w:hAnsi="Arial" w:cs="Arial"/>
          <w:sz w:val="20"/>
          <w:szCs w:val="20"/>
        </w:rPr>
        <w:t xml:space="preserve">r parte del E.P de Bolivia y la </w:t>
      </w:r>
      <w:r>
        <w:rPr>
          <w:rFonts w:ascii="ArialMT" w:hAnsi="ArialMT" w:cs="ArialMT"/>
          <w:sz w:val="20"/>
          <w:szCs w:val="20"/>
        </w:rPr>
        <w:t>inversió</w:t>
      </w:r>
      <w:r w:rsidR="00DC0611">
        <w:rPr>
          <w:rFonts w:ascii="ArialMT" w:hAnsi="ArialMT" w:cs="ArialMT"/>
          <w:sz w:val="20"/>
          <w:szCs w:val="20"/>
        </w:rPr>
        <w:t xml:space="preserve">n directa </w:t>
      </w:r>
      <w:r>
        <w:rPr>
          <w:rFonts w:ascii="ArialMT" w:hAnsi="ArialMT" w:cs="ArialMT"/>
          <w:sz w:val="20"/>
          <w:szCs w:val="20"/>
        </w:rPr>
        <w:t>se tradujeron en importantes influjos</w:t>
      </w:r>
      <w:r w:rsidR="00DC061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divisas.</w:t>
      </w:r>
    </w:p>
    <w:p w:rsidR="00DC0611" w:rsidRDefault="00DC0611" w:rsidP="00041F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0611" w:rsidRDefault="00041F0F" w:rsidP="00DC0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En cuanto a la intermediació</w:t>
      </w:r>
      <w:r w:rsidR="00DC0611">
        <w:rPr>
          <w:rFonts w:ascii="ArialMT" w:hAnsi="ArialMT" w:cs="ArialMT"/>
          <w:sz w:val="20"/>
          <w:szCs w:val="20"/>
        </w:rPr>
        <w:t xml:space="preserve">n financiera en el primer </w:t>
      </w:r>
      <w:r>
        <w:rPr>
          <w:rFonts w:ascii="Arial" w:hAnsi="Arial" w:cs="Arial"/>
          <w:sz w:val="20"/>
          <w:szCs w:val="20"/>
        </w:rPr>
        <w:t>semestre de 2017,</w:t>
      </w:r>
      <w:r w:rsidR="00DC0611">
        <w:rPr>
          <w:rFonts w:ascii="Arial" w:hAnsi="Arial" w:cs="Arial"/>
          <w:sz w:val="20"/>
          <w:szCs w:val="20"/>
        </w:rPr>
        <w:t xml:space="preserve"> los depósitos del público </w:t>
      </w:r>
      <w:r>
        <w:rPr>
          <w:rFonts w:ascii="Arial" w:hAnsi="Arial" w:cs="Arial"/>
          <w:sz w:val="20"/>
          <w:szCs w:val="20"/>
        </w:rPr>
        <w:t>en el</w:t>
      </w:r>
      <w:r w:rsidR="00DC0611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sistema financiero evidenciaron una recuperació</w:t>
      </w:r>
      <w:r w:rsidR="00DC0611">
        <w:rPr>
          <w:rFonts w:ascii="ArialMT" w:hAnsi="ArialMT" w:cs="ArialMT"/>
          <w:sz w:val="20"/>
          <w:szCs w:val="20"/>
        </w:rPr>
        <w:t xml:space="preserve">n </w:t>
      </w:r>
      <w:r>
        <w:rPr>
          <w:rFonts w:ascii="Arial" w:hAnsi="Arial" w:cs="Arial"/>
          <w:sz w:val="20"/>
          <w:szCs w:val="20"/>
        </w:rPr>
        <w:t>en su ritmo</w:t>
      </w:r>
      <w:r w:rsidR="00DC0611">
        <w:rPr>
          <w:rFonts w:ascii="Arial" w:hAnsi="Arial" w:cs="Arial"/>
          <w:sz w:val="20"/>
          <w:szCs w:val="20"/>
        </w:rPr>
        <w:t xml:space="preserve"> de crecimiento, sustentada por </w:t>
      </w:r>
      <w:r>
        <w:rPr>
          <w:rFonts w:ascii="Arial" w:hAnsi="Arial" w:cs="Arial"/>
          <w:sz w:val="20"/>
          <w:szCs w:val="20"/>
        </w:rPr>
        <w:t>el mayor</w:t>
      </w:r>
      <w:r w:rsidR="00DC0611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ingreso nacional. Asimismo, el crédito del sistema</w:t>
      </w:r>
      <w:r w:rsidR="00DC0611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financiero al sector privado registró</w:t>
      </w:r>
      <w:r w:rsidR="00DC0611">
        <w:rPr>
          <w:rFonts w:ascii="ArialMT" w:hAnsi="ArialMT" w:cs="ArialMT"/>
          <w:sz w:val="20"/>
          <w:szCs w:val="20"/>
        </w:rPr>
        <w:t xml:space="preserve"> un flujo importante, </w:t>
      </w:r>
      <w:r>
        <w:rPr>
          <w:rFonts w:ascii="Arial" w:hAnsi="Arial" w:cs="Arial"/>
          <w:sz w:val="20"/>
          <w:szCs w:val="20"/>
        </w:rPr>
        <w:t>particularmente para el sector productivo y de vivienda</w:t>
      </w:r>
      <w:r w:rsidR="00DC0611">
        <w:rPr>
          <w:rFonts w:ascii="ArialMT" w:hAnsi="ArialMT" w:cs="ArialMT"/>
          <w:sz w:val="20"/>
          <w:szCs w:val="20"/>
        </w:rPr>
        <w:t xml:space="preserve"> </w:t>
      </w:r>
      <w:r w:rsidR="00DC0611">
        <w:rPr>
          <w:rFonts w:ascii="Arial" w:hAnsi="Arial" w:cs="Arial"/>
          <w:sz w:val="20"/>
          <w:szCs w:val="20"/>
        </w:rPr>
        <w:t xml:space="preserve">de interés social, vinculado </w:t>
      </w:r>
      <w:r>
        <w:rPr>
          <w:rFonts w:ascii="Arial" w:hAnsi="Arial" w:cs="Arial"/>
          <w:sz w:val="20"/>
          <w:szCs w:val="20"/>
        </w:rPr>
        <w:t>a las disposiciones</w:t>
      </w:r>
      <w:r w:rsidR="00DC0611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la Ley de Servicios Financieros y las medidas</w:t>
      </w:r>
      <w:r w:rsidR="00DC0611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coordinadas entre el Ó</w:t>
      </w:r>
      <w:r w:rsidR="00DC0611">
        <w:rPr>
          <w:rFonts w:ascii="ArialMT" w:hAnsi="ArialMT" w:cs="ArialMT"/>
          <w:sz w:val="20"/>
          <w:szCs w:val="20"/>
        </w:rPr>
        <w:t xml:space="preserve">rgano Ejecutivo y el BCB para </w:t>
      </w:r>
      <w:r>
        <w:rPr>
          <w:rFonts w:ascii="Arial" w:hAnsi="Arial" w:cs="Arial"/>
          <w:sz w:val="20"/>
          <w:szCs w:val="20"/>
        </w:rPr>
        <w:t xml:space="preserve">proveer liquidez. Por su parte, la </w:t>
      </w:r>
      <w:proofErr w:type="spellStart"/>
      <w:r>
        <w:rPr>
          <w:rFonts w:ascii="Arial" w:hAnsi="Arial" w:cs="Arial"/>
          <w:sz w:val="20"/>
          <w:szCs w:val="20"/>
        </w:rPr>
        <w:t>Bolivianización</w:t>
      </w:r>
      <w:proofErr w:type="spellEnd"/>
      <w:r w:rsidR="00DC0611"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del sistema</w:t>
      </w:r>
      <w:r w:rsidR="00DC0611">
        <w:rPr>
          <w:rFonts w:ascii="ArialMT" w:hAnsi="ArialMT" w:cs="ArialMT"/>
          <w:sz w:val="20"/>
          <w:szCs w:val="20"/>
        </w:rPr>
        <w:t xml:space="preserve"> financiero </w:t>
      </w:r>
      <w:r>
        <w:rPr>
          <w:rFonts w:ascii="ArialMT" w:hAnsi="ArialMT" w:cs="ArialMT"/>
          <w:sz w:val="20"/>
          <w:szCs w:val="20"/>
        </w:rPr>
        <w:t>continuó profundizándose,</w:t>
      </w:r>
      <w:r w:rsidR="00DC0611">
        <w:rPr>
          <w:rFonts w:ascii="ArialMT" w:hAnsi="ArialMT" w:cs="ArialMT"/>
          <w:sz w:val="20"/>
          <w:szCs w:val="20"/>
        </w:rPr>
        <w:t xml:space="preserve"> </w:t>
      </w:r>
      <w:r w:rsidR="00DC0611">
        <w:rPr>
          <w:rFonts w:ascii="Arial" w:hAnsi="Arial" w:cs="Arial"/>
          <w:sz w:val="20"/>
          <w:szCs w:val="20"/>
        </w:rPr>
        <w:t>representando el logr</w:t>
      </w:r>
      <w:r w:rsidR="00DC0611">
        <w:rPr>
          <w:rFonts w:ascii="Arial" w:hAnsi="Arial" w:cs="Arial"/>
          <w:sz w:val="20"/>
          <w:szCs w:val="20"/>
        </w:rPr>
        <w:t xml:space="preserve">o más destacable en el contexto </w:t>
      </w:r>
      <w:r w:rsidR="00DC0611">
        <w:rPr>
          <w:rFonts w:ascii="Arial" w:hAnsi="Arial" w:cs="Arial"/>
          <w:sz w:val="20"/>
          <w:szCs w:val="20"/>
        </w:rPr>
        <w:t>regional.</w:t>
      </w:r>
    </w:p>
    <w:p w:rsidR="00DC0611" w:rsidRDefault="00DC0611" w:rsidP="00DC0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0611" w:rsidRDefault="00DC0611" w:rsidP="00DC0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Respecto a lo</w:t>
      </w:r>
      <w:r>
        <w:rPr>
          <w:rFonts w:ascii="Arial" w:hAnsi="Arial" w:cs="Arial"/>
          <w:sz w:val="20"/>
          <w:szCs w:val="20"/>
        </w:rPr>
        <w:t xml:space="preserve">s agregados monetarios, la Base </w:t>
      </w:r>
      <w:r>
        <w:rPr>
          <w:rFonts w:ascii="Arial" w:hAnsi="Arial" w:cs="Arial"/>
          <w:sz w:val="20"/>
          <w:szCs w:val="20"/>
        </w:rPr>
        <w:t>Monetaria registró u</w:t>
      </w:r>
      <w:r>
        <w:rPr>
          <w:rFonts w:ascii="Arial" w:hAnsi="Arial" w:cs="Arial"/>
          <w:sz w:val="20"/>
          <w:szCs w:val="20"/>
        </w:rPr>
        <w:t xml:space="preserve">na reversión importante durante </w:t>
      </w:r>
      <w:r>
        <w:rPr>
          <w:rFonts w:ascii="Arial" w:hAnsi="Arial" w:cs="Arial"/>
          <w:sz w:val="20"/>
          <w:szCs w:val="20"/>
        </w:rPr>
        <w:t>el primer semestr</w:t>
      </w:r>
      <w:r>
        <w:rPr>
          <w:rFonts w:ascii="Arial" w:hAnsi="Arial" w:cs="Arial"/>
          <w:sz w:val="20"/>
          <w:szCs w:val="20"/>
        </w:rPr>
        <w:t xml:space="preserve">e, de tasas negativas mayores a </w:t>
      </w:r>
      <w:r>
        <w:rPr>
          <w:rFonts w:ascii="ArialMT" w:hAnsi="ArialMT" w:cs="ArialMT"/>
          <w:sz w:val="20"/>
          <w:szCs w:val="20"/>
        </w:rPr>
        <w:t>10% a tasa</w:t>
      </w:r>
      <w:r>
        <w:rPr>
          <w:rFonts w:ascii="ArialMT" w:hAnsi="ArialMT" w:cs="ArialMT"/>
          <w:sz w:val="20"/>
          <w:szCs w:val="20"/>
        </w:rPr>
        <w:t xml:space="preserve">s positivas a finales de junio, </w:t>
      </w:r>
      <w:r>
        <w:rPr>
          <w:rFonts w:ascii="ArialMT" w:hAnsi="ArialMT" w:cs="ArialMT"/>
          <w:sz w:val="20"/>
          <w:szCs w:val="20"/>
        </w:rPr>
        <w:t>resultado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asociado a la mejora en los indicadores de liquidez.</w:t>
      </w:r>
      <w:r>
        <w:rPr>
          <w:rFonts w:ascii="Arial" w:hAnsi="Arial" w:cs="Arial"/>
          <w:sz w:val="20"/>
          <w:szCs w:val="20"/>
        </w:rPr>
        <w:t xml:space="preserve"> En tanto que los agregados monetarios mostraron </w:t>
      </w:r>
      <w:r>
        <w:rPr>
          <w:rFonts w:ascii="Arial" w:hAnsi="Arial" w:cs="Arial"/>
          <w:sz w:val="20"/>
          <w:szCs w:val="20"/>
        </w:rPr>
        <w:t>tasas de crecimient</w:t>
      </w:r>
      <w:r>
        <w:rPr>
          <w:rFonts w:ascii="Arial" w:hAnsi="Arial" w:cs="Arial"/>
          <w:sz w:val="20"/>
          <w:szCs w:val="20"/>
        </w:rPr>
        <w:t xml:space="preserve">o más elevadas que en diciembre de 2016, producto </w:t>
      </w:r>
      <w:r>
        <w:rPr>
          <w:rFonts w:ascii="Arial" w:hAnsi="Arial" w:cs="Arial"/>
          <w:sz w:val="20"/>
          <w:szCs w:val="20"/>
        </w:rPr>
        <w:t>pr</w:t>
      </w:r>
      <w:r>
        <w:rPr>
          <w:rFonts w:ascii="Arial" w:hAnsi="Arial" w:cs="Arial"/>
          <w:sz w:val="20"/>
          <w:szCs w:val="20"/>
        </w:rPr>
        <w:t xml:space="preserve">incipalmente del comportamiento </w:t>
      </w:r>
      <w:r>
        <w:rPr>
          <w:rFonts w:ascii="Arial" w:hAnsi="Arial" w:cs="Arial"/>
          <w:sz w:val="20"/>
          <w:szCs w:val="20"/>
        </w:rPr>
        <w:t>de los depósitos.</w:t>
      </w:r>
    </w:p>
    <w:p w:rsidR="00DC0611" w:rsidRDefault="00DC0611" w:rsidP="00DC0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0611" w:rsidRDefault="00DC0611" w:rsidP="00DC0611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relación a las persp</w:t>
      </w:r>
      <w:r>
        <w:rPr>
          <w:rFonts w:ascii="Arial" w:hAnsi="Arial" w:cs="Arial"/>
          <w:sz w:val="20"/>
          <w:szCs w:val="20"/>
        </w:rPr>
        <w:t xml:space="preserve">ectivas globales de crecimiento </w:t>
      </w:r>
      <w:r>
        <w:rPr>
          <w:rFonts w:ascii="ArialMT" w:hAnsi="ArialMT" w:cs="ArialMT"/>
          <w:sz w:val="20"/>
          <w:szCs w:val="20"/>
        </w:rPr>
        <w:t>para 201</w:t>
      </w:r>
      <w:r>
        <w:rPr>
          <w:rFonts w:ascii="ArialMT" w:hAnsi="ArialMT" w:cs="ArialMT"/>
          <w:sz w:val="20"/>
          <w:szCs w:val="20"/>
        </w:rPr>
        <w:t xml:space="preserve">7, se mantienen de acuerdo a lo </w:t>
      </w:r>
      <w:r>
        <w:rPr>
          <w:rFonts w:ascii="ArialMT" w:hAnsi="ArialMT" w:cs="ArialMT"/>
          <w:sz w:val="20"/>
          <w:szCs w:val="20"/>
        </w:rPr>
        <w:t>esperado;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sin embargo, los</w:t>
      </w:r>
      <w:r>
        <w:rPr>
          <w:rFonts w:ascii="Arial" w:hAnsi="Arial" w:cs="Arial"/>
          <w:sz w:val="20"/>
          <w:szCs w:val="20"/>
        </w:rPr>
        <w:t xml:space="preserve"> riesgos se encuentran sesgados </w:t>
      </w:r>
      <w:r>
        <w:rPr>
          <w:rFonts w:ascii="ArialMT" w:hAnsi="ArialMT" w:cs="ArialMT"/>
          <w:sz w:val="20"/>
          <w:szCs w:val="20"/>
        </w:rPr>
        <w:t xml:space="preserve">hacia la baja. En efecto, las </w:t>
      </w:r>
      <w:r>
        <w:rPr>
          <w:rFonts w:ascii="ArialMT" w:hAnsi="ArialMT" w:cs="ArialMT"/>
          <w:sz w:val="20"/>
          <w:szCs w:val="20"/>
        </w:rPr>
        <w:t>economías avanzadas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continuarán con su débil recuperaci</w:t>
      </w:r>
      <w:r>
        <w:rPr>
          <w:rFonts w:ascii="Arial" w:hAnsi="Arial" w:cs="Arial"/>
          <w:sz w:val="20"/>
          <w:szCs w:val="20"/>
        </w:rPr>
        <w:t xml:space="preserve">ón, mientras que las economías de </w:t>
      </w:r>
      <w:r>
        <w:rPr>
          <w:rFonts w:ascii="Arial" w:hAnsi="Arial" w:cs="Arial"/>
          <w:sz w:val="20"/>
          <w:szCs w:val="20"/>
        </w:rPr>
        <w:t>merc</w:t>
      </w:r>
      <w:r>
        <w:rPr>
          <w:rFonts w:ascii="Arial" w:hAnsi="Arial" w:cs="Arial"/>
          <w:sz w:val="20"/>
          <w:szCs w:val="20"/>
        </w:rPr>
        <w:t xml:space="preserve">ados emergentes y en desarrollo </w:t>
      </w:r>
      <w:r>
        <w:rPr>
          <w:rFonts w:ascii="Arial" w:hAnsi="Arial" w:cs="Arial"/>
          <w:sz w:val="20"/>
          <w:szCs w:val="20"/>
        </w:rPr>
        <w:t>continuarían siend</w:t>
      </w:r>
      <w:r>
        <w:rPr>
          <w:rFonts w:ascii="Arial" w:hAnsi="Arial" w:cs="Arial"/>
          <w:sz w:val="20"/>
          <w:szCs w:val="20"/>
        </w:rPr>
        <w:t xml:space="preserve">o las impulsoras de la dinámica </w:t>
      </w:r>
      <w:r>
        <w:rPr>
          <w:rFonts w:ascii="Arial" w:hAnsi="Arial" w:cs="Arial"/>
          <w:sz w:val="20"/>
          <w:szCs w:val="20"/>
        </w:rPr>
        <w:t>mundial, aunque con desempeños heterogéneos al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interior. En América del Sur, los mayores niveles de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lastRenderedPageBreak/>
        <w:t>incertidumbre política que atraviesa</w:t>
      </w:r>
      <w:r>
        <w:rPr>
          <w:rFonts w:ascii="Arial" w:hAnsi="Arial" w:cs="Arial"/>
          <w:sz w:val="20"/>
          <w:szCs w:val="20"/>
        </w:rPr>
        <w:t xml:space="preserve">n las principales </w:t>
      </w:r>
      <w:r>
        <w:rPr>
          <w:rFonts w:ascii="Arial" w:hAnsi="Arial" w:cs="Arial"/>
          <w:sz w:val="20"/>
          <w:szCs w:val="20"/>
        </w:rPr>
        <w:t xml:space="preserve">economías </w:t>
      </w:r>
      <w:r>
        <w:rPr>
          <w:rFonts w:ascii="Arial" w:hAnsi="Arial" w:cs="Arial"/>
          <w:sz w:val="20"/>
          <w:szCs w:val="20"/>
        </w:rPr>
        <w:t xml:space="preserve">y una recuperación más lenta de los </w:t>
      </w:r>
      <w:r>
        <w:rPr>
          <w:rFonts w:ascii="ArialMT" w:hAnsi="ArialMT" w:cs="ArialMT"/>
          <w:sz w:val="20"/>
          <w:szCs w:val="20"/>
        </w:rPr>
        <w:t>términos de intercambio originaron la revisión a la baja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las p</w:t>
      </w:r>
      <w:r>
        <w:rPr>
          <w:rFonts w:ascii="Arial" w:hAnsi="Arial" w:cs="Arial"/>
          <w:sz w:val="20"/>
          <w:szCs w:val="20"/>
        </w:rPr>
        <w:t xml:space="preserve">erspectivas de recuperación. No obstante, </w:t>
      </w:r>
      <w:r>
        <w:rPr>
          <w:rFonts w:ascii="Arial" w:hAnsi="Arial" w:cs="Arial"/>
          <w:sz w:val="20"/>
          <w:szCs w:val="20"/>
        </w:rPr>
        <w:t>Bolivia nuevamente</w:t>
      </w:r>
      <w:r>
        <w:rPr>
          <w:rFonts w:ascii="Arial" w:hAnsi="Arial" w:cs="Arial"/>
          <w:sz w:val="20"/>
          <w:szCs w:val="20"/>
        </w:rPr>
        <w:t xml:space="preserve"> alcanzaría una de las tasas de </w:t>
      </w:r>
      <w:r>
        <w:rPr>
          <w:rFonts w:ascii="ArialMT" w:hAnsi="ArialMT" w:cs="ArialMT"/>
          <w:sz w:val="20"/>
          <w:szCs w:val="20"/>
        </w:rPr>
        <w:t>crecimiento má</w:t>
      </w:r>
      <w:r>
        <w:rPr>
          <w:rFonts w:ascii="ArialMT" w:hAnsi="ArialMT" w:cs="ArialMT"/>
          <w:sz w:val="20"/>
          <w:szCs w:val="20"/>
        </w:rPr>
        <w:t xml:space="preserve">s altas y una de las </w:t>
      </w:r>
      <w:r>
        <w:rPr>
          <w:rFonts w:ascii="ArialMT" w:hAnsi="ArialMT" w:cs="ArialMT"/>
          <w:sz w:val="20"/>
          <w:szCs w:val="20"/>
        </w:rPr>
        <w:t>inflaciones más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bajas de la región en 2017.</w:t>
      </w:r>
    </w:p>
    <w:p w:rsidR="00DC0611" w:rsidRPr="00DC0611" w:rsidRDefault="00DC0611" w:rsidP="00DC0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0611" w:rsidRDefault="00DC0611" w:rsidP="00DC0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Respecto a la economí</w:t>
      </w:r>
      <w:r>
        <w:rPr>
          <w:rFonts w:ascii="Arial" w:hAnsi="Arial" w:cs="Arial"/>
          <w:sz w:val="20"/>
          <w:szCs w:val="20"/>
        </w:rPr>
        <w:t xml:space="preserve">a nacional y ante este contexto </w:t>
      </w:r>
      <w:r>
        <w:rPr>
          <w:rFonts w:ascii="Arial" w:hAnsi="Arial" w:cs="Arial"/>
          <w:sz w:val="20"/>
          <w:szCs w:val="20"/>
        </w:rPr>
        <w:t xml:space="preserve">externo </w:t>
      </w:r>
      <w:r>
        <w:rPr>
          <w:rFonts w:ascii="Arial" w:hAnsi="Arial" w:cs="Arial"/>
          <w:sz w:val="20"/>
          <w:szCs w:val="20"/>
        </w:rPr>
        <w:t xml:space="preserve">todavía débil, el escenario más probable del </w:t>
      </w:r>
      <w:r>
        <w:rPr>
          <w:rFonts w:ascii="Arial" w:hAnsi="Arial" w:cs="Arial"/>
          <w:sz w:val="20"/>
          <w:szCs w:val="20"/>
        </w:rPr>
        <w:t>crecimiento previs</w:t>
      </w:r>
      <w:r>
        <w:rPr>
          <w:rFonts w:ascii="Arial" w:hAnsi="Arial" w:cs="Arial"/>
          <w:sz w:val="20"/>
          <w:szCs w:val="20"/>
        </w:rPr>
        <w:t xml:space="preserve">to para 2017 se encuentra en el </w:t>
      </w:r>
      <w:r>
        <w:rPr>
          <w:rFonts w:ascii="ArialMT" w:hAnsi="ArialMT" w:cs="ArialMT"/>
          <w:sz w:val="20"/>
          <w:szCs w:val="20"/>
        </w:rPr>
        <w:t>ran</w:t>
      </w:r>
      <w:r>
        <w:rPr>
          <w:rFonts w:ascii="ArialMT" w:hAnsi="ArialMT" w:cs="ArialMT"/>
          <w:sz w:val="20"/>
          <w:szCs w:val="20"/>
        </w:rPr>
        <w:t xml:space="preserve">go de 4% a 4,5%, lo que implica </w:t>
      </w:r>
      <w:r>
        <w:rPr>
          <w:rFonts w:ascii="ArialMT" w:hAnsi="ArialMT" w:cs="ArialMT"/>
          <w:sz w:val="20"/>
          <w:szCs w:val="20"/>
        </w:rPr>
        <w:t>una leve corrección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>a la baja respecto al escenario central proyectado en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el IPM de Enero de 2017 </w:t>
      </w:r>
      <w:r>
        <w:rPr>
          <w:rFonts w:ascii="ArialMT" w:hAnsi="ArialMT" w:cs="ArialMT"/>
          <w:sz w:val="20"/>
          <w:szCs w:val="20"/>
        </w:rPr>
        <w:t>(4,7%), debido a la revisión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de las estimacione</w:t>
      </w:r>
      <w:r>
        <w:rPr>
          <w:rFonts w:ascii="Arial" w:hAnsi="Arial" w:cs="Arial"/>
          <w:sz w:val="20"/>
          <w:szCs w:val="20"/>
        </w:rPr>
        <w:t xml:space="preserve">s del sector de hidrocarburos y del PIB externo </w:t>
      </w:r>
      <w:r>
        <w:rPr>
          <w:rFonts w:ascii="Arial" w:hAnsi="Arial" w:cs="Arial"/>
          <w:sz w:val="20"/>
          <w:szCs w:val="20"/>
        </w:rPr>
        <w:t>re</w:t>
      </w:r>
      <w:r>
        <w:rPr>
          <w:rFonts w:ascii="Arial" w:hAnsi="Arial" w:cs="Arial"/>
          <w:sz w:val="20"/>
          <w:szCs w:val="20"/>
        </w:rPr>
        <w:t xml:space="preserve">levante. El crecimiento de esta </w:t>
      </w:r>
      <w:r>
        <w:rPr>
          <w:rFonts w:ascii="Arial" w:hAnsi="Arial" w:cs="Arial"/>
          <w:sz w:val="20"/>
          <w:szCs w:val="20"/>
        </w:rPr>
        <w:t>gestión se sustent</w:t>
      </w:r>
      <w:r>
        <w:rPr>
          <w:rFonts w:ascii="Arial" w:hAnsi="Arial" w:cs="Arial"/>
          <w:sz w:val="20"/>
          <w:szCs w:val="20"/>
        </w:rPr>
        <w:t xml:space="preserve">aría en el buen desempeño en la actividad </w:t>
      </w:r>
      <w:r>
        <w:rPr>
          <w:rFonts w:ascii="Arial" w:hAnsi="Arial" w:cs="Arial"/>
          <w:sz w:val="20"/>
          <w:szCs w:val="20"/>
        </w:rPr>
        <w:t>agropecuaria</w:t>
      </w:r>
      <w:r>
        <w:rPr>
          <w:rFonts w:ascii="Arial" w:hAnsi="Arial" w:cs="Arial"/>
          <w:sz w:val="20"/>
          <w:szCs w:val="20"/>
        </w:rPr>
        <w:t xml:space="preserve">, la recuperación en la minería </w:t>
      </w:r>
      <w:r>
        <w:rPr>
          <w:rFonts w:ascii="Arial" w:hAnsi="Arial" w:cs="Arial"/>
          <w:sz w:val="20"/>
          <w:szCs w:val="20"/>
        </w:rPr>
        <w:t>y el dinamismo de los</w:t>
      </w:r>
      <w:r>
        <w:rPr>
          <w:rFonts w:ascii="Arial" w:hAnsi="Arial" w:cs="Arial"/>
          <w:sz w:val="20"/>
          <w:szCs w:val="20"/>
        </w:rPr>
        <w:t xml:space="preserve"> sectores con mayor vinculación </w:t>
      </w:r>
      <w:r>
        <w:rPr>
          <w:rFonts w:ascii="ArialMT" w:hAnsi="ArialMT" w:cs="ArialMT"/>
          <w:sz w:val="20"/>
          <w:szCs w:val="20"/>
        </w:rPr>
        <w:t>a la expansión monetaria y fiscal. Por el lado del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gasto, el crecimie</w:t>
      </w:r>
      <w:r>
        <w:rPr>
          <w:rFonts w:ascii="Arial" w:hAnsi="Arial" w:cs="Arial"/>
          <w:sz w:val="20"/>
          <w:szCs w:val="20"/>
        </w:rPr>
        <w:t xml:space="preserve">nto económico estaría sostenido </w:t>
      </w:r>
      <w:r>
        <w:rPr>
          <w:rFonts w:ascii="Arial" w:hAnsi="Arial" w:cs="Arial"/>
          <w:sz w:val="20"/>
          <w:szCs w:val="20"/>
        </w:rPr>
        <w:t>principalmente por la demanda interna.</w:t>
      </w:r>
    </w:p>
    <w:p w:rsidR="00DC0611" w:rsidRDefault="00DC0611" w:rsidP="00DC0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3A53D8" w:rsidRDefault="00DC0611" w:rsidP="00DC0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MT" w:hAnsi="ArialMT" w:cs="ArialMT"/>
          <w:sz w:val="20"/>
          <w:szCs w:val="20"/>
        </w:rPr>
        <w:t>La proyección base de la inflación para 2017 se revisó</w:t>
      </w:r>
      <w:r>
        <w:rPr>
          <w:rFonts w:ascii="ArialMT" w:hAnsi="ArialMT" w:cs="ArialMT"/>
          <w:sz w:val="20"/>
          <w:szCs w:val="20"/>
        </w:rPr>
        <w:t xml:space="preserve"> </w:t>
      </w:r>
      <w:r>
        <w:rPr>
          <w:rFonts w:ascii="ArialMT" w:hAnsi="ArialMT" w:cs="ArialMT"/>
          <w:sz w:val="20"/>
          <w:szCs w:val="20"/>
        </w:rPr>
        <w:t xml:space="preserve">a la baja, </w:t>
      </w:r>
      <w:r>
        <w:rPr>
          <w:rFonts w:ascii="ArialMT" w:hAnsi="ArialMT" w:cs="ArialMT"/>
          <w:sz w:val="20"/>
          <w:szCs w:val="20"/>
        </w:rPr>
        <w:t xml:space="preserve">de 5,0% a 4,3%, dentro un rango entre </w:t>
      </w:r>
      <w:r>
        <w:rPr>
          <w:rFonts w:ascii="ArialMT" w:hAnsi="ArialMT" w:cs="ArialMT"/>
          <w:sz w:val="20"/>
          <w:szCs w:val="20"/>
        </w:rPr>
        <w:t>3,0% y 5,0%. Cab</w:t>
      </w:r>
      <w:r>
        <w:rPr>
          <w:rFonts w:ascii="ArialMT" w:hAnsi="ArialMT" w:cs="ArialMT"/>
          <w:sz w:val="20"/>
          <w:szCs w:val="20"/>
        </w:rPr>
        <w:t xml:space="preserve">e destacar que existe una mayor </w:t>
      </w:r>
      <w:r>
        <w:rPr>
          <w:rFonts w:ascii="ArialMT" w:hAnsi="ArialMT" w:cs="ArialMT"/>
          <w:sz w:val="20"/>
          <w:szCs w:val="20"/>
        </w:rPr>
        <w:t>probabilidad de que la inflació</w:t>
      </w:r>
      <w:r>
        <w:rPr>
          <w:rFonts w:ascii="ArialMT" w:hAnsi="ArialMT" w:cs="ArialMT"/>
          <w:sz w:val="20"/>
          <w:szCs w:val="20"/>
        </w:rPr>
        <w:t xml:space="preserve">n termine por debajo de </w:t>
      </w:r>
      <w:r>
        <w:rPr>
          <w:rFonts w:ascii="Arial" w:hAnsi="Arial" w:cs="Arial"/>
          <w:sz w:val="20"/>
          <w:szCs w:val="20"/>
        </w:rPr>
        <w:t>la proyección base.</w:t>
      </w:r>
    </w:p>
    <w:p w:rsidR="00DC0611" w:rsidRDefault="00DC0611" w:rsidP="00DC0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DC0611" w:rsidRPr="00DC0611" w:rsidRDefault="00DC0611" w:rsidP="00DC06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relación a las políticas económicas,</w:t>
      </w:r>
      <w:r>
        <w:rPr>
          <w:rFonts w:ascii="Arial" w:hAnsi="Arial" w:cs="Arial"/>
          <w:sz w:val="20"/>
          <w:szCs w:val="20"/>
        </w:rPr>
        <w:t xml:space="preserve"> el BCB, </w:t>
      </w:r>
      <w:r>
        <w:rPr>
          <w:rFonts w:ascii="Arial" w:hAnsi="Arial" w:cs="Arial"/>
          <w:sz w:val="20"/>
          <w:szCs w:val="20"/>
        </w:rPr>
        <w:t>realizando un ba</w:t>
      </w:r>
      <w:r>
        <w:rPr>
          <w:rFonts w:ascii="Arial" w:hAnsi="Arial" w:cs="Arial"/>
          <w:sz w:val="20"/>
          <w:szCs w:val="20"/>
        </w:rPr>
        <w:t xml:space="preserve">lance cuidadoso entre preservar </w:t>
      </w:r>
      <w:r>
        <w:rPr>
          <w:rFonts w:ascii="Arial" w:hAnsi="Arial" w:cs="Arial"/>
          <w:sz w:val="20"/>
          <w:szCs w:val="20"/>
        </w:rPr>
        <w:t>la estabilidad de precios y apuntalar el dinamismo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económico, manten</w:t>
      </w:r>
      <w:r>
        <w:rPr>
          <w:rFonts w:ascii="Arial" w:hAnsi="Arial" w:cs="Arial"/>
          <w:sz w:val="20"/>
          <w:szCs w:val="20"/>
        </w:rPr>
        <w:t xml:space="preserve">drá la orientación expansiva de la </w:t>
      </w:r>
      <w:r>
        <w:rPr>
          <w:rFonts w:ascii="Arial" w:hAnsi="Arial" w:cs="Arial"/>
          <w:sz w:val="20"/>
          <w:szCs w:val="20"/>
        </w:rPr>
        <w:t xml:space="preserve">política monetaria. Por </w:t>
      </w:r>
      <w:r>
        <w:rPr>
          <w:rFonts w:ascii="Arial" w:hAnsi="Arial" w:cs="Arial"/>
          <w:sz w:val="20"/>
          <w:szCs w:val="20"/>
        </w:rPr>
        <w:t xml:space="preserve">su parte, la política cambiaria </w:t>
      </w:r>
      <w:r>
        <w:rPr>
          <w:rFonts w:ascii="Arial" w:hAnsi="Arial" w:cs="Arial"/>
          <w:sz w:val="20"/>
          <w:szCs w:val="20"/>
        </w:rPr>
        <w:t>se orientará a reforzar la estabilidad d</w:t>
      </w:r>
      <w:r>
        <w:rPr>
          <w:rFonts w:ascii="Arial" w:hAnsi="Arial" w:cs="Arial"/>
          <w:sz w:val="20"/>
          <w:szCs w:val="20"/>
        </w:rPr>
        <w:t xml:space="preserve">e precios, la </w:t>
      </w:r>
      <w:proofErr w:type="spellStart"/>
      <w:r>
        <w:rPr>
          <w:rFonts w:ascii="ArialMT" w:hAnsi="ArialMT" w:cs="ArialMT"/>
          <w:sz w:val="20"/>
          <w:szCs w:val="20"/>
        </w:rPr>
        <w:t>Bolivianización</w:t>
      </w:r>
      <w:proofErr w:type="spellEnd"/>
      <w:r>
        <w:rPr>
          <w:rFonts w:ascii="ArialMT" w:hAnsi="ArialMT" w:cs="ArialMT"/>
          <w:sz w:val="20"/>
          <w:szCs w:val="20"/>
        </w:rPr>
        <w:t xml:space="preserve"> y la estabilidad del sistema financiero.</w:t>
      </w:r>
      <w:r>
        <w:rPr>
          <w:rFonts w:ascii="Arial" w:hAnsi="Arial" w:cs="Arial"/>
          <w:sz w:val="20"/>
          <w:szCs w:val="20"/>
        </w:rPr>
        <w:t xml:space="preserve"> Finalmente, cabe destacar que Bolivia cuenta con </w:t>
      </w:r>
      <w:r>
        <w:rPr>
          <w:rFonts w:ascii="ArialMT" w:hAnsi="ArialMT" w:cs="ArialMT"/>
          <w:sz w:val="20"/>
          <w:szCs w:val="20"/>
        </w:rPr>
        <w:t>importantes colchones financieros para continuar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>
        <w:rPr>
          <w:rFonts w:ascii="Arial" w:hAnsi="Arial" w:cs="Arial"/>
          <w:sz w:val="20"/>
          <w:szCs w:val="20"/>
        </w:rPr>
        <w:t xml:space="preserve">on la orientación </w:t>
      </w:r>
      <w:proofErr w:type="spellStart"/>
      <w:r>
        <w:rPr>
          <w:rFonts w:ascii="Arial" w:hAnsi="Arial" w:cs="Arial"/>
          <w:sz w:val="20"/>
          <w:szCs w:val="20"/>
        </w:rPr>
        <w:t>contracíclica</w:t>
      </w:r>
      <w:proofErr w:type="spellEnd"/>
      <w:r>
        <w:rPr>
          <w:rFonts w:ascii="Arial" w:hAnsi="Arial" w:cs="Arial"/>
          <w:sz w:val="20"/>
          <w:szCs w:val="20"/>
        </w:rPr>
        <w:t xml:space="preserve"> de las políticas </w:t>
      </w:r>
      <w:r>
        <w:rPr>
          <w:rFonts w:ascii="Arial" w:hAnsi="Arial" w:cs="Arial"/>
          <w:sz w:val="20"/>
          <w:szCs w:val="20"/>
        </w:rPr>
        <w:t>económicas.</w:t>
      </w:r>
      <w:bookmarkStart w:id="0" w:name="_GoBack"/>
      <w:bookmarkEnd w:id="0"/>
    </w:p>
    <w:sectPr w:rsidR="00DC0611" w:rsidRPr="00DC0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F0F"/>
    <w:rsid w:val="00041F0F"/>
    <w:rsid w:val="003A53D8"/>
    <w:rsid w:val="00D16C80"/>
    <w:rsid w:val="00DC0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1680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Ulises Amaru Ticona Gonzales</dc:creator>
  <cp:lastModifiedBy>Ulises Amaru Ticona Gonzales</cp:lastModifiedBy>
  <cp:revision>1</cp:revision>
  <dcterms:created xsi:type="dcterms:W3CDTF">2019-06-14T21:36:00Z</dcterms:created>
  <dcterms:modified xsi:type="dcterms:W3CDTF">2019-06-14T21:49:00Z</dcterms:modified>
</cp:coreProperties>
</file>