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Durante la primera mitad de 2014, la recuperació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de la economía mundial mostró</w:t>
      </w:r>
      <w:r>
        <w:rPr>
          <w:rFonts w:ascii="ArialMT" w:hAnsi="ArialMT" w:cs="ArialMT"/>
          <w:sz w:val="20"/>
          <w:szCs w:val="20"/>
        </w:rPr>
        <w:t xml:space="preserve"> una </w:t>
      </w:r>
      <w:r>
        <w:rPr>
          <w:rFonts w:ascii="ArialMT" w:hAnsi="ArialMT" w:cs="ArialMT"/>
          <w:sz w:val="20"/>
          <w:szCs w:val="20"/>
        </w:rPr>
        <w:t>moderació</w:t>
      </w:r>
      <w:r>
        <w:rPr>
          <w:rFonts w:ascii="ArialMT" w:hAnsi="ArialMT" w:cs="ArialMT"/>
          <w:sz w:val="20"/>
          <w:szCs w:val="20"/>
        </w:rPr>
        <w:t xml:space="preserve">n, que </w:t>
      </w:r>
      <w:r>
        <w:rPr>
          <w:rFonts w:ascii="ArialMT" w:hAnsi="ArialMT" w:cs="ArialMT"/>
          <w:sz w:val="20"/>
          <w:szCs w:val="20"/>
        </w:rPr>
        <w:t>pudo ser apreciada tanto en las economí</w:t>
      </w:r>
      <w:r>
        <w:rPr>
          <w:rFonts w:ascii="ArialMT" w:hAnsi="ArialMT" w:cs="ArialMT"/>
          <w:sz w:val="20"/>
          <w:szCs w:val="20"/>
        </w:rPr>
        <w:t xml:space="preserve">as avanzadas </w:t>
      </w:r>
      <w:r>
        <w:rPr>
          <w:rFonts w:ascii="Arial" w:hAnsi="Arial" w:cs="Arial"/>
          <w:sz w:val="20"/>
          <w:szCs w:val="20"/>
        </w:rPr>
        <w:t xml:space="preserve">como en las emergentes. </w:t>
      </w:r>
      <w:r>
        <w:rPr>
          <w:rFonts w:ascii="Arial" w:hAnsi="Arial" w:cs="Arial"/>
          <w:sz w:val="20"/>
          <w:szCs w:val="20"/>
        </w:rPr>
        <w:t>Este comportamiento se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explicó principalmente por la sorpresiva contracció</w:t>
      </w:r>
      <w:r>
        <w:rPr>
          <w:rFonts w:ascii="ArialMT" w:hAnsi="ArialMT" w:cs="ArialMT"/>
          <w:sz w:val="20"/>
          <w:szCs w:val="20"/>
        </w:rPr>
        <w:t xml:space="preserve">n de </w:t>
      </w:r>
      <w:r>
        <w:rPr>
          <w:rFonts w:ascii="Arial" w:hAnsi="Arial" w:cs="Arial"/>
          <w:sz w:val="20"/>
          <w:szCs w:val="20"/>
        </w:rPr>
        <w:t xml:space="preserve">la economía </w:t>
      </w:r>
      <w:r>
        <w:rPr>
          <w:rFonts w:ascii="Arial" w:hAnsi="Arial" w:cs="Arial"/>
          <w:sz w:val="20"/>
          <w:szCs w:val="20"/>
        </w:rPr>
        <w:t>estadounidense en el primer trimestre,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desaceleración del crecimiento en China y en algunos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países de América</w:t>
      </w:r>
      <w:r>
        <w:rPr>
          <w:rFonts w:ascii="ArialMT" w:hAnsi="ArialMT" w:cs="ArialMT"/>
          <w:sz w:val="20"/>
          <w:szCs w:val="20"/>
        </w:rPr>
        <w:t xml:space="preserve"> Latina con elevada importancia </w:t>
      </w:r>
      <w:r>
        <w:rPr>
          <w:rFonts w:ascii="Arial" w:hAnsi="Arial" w:cs="Arial"/>
          <w:sz w:val="20"/>
          <w:szCs w:val="20"/>
        </w:rPr>
        <w:t>en el comercio internacional y los efectos de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conflictos geopolíticos en Ucrania y Medio Oriente</w:t>
      </w:r>
      <w:r>
        <w:rPr>
          <w:rFonts w:ascii="ArialMT" w:hAnsi="ArialMT" w:cs="ArialMT"/>
          <w:sz w:val="20"/>
          <w:szCs w:val="20"/>
        </w:rPr>
        <w:t xml:space="preserve">. </w:t>
      </w:r>
      <w:r>
        <w:rPr>
          <w:rFonts w:ascii="ArialMT" w:hAnsi="ArialMT" w:cs="ArialMT"/>
          <w:sz w:val="20"/>
          <w:szCs w:val="20"/>
        </w:rPr>
        <w:t xml:space="preserve">Todo esto afectó a </w:t>
      </w:r>
      <w:r>
        <w:rPr>
          <w:rFonts w:ascii="ArialMT" w:hAnsi="ArialMT" w:cs="ArialMT"/>
          <w:sz w:val="20"/>
          <w:szCs w:val="20"/>
        </w:rPr>
        <w:t xml:space="preserve">las previsiones del crecimiento </w:t>
      </w:r>
      <w:r>
        <w:rPr>
          <w:rFonts w:ascii="ArialMT" w:hAnsi="ArialMT" w:cs="ArialMT"/>
          <w:sz w:val="20"/>
          <w:szCs w:val="20"/>
        </w:rPr>
        <w:t>mundial para 2014 y</w:t>
      </w:r>
      <w:r>
        <w:rPr>
          <w:rFonts w:ascii="ArialMT" w:hAnsi="ArialMT" w:cs="ArialMT"/>
          <w:sz w:val="20"/>
          <w:szCs w:val="20"/>
        </w:rPr>
        <w:t xml:space="preserve"> 2015, siendo relevante en esta </w:t>
      </w:r>
      <w:r>
        <w:rPr>
          <w:rFonts w:ascii="Arial" w:hAnsi="Arial" w:cs="Arial"/>
          <w:sz w:val="20"/>
          <w:szCs w:val="20"/>
        </w:rPr>
        <w:t>oportunidad para los países latinoamericanos.</w:t>
      </w:r>
    </w:p>
    <w:p w:rsidR="00E07F13" w:rsidRP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moderación</w:t>
      </w:r>
      <w:r>
        <w:rPr>
          <w:rFonts w:ascii="Arial" w:hAnsi="Arial" w:cs="Arial"/>
          <w:sz w:val="20"/>
          <w:szCs w:val="20"/>
        </w:rPr>
        <w:t xml:space="preserve"> en el desempeño económico y la </w:t>
      </w:r>
      <w:r>
        <w:rPr>
          <w:rFonts w:ascii="Arial" w:hAnsi="Arial" w:cs="Arial"/>
          <w:sz w:val="20"/>
          <w:szCs w:val="20"/>
        </w:rPr>
        <w:t>disminución en</w:t>
      </w:r>
      <w:r>
        <w:rPr>
          <w:rFonts w:ascii="Arial" w:hAnsi="Arial" w:cs="Arial"/>
          <w:sz w:val="20"/>
          <w:szCs w:val="20"/>
        </w:rPr>
        <w:t xml:space="preserve"> los precios internacionales de materias </w:t>
      </w:r>
      <w:r>
        <w:rPr>
          <w:rFonts w:ascii="ArialMT" w:hAnsi="ArialMT" w:cs="ArialMT"/>
          <w:sz w:val="20"/>
          <w:szCs w:val="20"/>
        </w:rPr>
        <w:t>primas implicaron reducidas presiones inflacionarias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ni</w:t>
      </w:r>
      <w:r>
        <w:rPr>
          <w:rFonts w:ascii="ArialMT" w:hAnsi="ArialMT" w:cs="ArialMT"/>
          <w:sz w:val="20"/>
          <w:szCs w:val="20"/>
        </w:rPr>
        <w:t xml:space="preserve">vel global. Ante este panorama, </w:t>
      </w:r>
      <w:r>
        <w:rPr>
          <w:rFonts w:ascii="ArialMT" w:hAnsi="ArialMT" w:cs="ArialMT"/>
          <w:sz w:val="20"/>
          <w:szCs w:val="20"/>
        </w:rPr>
        <w:t>la mayoría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los bancos centrales mantuvieron la orientación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expansiva de sus polí</w:t>
      </w:r>
      <w:r>
        <w:rPr>
          <w:rFonts w:ascii="ArialMT" w:hAnsi="ArialMT" w:cs="ArialMT"/>
          <w:sz w:val="20"/>
          <w:szCs w:val="20"/>
        </w:rPr>
        <w:t xml:space="preserve">ticas </w:t>
      </w:r>
      <w:r>
        <w:rPr>
          <w:rFonts w:ascii="ArialMT" w:hAnsi="ArialMT" w:cs="ArialMT"/>
          <w:sz w:val="20"/>
          <w:szCs w:val="20"/>
        </w:rPr>
        <w:t>monetarias, con tasas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interés de referencia en niveles bajos y medidas 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convenc</w:t>
      </w:r>
      <w:r>
        <w:rPr>
          <w:rFonts w:ascii="ArialMT" w:hAnsi="ArialMT" w:cs="ArialMT"/>
          <w:sz w:val="20"/>
          <w:szCs w:val="20"/>
        </w:rPr>
        <w:t xml:space="preserve">ionales para </w:t>
      </w:r>
      <w:r>
        <w:rPr>
          <w:rFonts w:ascii="ArialMT" w:hAnsi="ArialMT" w:cs="ArialMT"/>
          <w:sz w:val="20"/>
          <w:szCs w:val="20"/>
        </w:rPr>
        <w:t>estimular la demanda. Un caso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particular es el de EE.UU., cuya autoridad monetaria</w:t>
      </w:r>
      <w:r>
        <w:rPr>
          <w:rFonts w:ascii="Arial" w:hAnsi="Arial" w:cs="Arial"/>
          <w:sz w:val="20"/>
          <w:szCs w:val="20"/>
        </w:rPr>
        <w:t xml:space="preserve"> comenzó la </w:t>
      </w:r>
      <w:r>
        <w:rPr>
          <w:rFonts w:ascii="Arial" w:hAnsi="Arial" w:cs="Arial"/>
          <w:sz w:val="20"/>
          <w:szCs w:val="20"/>
        </w:rPr>
        <w:t>reducc</w:t>
      </w:r>
      <w:r>
        <w:rPr>
          <w:rFonts w:ascii="Arial" w:hAnsi="Arial" w:cs="Arial"/>
          <w:sz w:val="20"/>
          <w:szCs w:val="20"/>
        </w:rPr>
        <w:t xml:space="preserve">ión de su programa de compra de </w:t>
      </w:r>
      <w:r>
        <w:rPr>
          <w:rFonts w:ascii="ArialMT" w:hAnsi="ArialMT" w:cs="ArialMT"/>
          <w:sz w:val="20"/>
          <w:szCs w:val="20"/>
        </w:rPr>
        <w:t>activos a inicios de la presente gestión y se espera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que concluya en el último trimestre.</w:t>
      </w:r>
    </w:p>
    <w:p w:rsidR="00E07F13" w:rsidRP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los merca</w:t>
      </w:r>
      <w:r>
        <w:rPr>
          <w:rFonts w:ascii="ArialMT" w:hAnsi="ArialMT" w:cs="ArialMT"/>
          <w:sz w:val="20"/>
          <w:szCs w:val="20"/>
        </w:rPr>
        <w:t xml:space="preserve">dos financieros y cambiarios </w:t>
      </w:r>
      <w:r>
        <w:rPr>
          <w:rFonts w:ascii="ArialMT" w:hAnsi="ArialMT" w:cs="ArialMT"/>
          <w:sz w:val="20"/>
          <w:szCs w:val="20"/>
        </w:rPr>
        <w:t>internac</w:t>
      </w:r>
      <w:r>
        <w:rPr>
          <w:rFonts w:ascii="ArialMT" w:hAnsi="ArialMT" w:cs="ArialMT"/>
          <w:sz w:val="20"/>
          <w:szCs w:val="20"/>
        </w:rPr>
        <w:t xml:space="preserve">ionales, luego de observarse un periodo </w:t>
      </w:r>
      <w:r>
        <w:rPr>
          <w:rFonts w:ascii="Arial" w:hAnsi="Arial" w:cs="Arial"/>
          <w:sz w:val="20"/>
          <w:szCs w:val="20"/>
        </w:rPr>
        <w:t>de estabilidad en la primera mitad del año, en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últimos meses se evidenció</w:t>
      </w:r>
      <w:r>
        <w:rPr>
          <w:rFonts w:ascii="ArialMT" w:hAnsi="ArialMT" w:cs="ArialMT"/>
          <w:sz w:val="20"/>
          <w:szCs w:val="20"/>
        </w:rPr>
        <w:t xml:space="preserve"> una mayor volatilidad y </w:t>
      </w:r>
      <w:r>
        <w:rPr>
          <w:rFonts w:ascii="Arial" w:hAnsi="Arial" w:cs="Arial"/>
          <w:sz w:val="20"/>
          <w:szCs w:val="20"/>
        </w:rPr>
        <w:t>apreciación del dólar estadounidense producto de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expectativas de un incre</w:t>
      </w:r>
      <w:r>
        <w:rPr>
          <w:rFonts w:ascii="ArialMT" w:hAnsi="ArialMT" w:cs="ArialMT"/>
          <w:sz w:val="20"/>
          <w:szCs w:val="20"/>
        </w:rPr>
        <w:t xml:space="preserve">mento </w:t>
      </w:r>
      <w:r>
        <w:rPr>
          <w:rFonts w:ascii="ArialMT" w:hAnsi="ArialMT" w:cs="ArialMT"/>
          <w:sz w:val="20"/>
          <w:szCs w:val="20"/>
        </w:rPr>
        <w:t>de las tasas de interé</w:t>
      </w:r>
      <w:r>
        <w:rPr>
          <w:rFonts w:ascii="ArialMT" w:hAnsi="ArialMT" w:cs="ArialMT"/>
          <w:sz w:val="20"/>
          <w:szCs w:val="20"/>
        </w:rPr>
        <w:t xml:space="preserve">s </w:t>
      </w:r>
      <w:r>
        <w:rPr>
          <w:rFonts w:ascii="ArialMT" w:hAnsi="ArialMT" w:cs="ArialMT"/>
          <w:sz w:val="20"/>
          <w:szCs w:val="20"/>
        </w:rPr>
        <w:t>en EE.UU.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al contexto regional, se observó una pé</w:t>
      </w:r>
      <w:r>
        <w:rPr>
          <w:rFonts w:ascii="ArialMT" w:hAnsi="ArialMT" w:cs="ArialMT"/>
          <w:sz w:val="20"/>
          <w:szCs w:val="20"/>
        </w:rPr>
        <w:t xml:space="preserve">rdida </w:t>
      </w:r>
      <w:r>
        <w:rPr>
          <w:rFonts w:ascii="Arial" w:hAnsi="Arial" w:cs="Arial"/>
          <w:sz w:val="20"/>
          <w:szCs w:val="20"/>
        </w:rPr>
        <w:t>del</w:t>
      </w:r>
      <w:r>
        <w:rPr>
          <w:rFonts w:ascii="Arial" w:hAnsi="Arial" w:cs="Arial"/>
          <w:sz w:val="20"/>
          <w:szCs w:val="20"/>
        </w:rPr>
        <w:t xml:space="preserve"> dinamismo en América Latina, a </w:t>
      </w:r>
      <w:r>
        <w:rPr>
          <w:rFonts w:ascii="Arial" w:hAnsi="Arial" w:cs="Arial"/>
          <w:sz w:val="20"/>
          <w:szCs w:val="20"/>
        </w:rPr>
        <w:t>consecuencia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la desaceleración de la inversió</w:t>
      </w:r>
      <w:r>
        <w:rPr>
          <w:rFonts w:ascii="ArialMT" w:hAnsi="ArialMT" w:cs="ArialMT"/>
          <w:sz w:val="20"/>
          <w:szCs w:val="20"/>
        </w:rPr>
        <w:t xml:space="preserve">n en un marco </w:t>
      </w:r>
      <w:r>
        <w:rPr>
          <w:rFonts w:ascii="ArialMT" w:hAnsi="ArialMT" w:cs="ArialMT"/>
          <w:sz w:val="20"/>
          <w:szCs w:val="20"/>
        </w:rPr>
        <w:t>de condiciones financieras má</w:t>
      </w:r>
      <w:r>
        <w:rPr>
          <w:rFonts w:ascii="ArialMT" w:hAnsi="ArialMT" w:cs="ArialMT"/>
          <w:sz w:val="20"/>
          <w:szCs w:val="20"/>
        </w:rPr>
        <w:t xml:space="preserve">s restrictivas y la </w:t>
      </w:r>
      <w:r>
        <w:rPr>
          <w:rFonts w:ascii="ArialMT" w:hAnsi="ArialMT" w:cs="ArialMT"/>
          <w:sz w:val="20"/>
          <w:szCs w:val="20"/>
        </w:rPr>
        <w:t>disminución en la d</w:t>
      </w:r>
      <w:r>
        <w:rPr>
          <w:rFonts w:ascii="ArialMT" w:hAnsi="ArialMT" w:cs="ArialMT"/>
          <w:sz w:val="20"/>
          <w:szCs w:val="20"/>
        </w:rPr>
        <w:t xml:space="preserve">emanda de sus exportaciones. No obstante, existieron </w:t>
      </w:r>
      <w:r>
        <w:rPr>
          <w:rFonts w:ascii="ArialMT" w:hAnsi="ArialMT" w:cs="ArialMT"/>
          <w:sz w:val="20"/>
          <w:szCs w:val="20"/>
        </w:rPr>
        <w:t>excepciones a esta configuració</w:t>
      </w:r>
      <w:r>
        <w:rPr>
          <w:rFonts w:ascii="ArialMT" w:hAnsi="ArialMT" w:cs="ArialMT"/>
          <w:sz w:val="20"/>
          <w:szCs w:val="20"/>
        </w:rPr>
        <w:t xml:space="preserve">n, </w:t>
      </w:r>
      <w:r>
        <w:rPr>
          <w:rFonts w:ascii="ArialMT" w:hAnsi="ArialMT" w:cs="ArialMT"/>
          <w:sz w:val="20"/>
          <w:szCs w:val="20"/>
        </w:rPr>
        <w:t>con países que mant</w:t>
      </w:r>
      <w:r>
        <w:rPr>
          <w:rFonts w:ascii="ArialMT" w:hAnsi="ArialMT" w:cs="ArialMT"/>
          <w:sz w:val="20"/>
          <w:szCs w:val="20"/>
        </w:rPr>
        <w:t xml:space="preserve">uvieron un dinamismo importante como </w:t>
      </w:r>
      <w:r>
        <w:rPr>
          <w:rFonts w:ascii="ArialMT" w:hAnsi="ArialMT" w:cs="ArialMT"/>
          <w:sz w:val="20"/>
          <w:szCs w:val="20"/>
        </w:rPr>
        <w:t>Bolivia que, segú</w:t>
      </w:r>
      <w:r>
        <w:rPr>
          <w:rFonts w:ascii="ArialMT" w:hAnsi="ArialMT" w:cs="ArialMT"/>
          <w:sz w:val="20"/>
          <w:szCs w:val="20"/>
        </w:rPr>
        <w:t xml:space="preserve">n estimaciones oficiales y </w:t>
      </w:r>
      <w:r>
        <w:rPr>
          <w:rFonts w:ascii="Arial" w:hAnsi="Arial" w:cs="Arial"/>
          <w:sz w:val="20"/>
          <w:szCs w:val="20"/>
        </w:rPr>
        <w:t>de organismos internacionales, será una de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economías con mayor crecimiento en 2014.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efecto, en lo concerniente a la actividad econó</w:t>
      </w:r>
      <w:r>
        <w:rPr>
          <w:rFonts w:ascii="ArialMT" w:hAnsi="ArialMT" w:cs="ArialMT"/>
          <w:sz w:val="20"/>
          <w:szCs w:val="20"/>
        </w:rPr>
        <w:t xml:space="preserve">mica </w:t>
      </w:r>
      <w:r>
        <w:rPr>
          <w:rFonts w:ascii="Arial" w:hAnsi="Arial" w:cs="Arial"/>
          <w:sz w:val="20"/>
          <w:szCs w:val="20"/>
        </w:rPr>
        <w:t>nacional,</w:t>
      </w:r>
      <w:r>
        <w:rPr>
          <w:rFonts w:ascii="Arial" w:hAnsi="Arial" w:cs="Arial"/>
          <w:sz w:val="20"/>
          <w:szCs w:val="20"/>
        </w:rPr>
        <w:t xml:space="preserve"> el crecimiento alcanzado en la </w:t>
      </w:r>
      <w:r>
        <w:rPr>
          <w:rFonts w:ascii="Arial" w:hAnsi="Arial" w:cs="Arial"/>
          <w:sz w:val="20"/>
          <w:szCs w:val="20"/>
        </w:rPr>
        <w:t>primera mitad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la gestión fue de 5,1%, desempeñ</w:t>
      </w:r>
      <w:r>
        <w:rPr>
          <w:rFonts w:ascii="ArialMT" w:hAnsi="ArialMT" w:cs="ArialMT"/>
          <w:sz w:val="20"/>
          <w:szCs w:val="20"/>
        </w:rPr>
        <w:t xml:space="preserve">o favorable que se sustenta en el aporte positivo de todos los sectores, </w:t>
      </w:r>
      <w:r>
        <w:rPr>
          <w:rFonts w:ascii="ArialMT" w:hAnsi="ArialMT" w:cs="ArialMT"/>
          <w:sz w:val="20"/>
          <w:szCs w:val="20"/>
        </w:rPr>
        <w:t>en especial Ind</w:t>
      </w:r>
      <w:r>
        <w:rPr>
          <w:rFonts w:ascii="ArialMT" w:hAnsi="ArialMT" w:cs="ArialMT"/>
          <w:sz w:val="20"/>
          <w:szCs w:val="20"/>
        </w:rPr>
        <w:t xml:space="preserve">ustrias, Servicios Financieros, Hidrocarburos, </w:t>
      </w:r>
      <w:r>
        <w:rPr>
          <w:rFonts w:ascii="ArialMT" w:hAnsi="ArialMT" w:cs="ArialMT"/>
          <w:sz w:val="20"/>
          <w:szCs w:val="20"/>
        </w:rPr>
        <w:t>Servicios de la Administración Pú</w:t>
      </w:r>
      <w:r>
        <w:rPr>
          <w:rFonts w:ascii="ArialMT" w:hAnsi="ArialMT" w:cs="ArialMT"/>
          <w:sz w:val="20"/>
          <w:szCs w:val="20"/>
        </w:rPr>
        <w:t xml:space="preserve">blica, </w:t>
      </w:r>
      <w:r>
        <w:rPr>
          <w:rFonts w:ascii="ArialMT" w:hAnsi="ArialMT" w:cs="ArialMT"/>
          <w:sz w:val="20"/>
          <w:szCs w:val="20"/>
        </w:rPr>
        <w:t xml:space="preserve">y Transporte y </w:t>
      </w:r>
      <w:r>
        <w:rPr>
          <w:rFonts w:ascii="ArialMT" w:hAnsi="ArialMT" w:cs="ArialMT"/>
          <w:sz w:val="20"/>
          <w:szCs w:val="20"/>
        </w:rPr>
        <w:t xml:space="preserve">Almacenamiento; que en conjunto explican </w:t>
      </w:r>
      <w:r>
        <w:rPr>
          <w:rFonts w:ascii="ArialMT" w:hAnsi="ArialMT" w:cs="ArialMT"/>
          <w:sz w:val="20"/>
          <w:szCs w:val="20"/>
        </w:rPr>
        <w:t>más de la m</w:t>
      </w:r>
      <w:r>
        <w:rPr>
          <w:rFonts w:ascii="ArialMT" w:hAnsi="ArialMT" w:cs="ArialMT"/>
          <w:sz w:val="20"/>
          <w:szCs w:val="20"/>
        </w:rPr>
        <w:t xml:space="preserve">itad del crecimiento acumulado. </w:t>
      </w:r>
      <w:r>
        <w:rPr>
          <w:rFonts w:ascii="Arial" w:hAnsi="Arial" w:cs="Arial"/>
          <w:sz w:val="20"/>
          <w:szCs w:val="20"/>
        </w:rPr>
        <w:t>Por el lado del gasto, el crecimiento fue impulsado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principalmente por la demanda interna, destacando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su interior e</w:t>
      </w:r>
      <w:r>
        <w:rPr>
          <w:rFonts w:ascii="Arial" w:hAnsi="Arial" w:cs="Arial"/>
          <w:sz w:val="20"/>
          <w:szCs w:val="20"/>
        </w:rPr>
        <w:t xml:space="preserve">l repunte de la Formación Bruta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Capital Fijo.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un contexto int</w:t>
      </w:r>
      <w:r>
        <w:rPr>
          <w:rFonts w:ascii="ArialMT" w:hAnsi="ArialMT" w:cs="ArialMT"/>
          <w:sz w:val="20"/>
          <w:szCs w:val="20"/>
        </w:rPr>
        <w:t xml:space="preserve">ernacional menos favorable, las </w:t>
      </w:r>
      <w:r>
        <w:rPr>
          <w:rFonts w:ascii="ArialMT" w:hAnsi="ArialMT" w:cs="ArialMT"/>
          <w:sz w:val="20"/>
          <w:szCs w:val="20"/>
        </w:rPr>
        <w:t>cuentas e</w:t>
      </w:r>
      <w:r>
        <w:rPr>
          <w:rFonts w:ascii="ArialMT" w:hAnsi="ArialMT" w:cs="ArialMT"/>
          <w:sz w:val="20"/>
          <w:szCs w:val="20"/>
        </w:rPr>
        <w:t xml:space="preserve">xternas continuaron registrando resultados </w:t>
      </w:r>
      <w:r>
        <w:rPr>
          <w:rFonts w:ascii="ArialMT" w:hAnsi="ArialMT" w:cs="ArialMT"/>
          <w:sz w:val="20"/>
          <w:szCs w:val="20"/>
        </w:rPr>
        <w:t>positivos, explicados en parte por el superá</w:t>
      </w:r>
      <w:r>
        <w:rPr>
          <w:rFonts w:ascii="ArialMT" w:hAnsi="ArialMT" w:cs="ArialMT"/>
          <w:sz w:val="20"/>
          <w:szCs w:val="20"/>
        </w:rPr>
        <w:t xml:space="preserve">vit </w:t>
      </w:r>
      <w:r>
        <w:rPr>
          <w:rFonts w:ascii="ArialMT" w:hAnsi="ArialMT" w:cs="ArialMT"/>
          <w:sz w:val="20"/>
          <w:szCs w:val="20"/>
        </w:rPr>
        <w:t>comercial y el mayor flujo de inversió</w:t>
      </w:r>
      <w:r>
        <w:rPr>
          <w:rFonts w:ascii="ArialMT" w:hAnsi="ArialMT" w:cs="ArialMT"/>
          <w:sz w:val="20"/>
          <w:szCs w:val="20"/>
        </w:rPr>
        <w:t xml:space="preserve">n extranjera </w:t>
      </w:r>
      <w:r>
        <w:rPr>
          <w:rFonts w:ascii="ArialMT" w:hAnsi="ArialMT" w:cs="ArialMT"/>
          <w:sz w:val="20"/>
          <w:szCs w:val="20"/>
        </w:rPr>
        <w:t>directa, que generaron un superá</w:t>
      </w:r>
      <w:r>
        <w:rPr>
          <w:rFonts w:ascii="ArialMT" w:hAnsi="ArialMT" w:cs="ArialMT"/>
          <w:sz w:val="20"/>
          <w:szCs w:val="20"/>
        </w:rPr>
        <w:t xml:space="preserve">vit en la balanza </w:t>
      </w:r>
      <w:r>
        <w:rPr>
          <w:rFonts w:ascii="ArialMT" w:hAnsi="ArialMT" w:cs="ArialMT"/>
          <w:sz w:val="20"/>
          <w:szCs w:val="20"/>
        </w:rPr>
        <w:t xml:space="preserve">global </w:t>
      </w:r>
      <w:r>
        <w:rPr>
          <w:rFonts w:ascii="ArialMT" w:hAnsi="ArialMT" w:cs="ArialMT"/>
          <w:sz w:val="20"/>
          <w:szCs w:val="20"/>
        </w:rPr>
        <w:t xml:space="preserve">y un incremento de las reservas internacionales </w:t>
      </w:r>
      <w:r>
        <w:rPr>
          <w:rFonts w:ascii="ArialMT" w:hAnsi="ArialMT" w:cs="ArialMT"/>
          <w:sz w:val="20"/>
          <w:szCs w:val="20"/>
        </w:rPr>
        <w:t>en lo que va del añ</w:t>
      </w:r>
      <w:r>
        <w:rPr>
          <w:rFonts w:ascii="ArialMT" w:hAnsi="ArialMT" w:cs="ArialMT"/>
          <w:sz w:val="20"/>
          <w:szCs w:val="20"/>
        </w:rPr>
        <w:t xml:space="preserve">o. 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su vez, hast</w:t>
      </w:r>
      <w:r>
        <w:rPr>
          <w:rFonts w:ascii="ArialMT" w:hAnsi="ArialMT" w:cs="ArialMT"/>
          <w:sz w:val="20"/>
          <w:szCs w:val="20"/>
        </w:rPr>
        <w:t xml:space="preserve">a septiembre de 2014, el ahorro </w:t>
      </w:r>
      <w:r>
        <w:rPr>
          <w:rFonts w:ascii="ArialMT" w:hAnsi="ArialMT" w:cs="ArialMT"/>
          <w:sz w:val="20"/>
          <w:szCs w:val="20"/>
        </w:rPr>
        <w:t>financiero incrementó su dinamismo (21,3%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interanual), al tiempo que el cré</w:t>
      </w:r>
      <w:r>
        <w:rPr>
          <w:rFonts w:ascii="ArialMT" w:hAnsi="ArialMT" w:cs="ArialMT"/>
          <w:sz w:val="20"/>
          <w:szCs w:val="20"/>
        </w:rPr>
        <w:t xml:space="preserve">dito destinado al </w:t>
      </w:r>
      <w:r>
        <w:rPr>
          <w:rFonts w:ascii="ArialMT" w:hAnsi="ArialMT" w:cs="ArialMT"/>
          <w:sz w:val="20"/>
          <w:szCs w:val="20"/>
        </w:rPr>
        <w:t>sector privado experimentó tambié</w:t>
      </w:r>
      <w:r>
        <w:rPr>
          <w:rFonts w:ascii="ArialMT" w:hAnsi="ArialMT" w:cs="ArialMT"/>
          <w:sz w:val="20"/>
          <w:szCs w:val="20"/>
        </w:rPr>
        <w:t xml:space="preserve">n un crecimiento </w:t>
      </w:r>
      <w:r>
        <w:rPr>
          <w:rFonts w:ascii="ArialMT" w:hAnsi="ArialMT" w:cs="ArialMT"/>
          <w:sz w:val="20"/>
          <w:szCs w:val="20"/>
        </w:rPr>
        <w:t>significativo (15,5%), destacando los pré</w:t>
      </w:r>
      <w:r>
        <w:rPr>
          <w:rFonts w:ascii="ArialMT" w:hAnsi="ArialMT" w:cs="ArialMT"/>
          <w:sz w:val="20"/>
          <w:szCs w:val="20"/>
        </w:rPr>
        <w:t xml:space="preserve">stamos al </w:t>
      </w:r>
      <w:r>
        <w:rPr>
          <w:rFonts w:ascii="ArialMT" w:hAnsi="ArialMT" w:cs="ArialMT"/>
          <w:sz w:val="20"/>
          <w:szCs w:val="20"/>
        </w:rPr>
        <w:t>sector productivo (19,8%). En lí</w:t>
      </w:r>
      <w:r>
        <w:rPr>
          <w:rFonts w:ascii="ArialMT" w:hAnsi="ArialMT" w:cs="ArialMT"/>
          <w:sz w:val="20"/>
          <w:szCs w:val="20"/>
        </w:rPr>
        <w:t xml:space="preserve">nea </w:t>
      </w:r>
      <w:r>
        <w:rPr>
          <w:rFonts w:ascii="ArialMT" w:hAnsi="ArialMT" w:cs="ArialMT"/>
          <w:sz w:val="20"/>
          <w:szCs w:val="20"/>
        </w:rPr>
        <w:t>con las políticas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>, los créditos y ahorros continu</w:t>
      </w:r>
      <w:r>
        <w:rPr>
          <w:rFonts w:ascii="ArialMT" w:hAnsi="ArialMT" w:cs="ArialMT"/>
          <w:sz w:val="20"/>
          <w:szCs w:val="20"/>
        </w:rPr>
        <w:t xml:space="preserve">aron </w:t>
      </w:r>
      <w:r>
        <w:rPr>
          <w:rFonts w:ascii="Arial" w:hAnsi="Arial" w:cs="Arial"/>
          <w:sz w:val="20"/>
          <w:szCs w:val="20"/>
        </w:rPr>
        <w:t xml:space="preserve">su tendencia hacia un mayor </w:t>
      </w:r>
      <w:r>
        <w:rPr>
          <w:rFonts w:ascii="Arial" w:hAnsi="Arial" w:cs="Arial"/>
          <w:sz w:val="20"/>
          <w:szCs w:val="20"/>
        </w:rPr>
        <w:t>uso de la moneda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nacional, cuya participación alcanzó</w:t>
      </w:r>
      <w:r>
        <w:rPr>
          <w:rFonts w:ascii="ArialMT" w:hAnsi="ArialMT" w:cs="ArialMT"/>
          <w:sz w:val="20"/>
          <w:szCs w:val="20"/>
        </w:rPr>
        <w:t xml:space="preserve"> a 91,4% y 81,2%, respectivamente. De igual manera, el crecimiento </w:t>
      </w:r>
      <w:r>
        <w:rPr>
          <w:rFonts w:ascii="ArialMT" w:hAnsi="ArialMT" w:cs="ArialMT"/>
          <w:sz w:val="20"/>
          <w:szCs w:val="20"/>
        </w:rPr>
        <w:t>interanual de la emisió</w:t>
      </w:r>
      <w:r>
        <w:rPr>
          <w:rFonts w:ascii="ArialMT" w:hAnsi="ArialMT" w:cs="ArialMT"/>
          <w:sz w:val="20"/>
          <w:szCs w:val="20"/>
        </w:rPr>
        <w:t xml:space="preserve">n monetaria (11,4%) se </w:t>
      </w:r>
      <w:r>
        <w:rPr>
          <w:rFonts w:ascii="ArialMT" w:hAnsi="ArialMT" w:cs="ArialMT"/>
          <w:sz w:val="20"/>
          <w:szCs w:val="20"/>
        </w:rPr>
        <w:t>mantuvo en lí</w:t>
      </w:r>
      <w:r>
        <w:rPr>
          <w:rFonts w:ascii="ArialMT" w:hAnsi="ArialMT" w:cs="ArialMT"/>
          <w:sz w:val="20"/>
          <w:szCs w:val="20"/>
        </w:rPr>
        <w:t xml:space="preserve">nea con la demanda de dinero estimada </w:t>
      </w:r>
      <w:r>
        <w:rPr>
          <w:rFonts w:ascii="Arial" w:hAnsi="Arial" w:cs="Arial"/>
          <w:sz w:val="20"/>
          <w:szCs w:val="20"/>
        </w:rPr>
        <w:t>en base a sus fundamentos y con las proyecciones</w:t>
      </w:r>
      <w:r>
        <w:rPr>
          <w:rFonts w:ascii="ArialMT" w:hAnsi="ArialMT" w:cs="ArialMT"/>
          <w:sz w:val="20"/>
          <w:szCs w:val="20"/>
        </w:rPr>
        <w:t xml:space="preserve"> del IPM de enero </w:t>
      </w:r>
      <w:r>
        <w:rPr>
          <w:rFonts w:ascii="ArialMT" w:hAnsi="ArialMT" w:cs="ArialMT"/>
          <w:sz w:val="20"/>
          <w:szCs w:val="20"/>
        </w:rPr>
        <w:t>de 2</w:t>
      </w:r>
      <w:r>
        <w:rPr>
          <w:rFonts w:ascii="ArialMT" w:hAnsi="ArialMT" w:cs="ArialMT"/>
          <w:sz w:val="20"/>
          <w:szCs w:val="20"/>
        </w:rPr>
        <w:t xml:space="preserve">014, reflejando la inexistencia </w:t>
      </w:r>
      <w:r>
        <w:rPr>
          <w:rFonts w:ascii="ArialMT" w:hAnsi="ArialMT" w:cs="ArialMT"/>
          <w:sz w:val="20"/>
          <w:szCs w:val="20"/>
        </w:rPr>
        <w:t>de desequilibrio</w:t>
      </w:r>
      <w:r>
        <w:rPr>
          <w:rFonts w:ascii="ArialMT" w:hAnsi="ArialMT" w:cs="ArialMT"/>
          <w:sz w:val="20"/>
          <w:szCs w:val="20"/>
        </w:rPr>
        <w:t xml:space="preserve">s monetarios que pudieran haber implicado </w:t>
      </w:r>
      <w:r>
        <w:rPr>
          <w:rFonts w:ascii="ArialMT" w:hAnsi="ArialMT" w:cs="ArialMT"/>
          <w:sz w:val="20"/>
          <w:szCs w:val="20"/>
        </w:rPr>
        <w:t>presiones inflacionarias.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este contexto, la inflación evolucionó</w:t>
      </w:r>
      <w:r>
        <w:rPr>
          <w:rFonts w:ascii="ArialMT" w:hAnsi="ArialMT" w:cs="ArialMT"/>
          <w:sz w:val="20"/>
          <w:szCs w:val="20"/>
        </w:rPr>
        <w:t xml:space="preserve"> de </w:t>
      </w:r>
      <w:r>
        <w:rPr>
          <w:rFonts w:ascii="ArialMT" w:hAnsi="ArialMT" w:cs="ArialMT"/>
          <w:sz w:val="20"/>
          <w:szCs w:val="20"/>
        </w:rPr>
        <w:t>forma estable en los primeros m</w:t>
      </w:r>
      <w:r>
        <w:rPr>
          <w:rFonts w:ascii="ArialMT" w:hAnsi="ArialMT" w:cs="ArialMT"/>
          <w:sz w:val="20"/>
          <w:szCs w:val="20"/>
        </w:rPr>
        <w:t xml:space="preserve">eses de 2014; no </w:t>
      </w:r>
      <w:r>
        <w:rPr>
          <w:rFonts w:ascii="ArialMT" w:hAnsi="ArialMT" w:cs="ArialMT"/>
          <w:sz w:val="20"/>
          <w:szCs w:val="20"/>
        </w:rPr>
        <w:t>obstante, a mediados de añ</w:t>
      </w:r>
      <w:r>
        <w:rPr>
          <w:rFonts w:ascii="ArialMT" w:hAnsi="ArialMT" w:cs="ArialMT"/>
          <w:sz w:val="20"/>
          <w:szCs w:val="20"/>
        </w:rPr>
        <w:t xml:space="preserve">o tuvo lugar un repunte </w:t>
      </w:r>
      <w:r>
        <w:rPr>
          <w:rFonts w:ascii="Arial" w:hAnsi="Arial" w:cs="Arial"/>
          <w:sz w:val="20"/>
          <w:szCs w:val="20"/>
        </w:rPr>
        <w:t>transitorio, debido al incremento en los precios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algunos alim</w:t>
      </w:r>
      <w:r>
        <w:rPr>
          <w:rFonts w:ascii="ArialMT" w:hAnsi="ArialMT" w:cs="ArialMT"/>
          <w:sz w:val="20"/>
          <w:szCs w:val="20"/>
        </w:rPr>
        <w:t xml:space="preserve">entos como efecto de choques de </w:t>
      </w:r>
      <w:r>
        <w:rPr>
          <w:rFonts w:ascii="ArialMT" w:hAnsi="ArialMT" w:cs="ArialMT"/>
          <w:sz w:val="20"/>
          <w:szCs w:val="20"/>
        </w:rPr>
        <w:t>oferta (fenómenos climá</w:t>
      </w:r>
      <w:r>
        <w:rPr>
          <w:rFonts w:ascii="ArialMT" w:hAnsi="ArialMT" w:cs="ArialMT"/>
          <w:sz w:val="20"/>
          <w:szCs w:val="20"/>
        </w:rPr>
        <w:t xml:space="preserve">ticos adversos y </w:t>
      </w:r>
      <w:r>
        <w:rPr>
          <w:rFonts w:ascii="ArialMT" w:hAnsi="ArialMT" w:cs="ArialMT"/>
          <w:sz w:val="20"/>
          <w:szCs w:val="20"/>
        </w:rPr>
        <w:t>actividades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especulativas). Este repunte se revirtió en los meses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siguientes, con una inflació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lastRenderedPageBreak/>
        <w:t xml:space="preserve">mensual negativa </w:t>
      </w:r>
      <w:r>
        <w:rPr>
          <w:rFonts w:ascii="ArialMT" w:hAnsi="ArialMT" w:cs="ArialMT"/>
          <w:sz w:val="20"/>
          <w:szCs w:val="20"/>
        </w:rPr>
        <w:t>de -0,4% en septiembre, con lo cual la inflació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acumulada llegó</w:t>
      </w:r>
      <w:r>
        <w:rPr>
          <w:rFonts w:ascii="ArialMT" w:hAnsi="ArialMT" w:cs="ArialMT"/>
          <w:sz w:val="20"/>
          <w:szCs w:val="20"/>
        </w:rPr>
        <w:t xml:space="preserve"> a 3,5% y la </w:t>
      </w:r>
      <w:r>
        <w:rPr>
          <w:rFonts w:ascii="ArialMT" w:hAnsi="ArialMT" w:cs="ArialMT"/>
          <w:sz w:val="20"/>
          <w:szCs w:val="20"/>
        </w:rPr>
        <w:t>interanual se sitú</w:t>
      </w:r>
      <w:r>
        <w:rPr>
          <w:rFonts w:ascii="ArialMT" w:hAnsi="ArialMT" w:cs="ArialMT"/>
          <w:sz w:val="20"/>
          <w:szCs w:val="20"/>
        </w:rPr>
        <w:t xml:space="preserve">o en </w:t>
      </w:r>
      <w:r>
        <w:rPr>
          <w:rFonts w:ascii="ArialMT" w:hAnsi="ArialMT" w:cs="ArialMT"/>
          <w:sz w:val="20"/>
          <w:szCs w:val="20"/>
        </w:rPr>
        <w:t>4,3%, en línea con</w:t>
      </w:r>
      <w:r>
        <w:rPr>
          <w:rFonts w:ascii="ArialMT" w:hAnsi="ArialMT" w:cs="ArialMT"/>
          <w:sz w:val="20"/>
          <w:szCs w:val="20"/>
        </w:rPr>
        <w:t xml:space="preserve"> las proyecciones anunciadas en </w:t>
      </w:r>
      <w:r>
        <w:rPr>
          <w:rFonts w:ascii="Arial" w:hAnsi="Arial" w:cs="Arial"/>
          <w:sz w:val="20"/>
          <w:szCs w:val="20"/>
        </w:rPr>
        <w:t xml:space="preserve">la anterior edición del </w:t>
      </w:r>
      <w:r>
        <w:rPr>
          <w:rFonts w:ascii="Arial" w:hAnsi="Arial" w:cs="Arial"/>
          <w:sz w:val="20"/>
          <w:szCs w:val="20"/>
        </w:rPr>
        <w:t>IPM y situándose entre las más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bajas de la región.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control de la inflación se efectuó</w:t>
      </w:r>
      <w:r>
        <w:rPr>
          <w:rFonts w:ascii="ArialMT" w:hAnsi="ArialMT" w:cs="ArialMT"/>
          <w:sz w:val="20"/>
          <w:szCs w:val="20"/>
        </w:rPr>
        <w:t xml:space="preserve"> de forma </w:t>
      </w:r>
      <w:r>
        <w:rPr>
          <w:rFonts w:ascii="Arial" w:hAnsi="Arial" w:cs="Arial"/>
          <w:sz w:val="20"/>
          <w:szCs w:val="20"/>
        </w:rPr>
        <w:t>acelerada, destacando las políticas de abastecimiento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promovidas por el Órga</w:t>
      </w:r>
      <w:r>
        <w:rPr>
          <w:rFonts w:ascii="ArialMT" w:hAnsi="ArialMT" w:cs="ArialMT"/>
          <w:sz w:val="20"/>
          <w:szCs w:val="20"/>
        </w:rPr>
        <w:t xml:space="preserve">no Ejecutivo que facilitaron la </w:t>
      </w:r>
      <w:r>
        <w:rPr>
          <w:rFonts w:ascii="ArialMT" w:hAnsi="ArialMT" w:cs="ArialMT"/>
          <w:sz w:val="20"/>
          <w:szCs w:val="20"/>
        </w:rPr>
        <w:t>corrección de precios, así</w:t>
      </w:r>
      <w:r>
        <w:rPr>
          <w:rFonts w:ascii="ArialMT" w:hAnsi="ArialMT" w:cs="ArialMT"/>
          <w:sz w:val="20"/>
          <w:szCs w:val="20"/>
        </w:rPr>
        <w:t xml:space="preserve"> como el retiro de liquidez </w:t>
      </w:r>
      <w:r>
        <w:rPr>
          <w:rFonts w:ascii="ArialMT" w:hAnsi="ArialMT" w:cs="ArialMT"/>
          <w:sz w:val="20"/>
          <w:szCs w:val="20"/>
        </w:rPr>
        <w:t>que realizó el BCB de forma preventiva que contribuyó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ev</w:t>
      </w:r>
      <w:r>
        <w:rPr>
          <w:rFonts w:ascii="ArialMT" w:hAnsi="ArialMT" w:cs="ArialMT"/>
          <w:sz w:val="20"/>
          <w:szCs w:val="20"/>
        </w:rPr>
        <w:t xml:space="preserve">itar efectos de segunda vuelta. Al respecto, la </w:t>
      </w:r>
      <w:r>
        <w:rPr>
          <w:rFonts w:ascii="Arial" w:hAnsi="Arial" w:cs="Arial"/>
          <w:sz w:val="20"/>
          <w:szCs w:val="20"/>
        </w:rPr>
        <w:t>trayectoria estable de los indicadores de tendencia</w:t>
      </w:r>
      <w:r>
        <w:rPr>
          <w:rFonts w:ascii="ArialMT" w:hAnsi="ArialMT" w:cs="ArialMT"/>
          <w:sz w:val="20"/>
          <w:szCs w:val="20"/>
        </w:rPr>
        <w:t xml:space="preserve"> inflacionaria (con tasas interanuales en torno a 4%) </w:t>
      </w:r>
      <w:r>
        <w:rPr>
          <w:rFonts w:ascii="ArialMT" w:hAnsi="ArialMT" w:cs="ArialMT"/>
          <w:sz w:val="20"/>
          <w:szCs w:val="20"/>
        </w:rPr>
        <w:t>confirmó que no exis</w:t>
      </w:r>
      <w:r>
        <w:rPr>
          <w:rFonts w:ascii="ArialMT" w:hAnsi="ArialMT" w:cs="ArialMT"/>
          <w:sz w:val="20"/>
          <w:szCs w:val="20"/>
        </w:rPr>
        <w:t xml:space="preserve">tieron presiones significativas sobre el </w:t>
      </w:r>
      <w:r>
        <w:rPr>
          <w:rFonts w:ascii="ArialMT" w:hAnsi="ArialMT" w:cs="ArialMT"/>
          <w:sz w:val="20"/>
          <w:szCs w:val="20"/>
        </w:rPr>
        <w:t>componente de largo plazo de la inflació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y que el alza de mediados de añ</w:t>
      </w:r>
      <w:r>
        <w:rPr>
          <w:rFonts w:ascii="ArialMT" w:hAnsi="ArialMT" w:cs="ArialMT"/>
          <w:sz w:val="20"/>
          <w:szCs w:val="20"/>
        </w:rPr>
        <w:t xml:space="preserve">o estuvo asociada a </w:t>
      </w:r>
      <w:r>
        <w:rPr>
          <w:rFonts w:ascii="ArialMT" w:hAnsi="ArialMT" w:cs="ArialMT"/>
          <w:sz w:val="20"/>
          <w:szCs w:val="20"/>
        </w:rPr>
        <w:t>choques temporales de oferta.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lo que concierne a la polí</w:t>
      </w:r>
      <w:r>
        <w:rPr>
          <w:rFonts w:ascii="ArialMT" w:hAnsi="ArialMT" w:cs="ArialMT"/>
          <w:sz w:val="20"/>
          <w:szCs w:val="20"/>
        </w:rPr>
        <w:t xml:space="preserve">tica monetaria, con el </w:t>
      </w:r>
      <w:r>
        <w:rPr>
          <w:rFonts w:ascii="ArialMT" w:hAnsi="ArialMT" w:cs="ArialMT"/>
          <w:sz w:val="20"/>
          <w:szCs w:val="20"/>
        </w:rPr>
        <w:t>fin de prevenir riesgos inflacionario</w:t>
      </w:r>
      <w:r>
        <w:rPr>
          <w:rFonts w:ascii="ArialMT" w:hAnsi="ArialMT" w:cs="ArialMT"/>
          <w:sz w:val="20"/>
          <w:szCs w:val="20"/>
        </w:rPr>
        <w:t xml:space="preserve">s por efectos </w:t>
      </w:r>
      <w:r>
        <w:rPr>
          <w:rFonts w:ascii="ArialMT" w:hAnsi="ArialMT" w:cs="ArialMT"/>
          <w:sz w:val="20"/>
          <w:szCs w:val="20"/>
        </w:rPr>
        <w:t>de segunda vuelta</w:t>
      </w:r>
      <w:r>
        <w:rPr>
          <w:rFonts w:ascii="ArialMT" w:hAnsi="ArialMT" w:cs="ArialMT"/>
          <w:sz w:val="20"/>
          <w:szCs w:val="20"/>
        </w:rPr>
        <w:t xml:space="preserve">, en el primer semestre de 2014 </w:t>
      </w:r>
      <w:r>
        <w:rPr>
          <w:rFonts w:ascii="Arial" w:hAnsi="Arial" w:cs="Arial"/>
          <w:sz w:val="20"/>
          <w:szCs w:val="20"/>
        </w:rPr>
        <w:t>continuó el</w:t>
      </w:r>
      <w:r>
        <w:rPr>
          <w:rFonts w:ascii="Arial" w:hAnsi="Arial" w:cs="Arial"/>
          <w:sz w:val="20"/>
          <w:szCs w:val="20"/>
        </w:rPr>
        <w:t xml:space="preserve"> retiro de impulsos monetarios, </w:t>
      </w:r>
      <w:r>
        <w:rPr>
          <w:rFonts w:ascii="Arial" w:hAnsi="Arial" w:cs="Arial"/>
          <w:sz w:val="20"/>
          <w:szCs w:val="20"/>
        </w:rPr>
        <w:t>iniciado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gradualmente a fines</w:t>
      </w:r>
      <w:r>
        <w:rPr>
          <w:rFonts w:ascii="ArialMT" w:hAnsi="ArialMT" w:cs="ArialMT"/>
          <w:sz w:val="20"/>
          <w:szCs w:val="20"/>
        </w:rPr>
        <w:t xml:space="preserve"> de 2012 y con mayor intensidad desde el segundo semestre de 2013. Posteriormente, </w:t>
      </w:r>
      <w:r>
        <w:rPr>
          <w:rFonts w:ascii="Arial" w:hAnsi="Arial" w:cs="Arial"/>
          <w:sz w:val="20"/>
          <w:szCs w:val="20"/>
        </w:rPr>
        <w:t>en el tercer trimestre del año, la política monetaria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cambió de orientación de </w:t>
      </w:r>
      <w:r>
        <w:rPr>
          <w:rFonts w:ascii="Arial" w:hAnsi="Arial" w:cs="Arial"/>
          <w:sz w:val="20"/>
          <w:szCs w:val="20"/>
        </w:rPr>
        <w:t>modo muy gradual, acorde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 las menores tasas de inflació</w:t>
      </w:r>
      <w:r>
        <w:rPr>
          <w:rFonts w:ascii="ArialMT" w:hAnsi="ArialMT" w:cs="ArialMT"/>
          <w:sz w:val="20"/>
          <w:szCs w:val="20"/>
        </w:rPr>
        <w:t xml:space="preserve">n observadas y </w:t>
      </w:r>
      <w:r>
        <w:rPr>
          <w:rFonts w:ascii="Arial" w:hAnsi="Arial" w:cs="Arial"/>
          <w:sz w:val="20"/>
          <w:szCs w:val="20"/>
        </w:rPr>
        <w:t xml:space="preserve">el entorno de </w:t>
      </w:r>
      <w:r>
        <w:rPr>
          <w:rFonts w:ascii="Arial" w:hAnsi="Arial" w:cs="Arial"/>
          <w:sz w:val="20"/>
          <w:szCs w:val="20"/>
        </w:rPr>
        <w:t>desaceleración económica de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principales socios comerciales. Los cambios en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la orientació</w:t>
      </w:r>
      <w:r>
        <w:rPr>
          <w:rFonts w:ascii="ArialMT" w:hAnsi="ArialMT" w:cs="ArialMT"/>
          <w:sz w:val="20"/>
          <w:szCs w:val="20"/>
        </w:rPr>
        <w:t xml:space="preserve">n y el uso de diversos instrumentos </w:t>
      </w:r>
      <w:r>
        <w:rPr>
          <w:rFonts w:ascii="ArialMT" w:hAnsi="ArialMT" w:cs="ArialMT"/>
          <w:sz w:val="20"/>
          <w:szCs w:val="20"/>
        </w:rPr>
        <w:t xml:space="preserve">confirman el carácter </w:t>
      </w:r>
      <w:proofErr w:type="spellStart"/>
      <w:r>
        <w:rPr>
          <w:rFonts w:ascii="ArialMT" w:hAnsi="ArialMT" w:cs="ArialMT"/>
          <w:sz w:val="20"/>
          <w:szCs w:val="20"/>
        </w:rPr>
        <w:t>contrací</w:t>
      </w:r>
      <w:r>
        <w:rPr>
          <w:rFonts w:ascii="ArialMT" w:hAnsi="ArialMT" w:cs="ArialMT"/>
          <w:sz w:val="20"/>
          <w:szCs w:val="20"/>
        </w:rPr>
        <w:t>clico</w:t>
      </w:r>
      <w:proofErr w:type="spellEnd"/>
      <w:r>
        <w:rPr>
          <w:rFonts w:ascii="ArialMT" w:hAnsi="ArialMT" w:cs="ArialMT"/>
          <w:sz w:val="20"/>
          <w:szCs w:val="20"/>
        </w:rPr>
        <w:t xml:space="preserve"> y heterodoxo de la </w:t>
      </w:r>
      <w:r>
        <w:rPr>
          <w:rFonts w:ascii="Arial" w:hAnsi="Arial" w:cs="Arial"/>
          <w:sz w:val="20"/>
          <w:szCs w:val="20"/>
        </w:rPr>
        <w:t xml:space="preserve">política </w:t>
      </w:r>
      <w:r>
        <w:rPr>
          <w:rFonts w:ascii="Arial" w:hAnsi="Arial" w:cs="Arial"/>
          <w:sz w:val="20"/>
          <w:szCs w:val="20"/>
        </w:rPr>
        <w:t>monetaria.</w:t>
      </w:r>
    </w:p>
    <w:p w:rsidR="00E07F13" w:rsidRP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ese sentido, las tas</w:t>
      </w:r>
      <w:r>
        <w:rPr>
          <w:rFonts w:ascii="Arial" w:hAnsi="Arial" w:cs="Arial"/>
          <w:sz w:val="20"/>
          <w:szCs w:val="20"/>
        </w:rPr>
        <w:t xml:space="preserve">as de los títulos de regulación </w:t>
      </w:r>
      <w:r>
        <w:rPr>
          <w:rFonts w:ascii="ArialMT" w:hAnsi="ArialMT" w:cs="ArialMT"/>
          <w:sz w:val="20"/>
          <w:szCs w:val="20"/>
        </w:rPr>
        <w:t>monetari</w:t>
      </w:r>
      <w:r>
        <w:rPr>
          <w:rFonts w:ascii="ArialMT" w:hAnsi="ArialMT" w:cs="ArialMT"/>
          <w:sz w:val="20"/>
          <w:szCs w:val="20"/>
        </w:rPr>
        <w:t xml:space="preserve">a, luego de incrementarse hasta </w:t>
      </w:r>
      <w:r>
        <w:rPr>
          <w:rFonts w:ascii="ArialMT" w:hAnsi="ArialMT" w:cs="ArialMT"/>
          <w:sz w:val="20"/>
          <w:szCs w:val="20"/>
        </w:rPr>
        <w:t>inicios de julio,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registraron reduccion</w:t>
      </w:r>
      <w:r>
        <w:rPr>
          <w:rFonts w:ascii="Arial" w:hAnsi="Arial" w:cs="Arial"/>
          <w:sz w:val="20"/>
          <w:szCs w:val="20"/>
        </w:rPr>
        <w:t xml:space="preserve">es acordes con la reorientación </w:t>
      </w:r>
      <w:r>
        <w:rPr>
          <w:rFonts w:ascii="Arial" w:hAnsi="Arial" w:cs="Arial"/>
          <w:sz w:val="20"/>
          <w:szCs w:val="20"/>
        </w:rPr>
        <w:t xml:space="preserve">de la política </w:t>
      </w:r>
      <w:r>
        <w:rPr>
          <w:rFonts w:ascii="Arial" w:hAnsi="Arial" w:cs="Arial"/>
          <w:sz w:val="20"/>
          <w:szCs w:val="20"/>
        </w:rPr>
        <w:t xml:space="preserve">monetaria. Este comportamiento se </w:t>
      </w:r>
      <w:r>
        <w:rPr>
          <w:rFonts w:ascii="ArialMT" w:hAnsi="ArialMT" w:cs="ArialMT"/>
          <w:sz w:val="20"/>
          <w:szCs w:val="20"/>
        </w:rPr>
        <w:t>transmitió a las tasas pasivas del sistema financiero,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con incrementos iniciales </w:t>
      </w:r>
      <w:r>
        <w:rPr>
          <w:rFonts w:ascii="ArialMT" w:hAnsi="ArialMT" w:cs="ArialMT"/>
          <w:sz w:val="20"/>
          <w:szCs w:val="20"/>
        </w:rPr>
        <w:t>y descensos en los últimos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meses. Además de las Operaciones de Mercado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Abierto (OMA), la </w:t>
      </w:r>
      <w:r>
        <w:rPr>
          <w:rFonts w:ascii="ArialMT" w:hAnsi="ArialMT" w:cs="ArialMT"/>
          <w:sz w:val="20"/>
          <w:szCs w:val="20"/>
        </w:rPr>
        <w:t>regulación de la liquidez se efectuó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 nuevas emisiones de Certificados de Depósitos,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la </w:t>
      </w:r>
      <w:r>
        <w:rPr>
          <w:rFonts w:ascii="ArialMT" w:hAnsi="ArialMT" w:cs="ArialMT"/>
          <w:sz w:val="20"/>
          <w:szCs w:val="20"/>
        </w:rPr>
        <w:t>elevación de los requerimientos de encaje legal 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moneda nacional y extranjera y la dinamizació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colocaciones directas a personas naturales.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 polí</w:t>
      </w:r>
      <w:r>
        <w:rPr>
          <w:rFonts w:ascii="ArialMT" w:hAnsi="ArialMT" w:cs="ArialMT"/>
          <w:sz w:val="20"/>
          <w:szCs w:val="20"/>
        </w:rPr>
        <w:t xml:space="preserve">tica cambiaria, en un contexto </w:t>
      </w:r>
      <w:r>
        <w:rPr>
          <w:rFonts w:ascii="ArialMT" w:hAnsi="ArialMT" w:cs="ArialMT"/>
          <w:sz w:val="20"/>
          <w:szCs w:val="20"/>
        </w:rPr>
        <w:t>de alta volatilidad de las paridades en la regió</w:t>
      </w:r>
      <w:r>
        <w:rPr>
          <w:rFonts w:ascii="ArialMT" w:hAnsi="ArialMT" w:cs="ArialMT"/>
          <w:sz w:val="20"/>
          <w:szCs w:val="20"/>
        </w:rPr>
        <w:t xml:space="preserve">n, el </w:t>
      </w:r>
      <w:r>
        <w:rPr>
          <w:rFonts w:ascii="ArialMT" w:hAnsi="ArialMT" w:cs="ArialMT"/>
          <w:sz w:val="20"/>
          <w:szCs w:val="20"/>
        </w:rPr>
        <w:t>tipo de cambio oficial se mantuvo estable en lí</w:t>
      </w:r>
      <w:r>
        <w:rPr>
          <w:rFonts w:ascii="ArialMT" w:hAnsi="ArialMT" w:cs="ArialMT"/>
          <w:sz w:val="20"/>
          <w:szCs w:val="20"/>
        </w:rPr>
        <w:t xml:space="preserve">nea </w:t>
      </w:r>
      <w:r>
        <w:rPr>
          <w:rFonts w:ascii="ArialMT" w:hAnsi="ArialMT" w:cs="ArialMT"/>
          <w:sz w:val="20"/>
          <w:szCs w:val="20"/>
        </w:rPr>
        <w:t xml:space="preserve">con la reducción </w:t>
      </w:r>
      <w:r>
        <w:rPr>
          <w:rFonts w:ascii="ArialMT" w:hAnsi="ArialMT" w:cs="ArialMT"/>
          <w:sz w:val="20"/>
          <w:szCs w:val="20"/>
        </w:rPr>
        <w:t xml:space="preserve">de las presiones inflacionarias </w:t>
      </w:r>
      <w:r>
        <w:rPr>
          <w:rFonts w:ascii="ArialMT" w:hAnsi="ArialMT" w:cs="ArialMT"/>
          <w:sz w:val="20"/>
          <w:szCs w:val="20"/>
        </w:rPr>
        <w:t>externas, anclando las expectativas de la població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y coadyuva</w:t>
      </w:r>
      <w:r>
        <w:rPr>
          <w:rFonts w:ascii="ArialMT" w:hAnsi="ArialMT" w:cs="ArialMT"/>
          <w:sz w:val="20"/>
          <w:szCs w:val="20"/>
        </w:rPr>
        <w:t xml:space="preserve">ndo a profundizar el proceso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>. A su vez,</w:t>
      </w:r>
      <w:r>
        <w:rPr>
          <w:rFonts w:ascii="ArialMT" w:hAnsi="ArialMT" w:cs="ArialMT"/>
          <w:sz w:val="20"/>
          <w:szCs w:val="20"/>
        </w:rPr>
        <w:t xml:space="preserve"> el tipo de cambio real </w:t>
      </w:r>
      <w:r>
        <w:rPr>
          <w:rFonts w:ascii="ArialMT" w:hAnsi="ArialMT" w:cs="ArialMT"/>
          <w:sz w:val="20"/>
          <w:szCs w:val="20"/>
        </w:rPr>
        <w:t xml:space="preserve">evolucionó acorde </w:t>
      </w:r>
      <w:r>
        <w:rPr>
          <w:rFonts w:ascii="ArialMT" w:hAnsi="ArialMT" w:cs="ArialMT"/>
          <w:sz w:val="20"/>
          <w:szCs w:val="20"/>
        </w:rPr>
        <w:t xml:space="preserve">con la tendencia de largo plazo </w:t>
      </w:r>
      <w:r>
        <w:rPr>
          <w:rFonts w:ascii="Arial" w:hAnsi="Arial" w:cs="Arial"/>
          <w:sz w:val="20"/>
          <w:szCs w:val="20"/>
        </w:rPr>
        <w:t xml:space="preserve">dictada por sus fundamentos, sin </w:t>
      </w:r>
      <w:proofErr w:type="spellStart"/>
      <w:r>
        <w:rPr>
          <w:rFonts w:ascii="Arial" w:hAnsi="Arial" w:cs="Arial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respecto a su nivel de equilibrio.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Adicionalmente </w:t>
      </w:r>
      <w:r>
        <w:rPr>
          <w:rFonts w:ascii="Arial" w:hAnsi="Arial" w:cs="Arial"/>
          <w:sz w:val="20"/>
          <w:szCs w:val="20"/>
        </w:rPr>
        <w:t xml:space="preserve">a las políticas mencionadas, el </w:t>
      </w:r>
      <w:r>
        <w:rPr>
          <w:rFonts w:ascii="Arial" w:hAnsi="Arial" w:cs="Arial"/>
          <w:sz w:val="20"/>
          <w:szCs w:val="20"/>
        </w:rPr>
        <w:t>BCB realizó contri</w:t>
      </w:r>
      <w:r>
        <w:rPr>
          <w:rFonts w:ascii="Arial" w:hAnsi="Arial" w:cs="Arial"/>
          <w:sz w:val="20"/>
          <w:szCs w:val="20"/>
        </w:rPr>
        <w:t xml:space="preserve">buciones directas al desarrollo </w:t>
      </w:r>
      <w:r>
        <w:rPr>
          <w:rFonts w:ascii="ArialMT" w:hAnsi="ArialMT" w:cs="ArialMT"/>
          <w:sz w:val="20"/>
          <w:szCs w:val="20"/>
        </w:rPr>
        <w:t>económico y social destacando el financiamiento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las Empresas Públicas Nacionales Estratégicas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(EPNE) y al Bono Juana Azurduy. De igual manera,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 profundizaron las polí</w:t>
      </w:r>
      <w:r>
        <w:rPr>
          <w:rFonts w:ascii="ArialMT" w:hAnsi="ArialMT" w:cs="ArialMT"/>
          <w:sz w:val="20"/>
          <w:szCs w:val="20"/>
        </w:rPr>
        <w:t xml:space="preserve">ticas para crear </w:t>
      </w:r>
      <w:r>
        <w:rPr>
          <w:rFonts w:ascii="ArialMT" w:hAnsi="ArialMT" w:cs="ArialMT"/>
          <w:sz w:val="20"/>
          <w:szCs w:val="20"/>
        </w:rPr>
        <w:t>alternativas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ahorro para las familias y promover el uso de la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moneda nacional.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las proy</w:t>
      </w:r>
      <w:r>
        <w:rPr>
          <w:rFonts w:ascii="ArialMT" w:hAnsi="ArialMT" w:cs="ArialMT"/>
          <w:sz w:val="20"/>
          <w:szCs w:val="20"/>
        </w:rPr>
        <w:t xml:space="preserve">ecciones para el resto de 2014, </w:t>
      </w:r>
      <w:r>
        <w:rPr>
          <w:rFonts w:ascii="ArialMT" w:hAnsi="ArialMT" w:cs="ArialMT"/>
          <w:sz w:val="20"/>
          <w:szCs w:val="20"/>
        </w:rPr>
        <w:t>se estima que el contexto internacional estará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caracterizado por</w:t>
      </w:r>
      <w:r>
        <w:rPr>
          <w:rFonts w:ascii="ArialMT" w:hAnsi="ArialMT" w:cs="ArialMT"/>
          <w:sz w:val="20"/>
          <w:szCs w:val="20"/>
        </w:rPr>
        <w:t xml:space="preserve"> un crecimiento de la actividad </w:t>
      </w:r>
      <w:r>
        <w:rPr>
          <w:rFonts w:ascii="ArialMT" w:hAnsi="ArialMT" w:cs="ArialMT"/>
          <w:sz w:val="20"/>
          <w:szCs w:val="20"/>
        </w:rPr>
        <w:t>mundial por deba</w:t>
      </w:r>
      <w:r>
        <w:rPr>
          <w:rFonts w:ascii="ArialMT" w:hAnsi="ArialMT" w:cs="ArialMT"/>
          <w:sz w:val="20"/>
          <w:szCs w:val="20"/>
        </w:rPr>
        <w:t xml:space="preserve">jo del anunciado en la anterior </w:t>
      </w:r>
      <w:r>
        <w:rPr>
          <w:rFonts w:ascii="ArialMT" w:hAnsi="ArialMT" w:cs="ArialMT"/>
          <w:sz w:val="20"/>
          <w:szCs w:val="20"/>
        </w:rPr>
        <w:t>edición del IPM. En ese contexto, se espera</w:t>
      </w:r>
      <w:r>
        <w:rPr>
          <w:rFonts w:ascii="ArialMT" w:hAnsi="ArialMT" w:cs="ArialMT"/>
          <w:sz w:val="20"/>
          <w:szCs w:val="20"/>
        </w:rPr>
        <w:t xml:space="preserve"> una </w:t>
      </w:r>
      <w:r>
        <w:rPr>
          <w:rFonts w:ascii="Arial" w:hAnsi="Arial" w:cs="Arial"/>
          <w:sz w:val="20"/>
          <w:szCs w:val="20"/>
        </w:rPr>
        <w:t>ralentización del</w:t>
      </w:r>
      <w:r>
        <w:rPr>
          <w:rFonts w:ascii="Arial" w:hAnsi="Arial" w:cs="Arial"/>
          <w:sz w:val="20"/>
          <w:szCs w:val="20"/>
        </w:rPr>
        <w:t xml:space="preserve"> crecimiento de los principales </w:t>
      </w:r>
      <w:r>
        <w:rPr>
          <w:rFonts w:ascii="Arial" w:hAnsi="Arial" w:cs="Arial"/>
          <w:sz w:val="20"/>
          <w:szCs w:val="20"/>
        </w:rPr>
        <w:t>socios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comerciales de Bolivia.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el contrario, las perspectivas de la economí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0"/>
          <w:szCs w:val="20"/>
        </w:rPr>
        <w:t>nacional son favorables, el desempeño de la actividad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económica para 2014 estaría en un nivel muy pró</w:t>
      </w:r>
      <w:r>
        <w:rPr>
          <w:rFonts w:ascii="ArialMT" w:hAnsi="ArialMT" w:cs="ArialMT"/>
          <w:sz w:val="20"/>
          <w:szCs w:val="20"/>
        </w:rPr>
        <w:t xml:space="preserve">ximo </w:t>
      </w:r>
      <w:r>
        <w:rPr>
          <w:rFonts w:ascii="Arial" w:hAnsi="Arial" w:cs="Arial"/>
          <w:sz w:val="20"/>
          <w:szCs w:val="20"/>
        </w:rPr>
        <w:t>al proyectado or</w:t>
      </w:r>
      <w:r>
        <w:rPr>
          <w:rFonts w:ascii="Arial" w:hAnsi="Arial" w:cs="Arial"/>
          <w:sz w:val="20"/>
          <w:szCs w:val="20"/>
        </w:rPr>
        <w:t xml:space="preserve">iginalmente en el </w:t>
      </w:r>
      <w:r>
        <w:rPr>
          <w:rFonts w:ascii="Arial" w:hAnsi="Arial" w:cs="Arial"/>
          <w:sz w:val="20"/>
          <w:szCs w:val="20"/>
        </w:rPr>
        <w:t>IPM de enero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2014. Para 2015 se </w:t>
      </w:r>
      <w:r>
        <w:rPr>
          <w:rFonts w:ascii="ArialMT" w:hAnsi="ArialMT" w:cs="ArialMT"/>
          <w:sz w:val="20"/>
          <w:szCs w:val="20"/>
        </w:rPr>
        <w:t xml:space="preserve">estima un crecimiento alrededor </w:t>
      </w:r>
      <w:r>
        <w:rPr>
          <w:rFonts w:ascii="ArialMT" w:hAnsi="ArialMT" w:cs="ArialMT"/>
          <w:sz w:val="20"/>
          <w:szCs w:val="20"/>
        </w:rPr>
        <w:t>de 5,9%, constituyé</w:t>
      </w:r>
      <w:r>
        <w:rPr>
          <w:rFonts w:ascii="ArialMT" w:hAnsi="ArialMT" w:cs="ArialMT"/>
          <w:sz w:val="20"/>
          <w:szCs w:val="20"/>
        </w:rPr>
        <w:t xml:space="preserve">ndose nuevamente la demanda </w:t>
      </w:r>
      <w:r>
        <w:rPr>
          <w:rFonts w:ascii="Arial" w:hAnsi="Arial" w:cs="Arial"/>
          <w:sz w:val="20"/>
          <w:szCs w:val="20"/>
        </w:rPr>
        <w:t>interna en el principal determinante del crecimiento.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Política Monetaria </w:t>
      </w:r>
      <w:r>
        <w:rPr>
          <w:rFonts w:ascii="Arial" w:hAnsi="Arial" w:cs="Arial"/>
          <w:sz w:val="20"/>
          <w:szCs w:val="20"/>
        </w:rPr>
        <w:t>continuará realizando un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balance cuidadoso entre</w:t>
      </w:r>
      <w:r>
        <w:rPr>
          <w:rFonts w:ascii="ArialMT" w:hAnsi="ArialMT" w:cs="ArialMT"/>
          <w:sz w:val="20"/>
          <w:szCs w:val="20"/>
        </w:rPr>
        <w:t xml:space="preserve"> los objetivos de mantener </w:t>
      </w:r>
      <w:r>
        <w:rPr>
          <w:rFonts w:ascii="ArialMT" w:hAnsi="ArialMT" w:cs="ArialMT"/>
          <w:sz w:val="20"/>
          <w:szCs w:val="20"/>
        </w:rPr>
        <w:t xml:space="preserve">la estabilidad del </w:t>
      </w:r>
      <w:r>
        <w:rPr>
          <w:rFonts w:ascii="ArialMT" w:hAnsi="ArialMT" w:cs="ArialMT"/>
          <w:sz w:val="20"/>
          <w:szCs w:val="20"/>
        </w:rPr>
        <w:t xml:space="preserve">poder adquisitivo interno de la </w:t>
      </w:r>
      <w:r>
        <w:rPr>
          <w:rFonts w:ascii="Arial" w:hAnsi="Arial" w:cs="Arial"/>
          <w:sz w:val="20"/>
          <w:szCs w:val="20"/>
        </w:rPr>
        <w:t>moneda y contr</w:t>
      </w:r>
      <w:r>
        <w:rPr>
          <w:rFonts w:ascii="Arial" w:hAnsi="Arial" w:cs="Arial"/>
          <w:sz w:val="20"/>
          <w:szCs w:val="20"/>
        </w:rPr>
        <w:t xml:space="preserve">ibuir al desarrollo económico y </w:t>
      </w:r>
      <w:r>
        <w:rPr>
          <w:rFonts w:ascii="Arial" w:hAnsi="Arial" w:cs="Arial"/>
          <w:sz w:val="20"/>
          <w:szCs w:val="20"/>
        </w:rPr>
        <w:t>social.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 reorientación gradual de la política monetaria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iniciada el </w:t>
      </w:r>
      <w:r>
        <w:rPr>
          <w:rFonts w:ascii="Arial" w:hAnsi="Arial" w:cs="Arial"/>
          <w:sz w:val="20"/>
          <w:szCs w:val="20"/>
        </w:rPr>
        <w:t xml:space="preserve">tercer trimestre es consistente </w:t>
      </w:r>
      <w:r>
        <w:rPr>
          <w:rFonts w:ascii="Arial" w:hAnsi="Arial" w:cs="Arial"/>
          <w:sz w:val="20"/>
          <w:szCs w:val="20"/>
        </w:rPr>
        <w:t>con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menores presiones infl</w:t>
      </w:r>
      <w:r>
        <w:rPr>
          <w:rFonts w:ascii="ArialMT" w:hAnsi="ArialMT" w:cs="ArialMT"/>
          <w:sz w:val="20"/>
          <w:szCs w:val="20"/>
        </w:rPr>
        <w:t xml:space="preserve">acionarias y la necesidad de </w:t>
      </w:r>
      <w:r>
        <w:rPr>
          <w:rFonts w:ascii="ArialMT" w:hAnsi="ArialMT" w:cs="ArialMT"/>
          <w:sz w:val="20"/>
          <w:szCs w:val="20"/>
        </w:rPr>
        <w:t>apuntalar la actividad econó</w:t>
      </w:r>
      <w:r>
        <w:rPr>
          <w:rFonts w:ascii="ArialMT" w:hAnsi="ArialMT" w:cs="ArialMT"/>
          <w:sz w:val="20"/>
          <w:szCs w:val="20"/>
        </w:rPr>
        <w:t xml:space="preserve">mica en un contexto </w:t>
      </w:r>
      <w:r>
        <w:rPr>
          <w:rFonts w:ascii="Arial" w:hAnsi="Arial" w:cs="Arial"/>
          <w:sz w:val="20"/>
          <w:szCs w:val="20"/>
        </w:rPr>
        <w:t>internacional menos dinámico. Sin embargo,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inyecciones</w:t>
      </w:r>
      <w:r>
        <w:rPr>
          <w:rFonts w:ascii="ArialMT" w:hAnsi="ArialMT" w:cs="ArialMT"/>
          <w:sz w:val="20"/>
          <w:szCs w:val="20"/>
        </w:rPr>
        <w:t xml:space="preserve"> adicionales de liquidez, sobre </w:t>
      </w:r>
      <w:r>
        <w:rPr>
          <w:rFonts w:ascii="ArialMT" w:hAnsi="ArialMT" w:cs="ArialMT"/>
          <w:sz w:val="20"/>
          <w:szCs w:val="20"/>
        </w:rPr>
        <w:t>todo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carácter estacional, podrían requerir de un mayor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dinamismo en la regulación monetari</w:t>
      </w:r>
      <w:r>
        <w:rPr>
          <w:rFonts w:ascii="ArialMT" w:hAnsi="ArialMT" w:cs="ArialMT"/>
          <w:sz w:val="20"/>
          <w:szCs w:val="20"/>
        </w:rPr>
        <w:t xml:space="preserve">a. A </w:t>
      </w:r>
      <w:r>
        <w:rPr>
          <w:rFonts w:ascii="ArialMT" w:hAnsi="ArialMT" w:cs="ArialMT"/>
          <w:sz w:val="20"/>
          <w:szCs w:val="20"/>
        </w:rPr>
        <w:lastRenderedPageBreak/>
        <w:t xml:space="preserve">su vez, la </w:t>
      </w:r>
      <w:r>
        <w:rPr>
          <w:rFonts w:ascii="Arial" w:hAnsi="Arial" w:cs="Arial"/>
          <w:sz w:val="20"/>
          <w:szCs w:val="20"/>
        </w:rPr>
        <w:t>Política Cambiaria seguirá orientada a consolidar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estabilización de la inflació</w:t>
      </w:r>
      <w:r>
        <w:rPr>
          <w:rFonts w:ascii="ArialMT" w:hAnsi="ArialMT" w:cs="ArialMT"/>
          <w:sz w:val="20"/>
          <w:szCs w:val="20"/>
        </w:rPr>
        <w:t xml:space="preserve">n importada, anclar las </w:t>
      </w:r>
      <w:r>
        <w:rPr>
          <w:rFonts w:ascii="ArialMT" w:hAnsi="ArialMT" w:cs="ArialMT"/>
          <w:sz w:val="20"/>
          <w:szCs w:val="20"/>
        </w:rPr>
        <w:t>expectativas de la població</w:t>
      </w:r>
      <w:r>
        <w:rPr>
          <w:rFonts w:ascii="ArialMT" w:hAnsi="ArialMT" w:cs="ArialMT"/>
          <w:sz w:val="20"/>
          <w:szCs w:val="20"/>
        </w:rPr>
        <w:t xml:space="preserve">n y promover el uso de la </w:t>
      </w:r>
      <w:r>
        <w:rPr>
          <w:rFonts w:ascii="Arial" w:hAnsi="Arial" w:cs="Arial"/>
          <w:sz w:val="20"/>
          <w:szCs w:val="20"/>
        </w:rPr>
        <w:t>moneda nacional.</w:t>
      </w:r>
    </w:p>
    <w:p w:rsidR="00E07F13" w:rsidRP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8406F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las estimaciones de inflació</w:t>
      </w:r>
      <w:r>
        <w:rPr>
          <w:rFonts w:ascii="ArialMT" w:hAnsi="ArialMT" w:cs="ArialMT"/>
          <w:sz w:val="20"/>
          <w:szCs w:val="20"/>
        </w:rPr>
        <w:t xml:space="preserve">n en Bolivia </w:t>
      </w:r>
      <w:r>
        <w:rPr>
          <w:rFonts w:ascii="ArialMT" w:hAnsi="ArialMT" w:cs="ArialMT"/>
          <w:sz w:val="20"/>
          <w:szCs w:val="20"/>
        </w:rPr>
        <w:t>señalan, que al cierre de 2014 ésta se situarí</w:t>
      </w:r>
      <w:r>
        <w:rPr>
          <w:rFonts w:ascii="ArialMT" w:hAnsi="ArialMT" w:cs="ArialMT"/>
          <w:sz w:val="20"/>
          <w:szCs w:val="20"/>
        </w:rPr>
        <w:t xml:space="preserve">a en </w:t>
      </w:r>
      <w:r>
        <w:rPr>
          <w:rFonts w:ascii="ArialMT" w:hAnsi="ArialMT" w:cs="ArialMT"/>
          <w:sz w:val="20"/>
          <w:szCs w:val="20"/>
        </w:rPr>
        <w:t>el rango de proyecció</w:t>
      </w:r>
      <w:r>
        <w:rPr>
          <w:rFonts w:ascii="ArialMT" w:hAnsi="ArialMT" w:cs="ArialMT"/>
          <w:sz w:val="20"/>
          <w:szCs w:val="20"/>
        </w:rPr>
        <w:t xml:space="preserve">n del IPM de enero de 2014, </w:t>
      </w:r>
      <w:r>
        <w:rPr>
          <w:rFonts w:ascii="ArialMT" w:hAnsi="ArialMT" w:cs="ArialMT"/>
          <w:sz w:val="20"/>
          <w:szCs w:val="20"/>
        </w:rPr>
        <w:t>aunque m</w:t>
      </w:r>
      <w:r>
        <w:rPr>
          <w:rFonts w:ascii="ArialMT" w:hAnsi="ArialMT" w:cs="ArialMT"/>
          <w:sz w:val="20"/>
          <w:szCs w:val="20"/>
        </w:rPr>
        <w:t xml:space="preserve">uy por debajo del nivel central anunciado. </w:t>
      </w:r>
      <w:r>
        <w:rPr>
          <w:rFonts w:ascii="ArialMT" w:hAnsi="ArialMT" w:cs="ArialMT"/>
          <w:sz w:val="20"/>
          <w:szCs w:val="20"/>
        </w:rPr>
        <w:t>Para 2015 la inflación estaría en torno a 5%.</w:t>
      </w:r>
    </w:p>
    <w:p w:rsid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7F13" w:rsidRPr="00E07F13" w:rsidRDefault="00E07F13" w:rsidP="00E07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evolución futura de la inflación no está</w:t>
      </w:r>
      <w:r>
        <w:rPr>
          <w:rFonts w:ascii="ArialMT" w:hAnsi="ArialMT" w:cs="ArialMT"/>
          <w:sz w:val="20"/>
          <w:szCs w:val="20"/>
        </w:rPr>
        <w:t xml:space="preserve"> exenta </w:t>
      </w:r>
      <w:r>
        <w:rPr>
          <w:rFonts w:ascii="ArialMT" w:hAnsi="ArialMT" w:cs="ArialMT"/>
          <w:sz w:val="20"/>
          <w:szCs w:val="20"/>
        </w:rPr>
        <w:t>de riesgos que, de materializarse, podrí</w:t>
      </w:r>
      <w:r>
        <w:rPr>
          <w:rFonts w:ascii="ArialMT" w:hAnsi="ArialMT" w:cs="ArialMT"/>
          <w:sz w:val="20"/>
          <w:szCs w:val="20"/>
        </w:rPr>
        <w:t xml:space="preserve">an conducir </w:t>
      </w:r>
      <w:r>
        <w:rPr>
          <w:rFonts w:ascii="ArialMT" w:hAnsi="ArialMT" w:cs="ArialMT"/>
          <w:sz w:val="20"/>
          <w:szCs w:val="20"/>
        </w:rPr>
        <w:t xml:space="preserve">a esta variable a </w:t>
      </w:r>
      <w:r>
        <w:rPr>
          <w:rFonts w:ascii="ArialMT" w:hAnsi="ArialMT" w:cs="ArialMT"/>
          <w:sz w:val="20"/>
          <w:szCs w:val="20"/>
        </w:rPr>
        <w:t xml:space="preserve">una trayectoria diferente de la </w:t>
      </w:r>
      <w:r>
        <w:rPr>
          <w:rFonts w:ascii="Arial" w:hAnsi="Arial" w:cs="Arial"/>
          <w:sz w:val="20"/>
          <w:szCs w:val="20"/>
        </w:rPr>
        <w:t>señalad</w:t>
      </w:r>
      <w:r>
        <w:rPr>
          <w:rFonts w:ascii="Arial" w:hAnsi="Arial" w:cs="Arial"/>
          <w:sz w:val="20"/>
          <w:szCs w:val="20"/>
        </w:rPr>
        <w:t xml:space="preserve">a anteriormente. De concretarse </w:t>
      </w:r>
      <w:r>
        <w:rPr>
          <w:rFonts w:ascii="Arial" w:hAnsi="Arial" w:cs="Arial"/>
          <w:sz w:val="20"/>
          <w:szCs w:val="20"/>
        </w:rPr>
        <w:t>alguno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los riesgos, el Ó</w:t>
      </w:r>
      <w:r>
        <w:rPr>
          <w:rFonts w:ascii="ArialMT" w:hAnsi="ArialMT" w:cs="ArialMT"/>
          <w:sz w:val="20"/>
          <w:szCs w:val="20"/>
        </w:rPr>
        <w:t xml:space="preserve">rgano Ejecutivo y el BCB, en el </w:t>
      </w:r>
      <w:r>
        <w:rPr>
          <w:rFonts w:ascii="Arial" w:hAnsi="Arial" w:cs="Arial"/>
          <w:sz w:val="20"/>
          <w:szCs w:val="20"/>
        </w:rPr>
        <w:t>marco</w:t>
      </w:r>
      <w:r>
        <w:rPr>
          <w:rFonts w:ascii="Arial" w:hAnsi="Arial" w:cs="Arial"/>
          <w:sz w:val="20"/>
          <w:szCs w:val="20"/>
        </w:rPr>
        <w:t xml:space="preserve"> de sus competencias y de forma </w:t>
      </w:r>
      <w:r>
        <w:rPr>
          <w:rFonts w:ascii="Arial" w:hAnsi="Arial" w:cs="Arial"/>
          <w:sz w:val="20"/>
          <w:szCs w:val="20"/>
        </w:rPr>
        <w:t>coordinada,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continuarán empleando los instrumentos de política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su disposició</w:t>
      </w:r>
      <w:r>
        <w:rPr>
          <w:rFonts w:ascii="ArialMT" w:hAnsi="ArialMT" w:cs="ArialMT"/>
          <w:sz w:val="20"/>
          <w:szCs w:val="20"/>
        </w:rPr>
        <w:t xml:space="preserve">n para cumplir con el objetivo de </w:t>
      </w:r>
      <w:r>
        <w:rPr>
          <w:rFonts w:ascii="ArialMT" w:hAnsi="ArialMT" w:cs="ArialMT"/>
          <w:sz w:val="20"/>
          <w:szCs w:val="20"/>
        </w:rPr>
        <w:t>mantener la estabilida</w:t>
      </w:r>
      <w:r>
        <w:rPr>
          <w:rFonts w:ascii="ArialMT" w:hAnsi="ArialMT" w:cs="ArialMT"/>
          <w:sz w:val="20"/>
          <w:szCs w:val="20"/>
        </w:rPr>
        <w:t xml:space="preserve">d del poder adquisitivo interno </w:t>
      </w:r>
      <w:r>
        <w:rPr>
          <w:rFonts w:ascii="Arial" w:hAnsi="Arial" w:cs="Arial"/>
          <w:sz w:val="20"/>
          <w:szCs w:val="20"/>
        </w:rPr>
        <w:t xml:space="preserve">de la moneda y, de esta forma, </w:t>
      </w:r>
      <w:r>
        <w:rPr>
          <w:rFonts w:ascii="Arial" w:hAnsi="Arial" w:cs="Arial"/>
          <w:sz w:val="20"/>
          <w:szCs w:val="20"/>
        </w:rPr>
        <w:t>contribuir al desarrollo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económico y social de la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 xml:space="preserve"> economía boliviana.</w:t>
      </w:r>
    </w:p>
    <w:sectPr w:rsidR="00E07F13" w:rsidRPr="00E07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13"/>
    <w:rsid w:val="0048406F"/>
    <w:rsid w:val="00D16C80"/>
    <w:rsid w:val="00E0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1448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2019-06-14T19:49:00Z</dcterms:created>
  <dcterms:modified xsi:type="dcterms:W3CDTF">2019-06-14T19:57:00Z</dcterms:modified>
</cp:coreProperties>
</file>