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D2C49"/>
          <w:sz w:val="52"/>
        </w:rPr>
        <w:t>SEO &amp; AI Engine Optimization (AIEO/GEO) Strategy</w:t>
      </w:r>
    </w:p>
    <w:p>
      <w:r>
        <w:rPr>
          <w:color w:val="6F6F6E"/>
          <w:sz w:val="26"/>
        </w:rPr>
        <w:t>unifiedcloudsensors.com  —  July 2026  —  prepared for internal review</w:t>
      </w:r>
    </w:p>
    <w:p/>
    <w:p>
      <w:pPr>
        <w:pStyle w:val="Heading1"/>
      </w:pPr>
      <w:r>
        <w:rPr>
          <w:color w:val="1D2C49"/>
          <w:sz w:val="34"/>
        </w:rPr>
        <w:t>1. Executive Summary</w:t>
      </w:r>
    </w:p>
    <w:p>
      <w:r>
        <w:rPr>
          <w:b w:val="0"/>
          <w:i w:val="0"/>
          <w:sz w:val="22"/>
        </w:rPr>
        <w:t>The chief's instinct that SEO and AIEO performance depend on “the style of the application” is partly right — but the mechanism is different from what “style” usually means in a design conversation. It is not the hex colors, the font choice, or the hover animations that move rankings or AI citations. It is the technical structure underneath: clean semantic HTML, fast static hosting, structured data, and content that is written to be quoted. The redesign just completed (calm, data-forward, few colors, legible tables) happens to produce exactly that kind of markup — which is a genuine, if indirect, connection between the brand DNA and SEO/AIEO outcomes. Section 5 below explains this link precisely.</w:t>
      </w:r>
    </w:p>
    <w:p>
      <w:r>
        <w:rPr>
          <w:b w:val="0"/>
          <w:i w:val="0"/>
          <w:sz w:val="22"/>
        </w:rPr>
        <w:t>Two disciplines are now in play, and they are not the same thing:</w:t>
      </w:r>
    </w:p>
    <w:p>
      <w:pPr>
        <w:pStyle w:val="ListBullet"/>
      </w:pPr>
      <w:r>
        <w:t>SEO — ranking in traditional search results (Google, Bing).</w:t>
      </w:r>
    </w:p>
    <w:p>
      <w:pPr>
        <w:pStyle w:val="ListBullet"/>
      </w:pPr>
      <w:r>
        <w:t>AIEO / GEO (“Generative Engine Optimization”) — being the source an AI answer engine (ChatGPT, Gemini, Perplexity, Copilot, Google AI Overviews) quotes or summarizes when a user asks a question, often without the user ever clicking through to the site.</w:t>
      </w:r>
    </w:p>
    <w:p>
      <w:r>
        <w:rPr>
          <w:b w:val="0"/>
          <w:i/>
          <w:sz w:val="22"/>
        </w:rPr>
        <w:t>Gartner projects organic search traffic to commercial websites will decline roughly 25% by 2026 as discovery shifts to AI assistants. Google AI Overviews already appear on 50–60% of US searches. Being cited inside an AI answer is becoming as important as ranking on page one — arguably more important, since a citation can win the customer without a click ever being measured.</w:t>
      </w:r>
    </w:p>
    <w:p>
      <w:r>
        <w:rPr>
          <w:b/>
          <w:i w:val="0"/>
          <w:sz w:val="22"/>
        </w:rPr>
        <w:t>Bottom line: the current site has a strong new brand foundation and essentially zero technical SEO/AIEO foundation. That is the gap this document maps out.</w:t>
      </w:r>
    </w:p>
    <w:p>
      <w:pPr>
        <w:pStyle w:val="Heading1"/>
      </w:pPr>
      <w:r>
        <w:rPr>
          <w:color w:val="1D2C49"/>
          <w:sz w:val="34"/>
        </w:rPr>
        <w:t>2. SEO vs. AIEO/GEO — What's the Difference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D2C49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1D2C49"/>
          </w:tcPr>
          <w:p>
            <w:r/>
            <w:r>
              <w:rPr>
                <w:b/>
                <w:color w:val="FFFFFF"/>
              </w:rPr>
              <w:t>SEO</w:t>
            </w:r>
          </w:p>
        </w:tc>
        <w:tc>
          <w:tcPr>
            <w:tcW w:type="dxa" w:w="2880"/>
            <w:shd w:fill="1D2C49"/>
          </w:tcPr>
          <w:p>
            <w:r/>
            <w:r>
              <w:rPr>
                <w:b/>
                <w:color w:val="FFFFFF"/>
              </w:rPr>
              <w:t>AIEO / GEO</w:t>
            </w:r>
          </w:p>
        </w:tc>
      </w:tr>
      <w:tr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Rank in the search results list</w:t>
            </w:r>
          </w:p>
        </w:tc>
        <w:tc>
          <w:tcPr>
            <w:tcW w:type="dxa" w:w="2880"/>
          </w:tcPr>
          <w:p>
            <w:r>
              <w:t>Get quoted or summarized inside an AI-generated answer</w:t>
            </w:r>
          </w:p>
        </w:tc>
      </w:tr>
      <w:tr>
        <w:tc>
          <w:tcPr>
            <w:tcW w:type="dxa" w:w="2880"/>
          </w:tcPr>
          <w:p>
            <w:r>
              <w:t>Core signals</w:t>
            </w:r>
          </w:p>
        </w:tc>
        <w:tc>
          <w:tcPr>
            <w:tcW w:type="dxa" w:w="2880"/>
          </w:tcPr>
          <w:p>
            <w:r>
              <w:t>Keywords, backlinks, technical SEO, page experience</w:t>
            </w:r>
          </w:p>
        </w:tc>
        <w:tc>
          <w:tcPr>
            <w:tcW w:type="dxa" w:w="2880"/>
          </w:tcPr>
          <w:p>
            <w:r>
              <w:t>Entity clarity, structured data, self-contained factual statements, third-party corroboration</w:t>
            </w:r>
          </w:p>
        </w:tc>
      </w:tr>
      <w:tr>
        <w:tc>
          <w:tcPr>
            <w:tcW w:type="dxa" w:w="2880"/>
          </w:tcPr>
          <w:p>
            <w:r>
              <w:t>Unit of success</w:t>
            </w:r>
          </w:p>
        </w:tc>
        <w:tc>
          <w:tcPr>
            <w:tcW w:type="dxa" w:w="2880"/>
          </w:tcPr>
          <w:p>
            <w:r>
              <w:t>Position #1–10, click-through rate</w:t>
            </w:r>
          </w:p>
        </w:tc>
        <w:tc>
          <w:tcPr>
            <w:tcW w:type="dxa" w:w="2880"/>
          </w:tcPr>
          <w:p>
            <w:r>
              <w:t>Being the cited/paraphrased source — even with zero clicks</w:t>
            </w:r>
          </w:p>
        </w:tc>
      </w:tr>
      <w:tr>
        <w:tc>
          <w:tcPr>
            <w:tcW w:type="dxa" w:w="2880"/>
          </w:tcPr>
          <w:p>
            <w:r>
              <w:t>Content shape that wins</w:t>
            </w:r>
          </w:p>
        </w:tc>
        <w:tc>
          <w:tcPr>
            <w:tcW w:type="dxa" w:w="2880"/>
          </w:tcPr>
          <w:p>
            <w:r>
              <w:t>Long-form, keyword-optimized pages</w:t>
            </w:r>
          </w:p>
        </w:tc>
        <w:tc>
          <w:tcPr>
            <w:tcW w:type="dxa" w:w="2880"/>
          </w:tcPr>
          <w:p>
            <w:r>
              <w:t>Definition-first openings, scannable lists/tables, FAQs</w:t>
            </w:r>
          </w:p>
        </w:tc>
      </w:tr>
      <w:tr>
        <w:tc>
          <w:tcPr>
            <w:tcW w:type="dxa" w:w="2880"/>
          </w:tcPr>
          <w:p>
            <w:r>
              <w:t>Freshness signal</w:t>
            </w:r>
          </w:p>
        </w:tc>
        <w:tc>
          <w:tcPr>
            <w:tcW w:type="dxa" w:w="2880"/>
          </w:tcPr>
          <w:p>
            <w:r>
              <w:t>Helps, not critical</w:t>
            </w:r>
          </w:p>
        </w:tc>
        <w:tc>
          <w:tcPr>
            <w:tcW w:type="dxa" w:w="2880"/>
          </w:tcPr>
          <w:p>
            <w:r>
              <w:t>dateModified within ~90 days is prioritized for time-sensitive queries</w:t>
            </w:r>
          </w:p>
        </w:tc>
      </w:tr>
    </w:tbl>
    <w:p/>
    <w:p>
      <w:r>
        <w:rPr>
          <w:b w:val="0"/>
          <w:i w:val="0"/>
          <w:sz w:val="22"/>
        </w:rPr>
        <w:t>They overlap heavily on technical foundations (fast pages, clean markup, structured data) and diverge on content shape. The recommendations in Section 6 are organized so that Phase 1 work benefits both equally.</w:t>
      </w:r>
    </w:p>
    <w:p>
      <w:pPr>
        <w:pStyle w:val="Heading1"/>
      </w:pPr>
      <w:r>
        <w:rPr>
          <w:color w:val="1D2C49"/>
          <w:sz w:val="34"/>
        </w:rPr>
        <w:t>3. Case Study: Why ricelake.com Performs Well</w:t>
      </w:r>
    </w:p>
    <w:p>
      <w:r>
        <w:rPr>
          <w:b w:val="0"/>
          <w:i w:val="0"/>
          <w:sz w:val="22"/>
        </w:rPr>
        <w:t>Rice Lake Weighing Systems is a direct reference point — same industry (industrial weighing/load cells), and the site whose hero flow (Products / How to Buy / dealer request) already informed this redesign. A direct review of ricelake.com surfaces what it actually does well, and where it is not doing anything special.</w:t>
      </w:r>
    </w:p>
    <w:p>
      <w:pPr>
        <w:pStyle w:val="Heading2"/>
      </w:pPr>
      <w:r>
        <w:rPr>
          <w:color w:val="476DB8"/>
          <w:sz w:val="26"/>
        </w:rPr>
        <w:t>What Rice Lake does well</w:t>
      </w:r>
    </w:p>
    <w:p>
      <w:pPr>
        <w:pStyle w:val="ListBullet"/>
      </w:pPr>
      <w:r>
        <w:t>Deep, systematic content taxonomy: 40+ product categories crossed with industries, so long-tail queries (“truck scale for a gravel pit,” “digital weight indicator”) land on a dedicated page instead of a generic category listing.</w:t>
      </w:r>
    </w:p>
    <w:p>
      <w:pPr>
        <w:pStyle w:val="ListBullet"/>
      </w:pPr>
      <w:r>
        <w:t>Dense internal linking: the same product (e.g. “Truck Scales”) is reachable from Products, Industries, and featured homepage sections — multiple paths to the same authoritative page reinforce topical-authority signals and give crawlers/AI systems more routes to discover it.</w:t>
      </w:r>
    </w:p>
    <w:p>
      <w:pPr>
        <w:pStyle w:val="ListBullet"/>
      </w:pPr>
      <w:r>
        <w:t>A dedicated Knowledge Center and Glossary — exactly the definition-first, scannable content AI answer engines prefer to extract and cite.</w:t>
      </w:r>
    </w:p>
    <w:p>
      <w:pPr>
        <w:pStyle w:val="ListBullet"/>
      </w:pPr>
      <w:r>
        <w:t>A resource library (manuals, white papers, technical bulletins) that signals depth and expertise — the “E-E-A-T” (Experience, Expertise, Authoritativeness, Trust) signal both Google and AI engines reward.</w:t>
      </w:r>
    </w:p>
    <w:p>
      <w:pPr>
        <w:pStyle w:val="ListBullet"/>
      </w:pPr>
      <w:r>
        <w:t>Clear, self-contained factual statements (“We provide unmatched service for our customers, 24 hours a day, seven days a week, 365 days a year”) — precisely the kind of quotable sentence an AI engine can lift verbatim as a citation.</w:t>
      </w:r>
    </w:p>
    <w:p>
      <w:pPr>
        <w:pStyle w:val="Heading2"/>
      </w:pPr>
      <w:r>
        <w:rPr>
          <w:color w:val="476DB8"/>
          <w:sz w:val="26"/>
        </w:rPr>
        <w:t>What Rice Lake is missing (the opportunity for UCS)</w:t>
      </w:r>
    </w:p>
    <w:p>
      <w:pPr>
        <w:pStyle w:val="ListBullet"/>
      </w:pPr>
      <w:r>
        <w:t>No visible schema.org / structured data (Product, Organization, FAQ) — this is now a primary AI-citation signal, and Rice Lake isn't using it.</w:t>
      </w:r>
    </w:p>
    <w:p>
      <w:pPr>
        <w:pStyle w:val="ListBullet"/>
      </w:pPr>
      <w:r>
        <w:t>No visible meta-description strategy on the pages reviewed.</w:t>
      </w:r>
    </w:p>
    <w:p>
      <w:pPr>
        <w:pStyle w:val="ListBullet"/>
      </w:pPr>
      <w:r>
        <w:t>Heading copy leans marketing-first (“Weighing The World,” “Living Rice Lake Red”) over descriptive, keyword-first phrasing.</w:t>
      </w:r>
    </w:p>
    <w:p>
      <w:r>
        <w:rPr>
          <w:b/>
          <w:i w:val="0"/>
          <w:sz w:val="22"/>
        </w:rPr>
        <w:t>Takeaway: Rice Lake wins mainly on content depth and internal-linking breadth — not on technical sophistication. UCS can match that depth over time and layer in the structured data Rice Lake lacks, which is a genuine head start rather than just catching up.</w:t>
      </w:r>
    </w:p>
    <w:p>
      <w:pPr>
        <w:pStyle w:val="Heading1"/>
      </w:pPr>
      <w:r>
        <w:rPr>
          <w:color w:val="1D2C49"/>
          <w:sz w:val="34"/>
        </w:rPr>
        <w:t>4. Current-State Audit: unifiedcloudsensors.com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D2C49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fill="1D2C49"/>
          </w:tcPr>
          <w:p>
            <w:r/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1D2C49"/>
          </w:tcPr>
          <w:p>
            <w:r/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t>Unique page titles &amp; meta descriptions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The title is the literal search-result headline and often the AI-answer citation label</w:t>
            </w:r>
          </w:p>
        </w:tc>
      </w:tr>
      <w:tr>
        <w:tc>
          <w:tcPr>
            <w:tcW w:type="dxa" w:w="2880"/>
          </w:tcPr>
          <w:p>
            <w:r>
              <w:t>sitemap.xml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Tells crawlers every URL exists; without it, discovery relies purely on internal links</w:t>
            </w:r>
          </w:p>
        </w:tc>
      </w:tr>
      <w:tr>
        <w:tc>
          <w:tcPr>
            <w:tcW w:type="dxa" w:w="2880"/>
          </w:tcPr>
          <w:p>
            <w:r>
              <w:t>robots.txt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Controls crawl behavior; increasingly also used to declare AI-crawler (llms.txt-style) permissions</w:t>
            </w:r>
          </w:p>
        </w:tc>
      </w:tr>
      <w:tr>
        <w:tc>
          <w:tcPr>
            <w:tcW w:type="dxa" w:w="2880"/>
          </w:tcPr>
          <w:p>
            <w:r>
              <w:t>Open Graph / Twitter Card tags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Controls how shared links preview on LinkedIn etc. — an indirect trust/CTR signal</w:t>
            </w:r>
          </w:p>
        </w:tc>
      </w:tr>
      <w:tr>
        <w:tc>
          <w:tcPr>
            <w:tcW w:type="dxa" w:w="2880"/>
          </w:tcPr>
          <w:p>
            <w:r>
              <w:t>schema.org structured data (Organization, Product, FAQPage, BreadcrumbList)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The primary 2026 AI-citation signal; also enables Google rich results</w:t>
            </w:r>
          </w:p>
        </w:tc>
      </w:tr>
      <w:tr>
        <w:tc>
          <w:tcPr>
            <w:tcW w:type="dxa" w:w="2880"/>
          </w:tcPr>
          <w:p>
            <w:r>
              <w:t>Canonical tags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Prevents duplicate-content confusion between the /en/ and /cs/ versions of each page</w:t>
            </w:r>
          </w:p>
        </w:tc>
      </w:tr>
      <w:tr>
        <w:tc>
          <w:tcPr>
            <w:tcW w:type="dxa" w:w="2880"/>
          </w:tcPr>
          <w:p>
            <w:r>
              <w:t>hreflang tags (EN/CS)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Tells Google which language version to serve to which visitors</w:t>
            </w:r>
          </w:p>
        </w:tc>
      </w:tr>
      <w:tr>
        <w:tc>
          <w:tcPr>
            <w:tcW w:type="dxa" w:w="2880"/>
          </w:tcPr>
          <w:p>
            <w:r>
              <w:t>FAQ content</w:t>
            </w:r>
          </w:p>
        </w:tc>
        <w:tc>
          <w:tcPr>
            <w:tcW w:type="dxa" w:w="2880"/>
          </w:tcPr>
          <w:p>
            <w:r>
              <w:t>None yet</w:t>
            </w:r>
          </w:p>
        </w:tc>
        <w:tc>
          <w:tcPr>
            <w:tcW w:type="dxa" w:w="2880"/>
          </w:tcPr>
          <w:p>
            <w:r>
              <w:t>FAQPage schema + real Q&amp;A copy is one of the highest-value AI-citation formats</w:t>
            </w:r>
          </w:p>
        </w:tc>
      </w:tr>
      <w:tr>
        <w:tc>
          <w:tcPr>
            <w:tcW w:type="dxa" w:w="2880"/>
          </w:tcPr>
          <w:p>
            <w:r>
              <w:t>Glossary / knowledge base</w:t>
            </w:r>
          </w:p>
        </w:tc>
        <w:tc>
          <w:tcPr>
            <w:tcW w:type="dxa" w:w="2880"/>
          </w:tcPr>
          <w:p>
            <w:r>
              <w:t>None yet</w:t>
            </w:r>
          </w:p>
        </w:tc>
        <w:tc>
          <w:tcPr>
            <w:tcW w:type="dxa" w:w="2880"/>
          </w:tcPr>
          <w:p>
            <w:r>
              <w:t>Definition-first pages are exactly what AI engines extract and cite</w:t>
            </w:r>
          </w:p>
        </w:tc>
      </w:tr>
      <w:tr>
        <w:tc>
          <w:tcPr>
            <w:tcW w:type="dxa" w:w="2880"/>
          </w:tcPr>
          <w:p>
            <w:r>
              <w:t>Blog / resources / technical articles</w:t>
            </w:r>
          </w:p>
        </w:tc>
        <w:tc>
          <w:tcPr>
            <w:tcW w:type="dxa" w:w="2880"/>
          </w:tcPr>
          <w:p>
            <w:r>
              <w:t>None yet</w:t>
            </w:r>
          </w:p>
        </w:tc>
        <w:tc>
          <w:tcPr>
            <w:tcW w:type="dxa" w:w="2880"/>
          </w:tcPr>
          <w:p>
            <w:r>
              <w:t>Content depth and freshness (dateModified) both affect AI citation priority</w:t>
            </w:r>
          </w:p>
        </w:tc>
      </w:tr>
      <w:tr>
        <w:tc>
          <w:tcPr>
            <w:tcW w:type="dxa" w:w="2880"/>
          </w:tcPr>
          <w:p>
            <w:r>
              <w:t>Site speed / hosting</w:t>
            </w:r>
          </w:p>
        </w:tc>
        <w:tc>
          <w:tcPr>
            <w:tcW w:type="dxa" w:w="2880"/>
          </w:tcPr>
          <w:p>
            <w:r>
              <w:t>Strong</w:t>
            </w:r>
          </w:p>
        </w:tc>
        <w:tc>
          <w:tcPr>
            <w:tcW w:type="dxa" w:w="2880"/>
          </w:tcPr>
          <w:p>
            <w:r>
              <w:t>Static S3 + CloudFront is close to the fastest possible hosting model — a real, already-earned advantage</w:t>
            </w:r>
          </w:p>
        </w:tc>
      </w:tr>
      <w:tr>
        <w:tc>
          <w:tcPr>
            <w:tcW w:type="dxa" w:w="2880"/>
          </w:tcPr>
          <w:p>
            <w:r>
              <w:t>Clean semantic HTML, minimal script</w:t>
            </w:r>
          </w:p>
        </w:tc>
        <w:tc>
          <w:tcPr>
            <w:tcW w:type="dxa" w:w="2880"/>
          </w:tcPr>
          <w:p>
            <w:r>
              <w:t>Strong</w:t>
            </w:r>
          </w:p>
        </w:tc>
        <w:tc>
          <w:tcPr>
            <w:tcW w:type="dxa" w:w="2880"/>
          </w:tcPr>
          <w:p>
            <w:r>
              <w:t>Post-redesign build has no heavy JS framework — crawlers and AI extractors see full content immediately</w:t>
            </w:r>
          </w:p>
        </w:tc>
      </w:tr>
      <w:tr>
        <w:tc>
          <w:tcPr>
            <w:tcW w:type="dxa" w:w="2880"/>
          </w:tcPr>
          <w:p>
            <w:r>
              <w:t>Internal linking depth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Nav is deliberately logo-only; footer + inline links (like the new industries→solutions link) now carry all internal-linking weight and need to be deliberately dense</w:t>
            </w:r>
          </w:p>
        </w:tc>
      </w:tr>
    </w:tbl>
    <w:p/>
    <w:p>
      <w:pPr>
        <w:pStyle w:val="Heading1"/>
      </w:pPr>
      <w:r>
        <w:rPr>
          <w:color w:val="1D2C49"/>
          <w:sz w:val="34"/>
        </w:rPr>
        <w:t>5. Where “Style” Actually Does Matter</w:t>
      </w:r>
    </w:p>
    <w:p>
      <w:r>
        <w:rPr>
          <w:b w:val="0"/>
          <w:i w:val="0"/>
          <w:sz w:val="22"/>
        </w:rPr>
        <w:t>To give the chief's instinct its due: there is a real link between the redesign and SEO/AIEO performance — just not through color or font choice directly.</w:t>
      </w:r>
    </w:p>
    <w:p>
      <w:pPr>
        <w:pStyle w:val="ListBullet"/>
      </w:pPr>
      <w:r>
        <w:t>Clean, semantic markup: the rebuilt site has no heavy JavaScript framework and no client-side rendering, so crawlers and AI extraction bots see the full page content immediately, with nothing hidden behind script execution.</w:t>
      </w:r>
    </w:p>
    <w:p>
      <w:pPr>
        <w:pStyle w:val="ListBullet"/>
      </w:pPr>
      <w:r>
        <w:t>The brand DNA's “few colors, legible data” philosophy naturally produces scannable tables, clear headings, and short declarative sentences — literally the content shape AI answer engines prefer to extract and quote.</w:t>
      </w:r>
    </w:p>
    <w:p>
      <w:pPr>
        <w:pStyle w:val="ListBullet"/>
      </w:pPr>
      <w:r>
        <w:t>Fast static hosting (S3/CloudFront) improves Core Web Vitals, a real Google ranking factor and a baseline requirement for AI crawlers operating under load-time budgets.</w:t>
      </w:r>
    </w:p>
    <w:p>
      <w:pPr>
        <w:pStyle w:val="ListBullet"/>
      </w:pPr>
      <w:r>
        <w:t>What does NOT move the needle: the specific hex values, the heading typeface, or hover/motion effects. Those shape brand perception and conversion once someone is already on the page — not whether the page gets ranked or cited in the first place.</w:t>
      </w:r>
    </w:p>
    <w:p>
      <w:pPr>
        <w:pStyle w:val="Heading1"/>
      </w:pPr>
      <w:r>
        <w:rPr>
          <w:color w:val="1D2C49"/>
          <w:sz w:val="34"/>
        </w:rPr>
        <w:t>6. Recommended Action Plan</w:t>
      </w:r>
    </w:p>
    <w:p>
      <w:pPr>
        <w:pStyle w:val="Heading2"/>
      </w:pPr>
      <w:r>
        <w:rPr>
          <w:color w:val="476DB8"/>
          <w:sz w:val="26"/>
        </w:rPr>
        <w:t>Phase 1 — Technical foundations (1–2 weeks, no design changes needed)</w:t>
      </w:r>
    </w:p>
    <w:p>
      <w:pPr>
        <w:pStyle w:val="ListBullet"/>
      </w:pPr>
      <w:r>
        <w:t>Unique &lt;title&gt; and meta description for every page, in both EN and CS.</w:t>
      </w:r>
    </w:p>
    <w:p>
      <w:pPr>
        <w:pStyle w:val="ListBullet"/>
      </w:pPr>
      <w:r>
        <w:t>Generate sitemap.xml (via an Eleventy plugin) and add robots.txt.</w:t>
      </w:r>
    </w:p>
    <w:p>
      <w:pPr>
        <w:pStyle w:val="ListBullet"/>
      </w:pPr>
      <w:r>
        <w:t>Add canonical and hreflang tags across every EN/CS page pair.</w:t>
      </w:r>
    </w:p>
    <w:p>
      <w:pPr>
        <w:pStyle w:val="ListBullet"/>
      </w:pPr>
      <w:r>
        <w:t>Add Open Graph and Twitter Card meta tags (reuses the existing logo/brand imagery).</w:t>
      </w:r>
    </w:p>
    <w:p>
      <w:pPr>
        <w:pStyle w:val="ListBullet"/>
      </w:pPr>
      <w:r>
        <w:t>Add Organization schema (JSON-LD) site-wide via the shared base template.</w:t>
      </w:r>
    </w:p>
    <w:p>
      <w:pPr>
        <w:pStyle w:val="Heading2"/>
      </w:pPr>
      <w:r>
        <w:rPr>
          <w:color w:val="476DB8"/>
          <w:sz w:val="26"/>
        </w:rPr>
        <w:t>Phase 2 — Structured data &amp; citation-readiness (2–4 weeks)</w:t>
      </w:r>
    </w:p>
    <w:p>
      <w:pPr>
        <w:pStyle w:val="ListBullet"/>
      </w:pPr>
      <w:r>
        <w:t>Add Product schema (JSON-LD) to all 5 product pages plus UCS X3.</w:t>
      </w:r>
    </w:p>
    <w:p>
      <w:pPr>
        <w:pStyle w:val="ListBullet"/>
      </w:pPr>
      <w:r>
        <w:t>Add BreadcrumbList schema across product and solution pages.</w:t>
      </w:r>
    </w:p>
    <w:p>
      <w:pPr>
        <w:pStyle w:val="ListBullet"/>
      </w:pPr>
      <w:r>
        <w:t>Add FAQPage schema with real FAQ content — start with 5–10 questions per major product page (“What's the IP rating of SensWEIGHT?”, “How long does installation take?”).</w:t>
      </w:r>
    </w:p>
    <w:p>
      <w:pPr>
        <w:pStyle w:val="ListBullet"/>
      </w:pPr>
      <w:r>
        <w:t>Rewrite key page opening paragraphs as definition-first, self-contained, quotable sentences (“SensWEIGHT is a remote weighing monitor that reads up to 8 load cells in real time...”).</w:t>
      </w:r>
    </w:p>
    <w:p>
      <w:pPr>
        <w:pStyle w:val="Heading2"/>
      </w:pPr>
      <w:r>
        <w:rPr>
          <w:color w:val="476DB8"/>
          <w:sz w:val="26"/>
        </w:rPr>
        <w:t>Phase 3 — Content depth (ongoing)</w:t>
      </w:r>
    </w:p>
    <w:p>
      <w:pPr>
        <w:pStyle w:val="ListBullet"/>
      </w:pPr>
      <w:r>
        <w:t>Build a glossary of industry/technical terms — mirrors Rice Lake's, but with schema markup they lack.</w:t>
      </w:r>
    </w:p>
    <w:p>
      <w:pPr>
        <w:pStyle w:val="ListBullet"/>
      </w:pPr>
      <w:r>
        <w:t>Build a resources/knowledge-base section: install guides, technical bulletins, case studies.</w:t>
      </w:r>
    </w:p>
    <w:p>
      <w:pPr>
        <w:pStyle w:val="ListBullet"/>
      </w:pPr>
      <w:r>
        <w:t>Establish a blog/articles cadence for freshness signals (dateModified matters for AI citation priority).</w:t>
      </w:r>
    </w:p>
    <w:p>
      <w:pPr>
        <w:pStyle w:val="ListBullet"/>
      </w:pPr>
      <w:r>
        <w:t>Deepen internal linking: every product page should link to its relevant industry/solution page and back — the industries→solutions link just added to the homepage is the right pattern; repeat it throughout the site.</w:t>
      </w:r>
    </w:p>
    <w:p>
      <w:pPr>
        <w:pStyle w:val="Heading2"/>
      </w:pPr>
      <w:r>
        <w:rPr>
          <w:color w:val="476DB8"/>
          <w:sz w:val="26"/>
        </w:rPr>
        <w:t>Phase 4 — Authority &amp; citation signals (ongoing, longer horizon)</w:t>
      </w:r>
    </w:p>
    <w:p>
      <w:pPr>
        <w:pStyle w:val="ListBullet"/>
      </w:pPr>
      <w:r>
        <w:t>Third-party citations: press releases, trade-publication bylines, named case studies (with customer permission).</w:t>
      </w:r>
    </w:p>
    <w:p>
      <w:pPr>
        <w:pStyle w:val="ListBullet"/>
      </w:pPr>
      <w:r>
        <w:t>Customer reviews/testimonials with Review schema markup.</w:t>
      </w:r>
    </w:p>
    <w:p>
      <w:pPr>
        <w:pStyle w:val="ListBullet"/>
      </w:pPr>
      <w:r>
        <w:t>Keep dateModified current on evergreen pages as they're revised.</w:t>
      </w:r>
    </w:p>
    <w:p>
      <w:pPr>
        <w:pStyle w:val="Heading1"/>
      </w:pPr>
      <w:r>
        <w:rPr>
          <w:color w:val="1D2C49"/>
          <w:sz w:val="34"/>
        </w:rPr>
        <w:t>7. What Moves SEO, What Moves AIEO, What Moves Both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D2C49"/>
          </w:tcPr>
          <w:p>
            <w:r/>
            <w:r>
              <w:rPr>
                <w:b/>
                <w:color w:val="FFFFFF"/>
              </w:rPr>
              <w:t>Moves mainly SEO</w:t>
            </w:r>
          </w:p>
        </w:tc>
        <w:tc>
          <w:tcPr>
            <w:tcW w:type="dxa" w:w="2880"/>
            <w:shd w:fill="1D2C49"/>
          </w:tcPr>
          <w:p>
            <w:r/>
            <w:r>
              <w:rPr>
                <w:b/>
                <w:color w:val="FFFFFF"/>
              </w:rPr>
              <w:t>Moves mainly AIEO/GEO</w:t>
            </w:r>
          </w:p>
        </w:tc>
        <w:tc>
          <w:tcPr>
            <w:tcW w:type="dxa" w:w="2880"/>
            <w:shd w:fill="1D2C49"/>
          </w:tcPr>
          <w:p>
            <w:r/>
            <w:r>
              <w:rPr>
                <w:b/>
                <w:color w:val="FFFFFF"/>
              </w:rPr>
              <w:t>Moves both</w:t>
            </w:r>
          </w:p>
        </w:tc>
      </w:tr>
      <w:tr>
        <w:tc>
          <w:tcPr>
            <w:tcW w:type="dxa" w:w="2880"/>
          </w:tcPr>
          <w:p>
            <w:r>
              <w:t>Backlinks from other sites</w:t>
            </w:r>
          </w:p>
        </w:tc>
        <w:tc>
          <w:tcPr>
            <w:tcW w:type="dxa" w:w="2880"/>
          </w:tcPr>
          <w:p>
            <w:r>
              <w:t>Definition-first opening sentences</w:t>
            </w:r>
          </w:p>
        </w:tc>
        <w:tc>
          <w:tcPr>
            <w:tcW w:type="dxa" w:w="2880"/>
          </w:tcPr>
          <w:p>
            <w:r>
              <w:t>Fast page load / Core Web Vitals</w:t>
            </w:r>
          </w:p>
        </w:tc>
      </w:tr>
      <w:tr>
        <w:tc>
          <w:tcPr>
            <w:tcW w:type="dxa" w:w="2880"/>
          </w:tcPr>
          <w:p>
            <w:r>
              <w:t>Keyword density in body copy</w:t>
            </w:r>
          </w:p>
        </w:tc>
        <w:tc>
          <w:tcPr>
            <w:tcW w:type="dxa" w:w="2880"/>
          </w:tcPr>
          <w:p>
            <w:r>
              <w:t>FAQPage / HowTo schema</w:t>
            </w:r>
          </w:p>
        </w:tc>
        <w:tc>
          <w:tcPr>
            <w:tcW w:type="dxa" w:w="2880"/>
          </w:tcPr>
          <w:p>
            <w:r>
              <w:t>Clean semantic HTML</w:t>
            </w:r>
          </w:p>
        </w:tc>
      </w:tr>
      <w:tr>
        <w:tc>
          <w:tcPr>
            <w:tcW w:type="dxa" w:w="2880"/>
          </w:tcPr>
          <w:p>
            <w:r>
              <w:t>Click-through rate from search</w:t>
            </w:r>
          </w:p>
        </w:tc>
        <w:tc>
          <w:tcPr>
            <w:tcW w:type="dxa" w:w="2880"/>
          </w:tcPr>
          <w:p>
            <w:r>
              <w:t>Third-party corroboration (PR, bylines)</w:t>
            </w:r>
          </w:p>
        </w:tc>
        <w:tc>
          <w:tcPr>
            <w:tcW w:type="dxa" w:w="2880"/>
          </w:tcPr>
          <w:p>
            <w:r>
              <w:t>Product / Organization schema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Content freshness (dateModified)</w:t>
            </w:r>
          </w:p>
        </w:tc>
        <w:tc>
          <w:tcPr>
            <w:tcW w:type="dxa" w:w="2880"/>
          </w:tcPr>
          <w:p>
            <w:r>
              <w:t>Sitemap.xml + robots.txt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Listicle/table-shaped content</w:t>
            </w:r>
          </w:p>
        </w:tc>
        <w:tc>
          <w:tcPr>
            <w:tcW w:type="dxa" w:w="2880"/>
          </w:tcPr>
          <w:p>
            <w:r>
              <w:t>Internal linking depth</w:t>
            </w:r>
          </w:p>
        </w:tc>
      </w:tr>
    </w:tbl>
    <w:p/>
    <w:p/>
    <w:p>
      <w:r>
        <w:rPr>
          <w:i/>
          <w:color w:val="6F6F6E"/>
          <w:sz w:val="18"/>
        </w:rPr>
        <w:t>Sources consulted: direct review of ricelake.com; Google Search Central — “Optimizing for Generative AI Features”; HubSpot, Search Engine Land, and GenOptima 2026 GEO best-practice guides; internal audit of unifiedcloudsensors.com source as of July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2F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