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0"/>
        <w:jc w:val="center"/>
      </w:pPr>
      <w:r>
        <w:rPr>
          <w:rFonts w:ascii="Calibri" w:cs="Calibri" w:eastAsia="Calibri" w:hAnsi="Calibri"/>
          <w:b/>
          <w:bCs/>
          <w:caps/>
          <w:color w:val="005B8E"/>
          <w:sz w:val="52"/>
          <w:szCs w:val="52"/>
        </w:rPr>
        <w:t xml:space="preserve">PROGRAMA NACIONAL CUNA MÁS</w:t>
      </w:r>
    </w:p>
    <w:p>
      <w:pPr>
        <w:spacing w:after="60" w:before="60"/>
        <w:jc w:val="center"/>
      </w:pPr>
      <w:r>
        <w:rPr>
          <w:rFonts w:ascii="Calibri" w:cs="Calibri" w:eastAsia="Calibri" w:hAnsi="Calibri"/>
          <w:color w:val="E8A020"/>
          <w:sz w:val="26"/>
          <w:szCs w:val="26"/>
        </w:rPr>
        <w:t xml:space="preserve">Ministerio de Desarrollo e Inclusión Social — MIDIS</w:t>
      </w:r>
    </w:p>
    <w:p>
      <w:pPr>
        <w:spacing w:after="60" w:before="60"/>
      </w:pPr>
      <w:r>
        <w:t xml:space="preserve"/>
      </w:r>
    </w:p>
    <w:p>
      <w:pPr>
        <w:pBdr>
          <w:top w:val="single" w:color="E8A020" w:sz="12"/>
          <w:bottom w:val="single" w:color="E8A020" w:sz="12"/>
        </w:pBdr>
        <w:spacing w:after="120" w:before="240"/>
        <w:jc w:val="center"/>
      </w:pPr>
      <w:r>
        <w:rPr>
          <w:rFonts w:ascii="Calibri" w:cs="Calibri" w:eastAsia="Calibri" w:hAnsi="Calibri"/>
          <w:b/>
          <w:bCs/>
          <w:caps/>
          <w:color w:val="005B8E"/>
          <w:sz w:val="44"/>
          <w:szCs w:val="44"/>
        </w:rPr>
        <w:t xml:space="preserve">INFORME DE SEGUIMIENTO</w:t>
      </w:r>
    </w:p>
    <w:p>
      <w:pPr>
        <w:spacing w:after="60" w:before="120"/>
        <w:jc w:val="center"/>
      </w:pPr>
      <w:r>
        <w:rPr>
          <w:rFonts w:ascii="Calibri" w:cs="Calibri" w:eastAsia="Calibri" w:hAnsi="Calibri"/>
          <w:color w:val="555555"/>
          <w:sz w:val="30"/>
          <w:szCs w:val="30"/>
        </w:rPr>
        <w:t xml:space="preserve">Plan Operativo Institucional 2026</w:t>
      </w:r>
    </w:p>
    <w:p>
      <w:pPr>
        <w:spacing w:after="60" w:before="60"/>
        <w:jc w:val="center"/>
      </w:pPr>
      <w:r>
        <w:rPr>
          <w:rFonts w:ascii="Calibri" w:cs="Calibri" w:eastAsia="Calibri" w:hAnsi="Calibri"/>
          <w:b/>
          <w:bCs/>
          <w:color w:val="E8A020"/>
          <w:sz w:val="26"/>
          <w:szCs w:val="26"/>
        </w:rPr>
        <w:t xml:space="preserve">Períodos: Febrero y Marzo 2026</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Unidad Orgánica: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Unidad de Tecnologías de la Información (UTI)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Unidad Ejecutora:</w:t>
            </w:r>
          </w:p>
        </w:tc>
        <w:tc>
          <w:tcPr>
            <w:tcW w:type="dxa" w:w="5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color w:val="555555"/>
                <w:sz w:val="20"/>
                <w:szCs w:val="20"/>
              </w:rPr>
              <w:t xml:space="preserve">003 — Programa Nacional Cuna Más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OEI: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OEI 08. Fortalecer la gestión institucional bajo un enfoque de eficiencia.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AEI:</w:t>
            </w:r>
          </w:p>
        </w:tc>
        <w:tc>
          <w:tcPr>
            <w:tcW w:type="dxa" w:w="5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color w:val="555555"/>
                <w:sz w:val="20"/>
                <w:szCs w:val="20"/>
              </w:rPr>
              <w:t xml:space="preserve">AEI.08.02. Transformación Digital implementada en el MIDIS.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Categoría Presupuestal: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9001. Acciones Centrales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Actividad:</w:t>
            </w:r>
          </w:p>
        </w:tc>
        <w:tc>
          <w:tcPr>
            <w:tcW w:type="dxa" w:w="5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color w:val="555555"/>
                <w:sz w:val="20"/>
                <w:szCs w:val="20"/>
              </w:rPr>
              <w:t xml:space="preserve">5000003. Gestión Administrativa</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Responsable: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Giovanna Nancy Hernández Portal — Ejecutiva de TI</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Fecha de elaboración:</w:t>
            </w:r>
          </w:p>
        </w:tc>
        <w:tc>
          <w:tcPr>
            <w:tcW w:type="dxa" w:w="5826"/>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Calibri" w:cs="Calibri" w:eastAsia="Calibri" w:hAnsi="Calibri"/>
                <w:color w:val="555555"/>
                <w:sz w:val="20"/>
                <w:szCs w:val="20"/>
              </w:rPr>
              <w:t xml:space="preserve">22 de abril de 2026</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5B8E"/>
                <w:sz w:val="20"/>
                <w:szCs w:val="20"/>
              </w:rPr>
              <w:t xml:space="preserve">Base legal:</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555555"/>
                <w:sz w:val="20"/>
                <w:szCs w:val="20"/>
              </w:rPr>
              <w:t xml:space="preserve">R.M. N.° 351-2025-MIDIS — POI Anual 2026</w:t>
            </w:r>
          </w:p>
        </w:tc>
      </w:tr>
    </w:tbl>
    <w:p>
      <w:pPr>
        <w:spacing w:after="60" w:before="60"/>
      </w:pPr>
      <w:r>
        <w:t xml:space="preserve"/>
      </w:r>
    </w:p>
    <w:p>
      <w:r>
        <w:br w:type="page"/>
      </w:r>
    </w:p>
    <w:p>
      <w:pPr>
        <w:spacing w:after="120" w:before="360"/>
      </w:pPr>
      <w:r>
        <w:rPr>
          <w:rFonts w:ascii="Calibri" w:cs="Calibri" w:eastAsia="Calibri" w:hAnsi="Calibri"/>
          <w:b/>
          <w:bCs/>
          <w:caps/>
          <w:color w:val="005B8E"/>
          <w:sz w:val="30"/>
          <w:szCs w:val="30"/>
        </w:rPr>
        <w:t xml:space="preserve">I.  Antecedentes</w:t>
      </w:r>
    </w:p>
    <w:p>
      <w:pPr>
        <w:spacing w:after="60" w:before="60" w:line="276"/>
        <w:jc w:val="both"/>
      </w:pPr>
      <w:r>
        <w:rPr>
          <w:rFonts w:ascii="Calibri" w:cs="Calibri" w:eastAsia="Calibri" w:hAnsi="Calibri"/>
          <w:color w:val="555555"/>
          <w:sz w:val="22"/>
          <w:szCs w:val="22"/>
        </w:rPr>
        <w:t xml:space="preserve">El Plan Operativo Institucional (POI) 2026 del Programa Nacional Cuna Más fue aprobado mediante Resolución Ministerial N.° 351-2025-MIDIS. En el marco de dicho plan, la Unidad de Tecnologías de la Información (UTI) es responsable del cumplimiento de la tarea denominada "Implementación y Administración de los Sistemas de Tecnología de la Información", alineada al Objetivo Estratégico Institucional OEI 08 del PEI 2024–2030 y a la Acción Estratégica Institucional AEI.08.02 sobre Transformación Digital.</w:t>
      </w:r>
    </w:p>
    <w:p>
      <w:pPr>
        <w:spacing w:after="60" w:before="60"/>
      </w:pPr>
      <w:r>
        <w:t xml:space="preserve"/>
      </w:r>
    </w:p>
    <w:p>
      <w:pPr>
        <w:spacing w:after="60" w:before="60" w:line="276"/>
        <w:jc w:val="both"/>
      </w:pPr>
      <w:r>
        <w:rPr>
          <w:rFonts w:ascii="Calibri" w:cs="Calibri" w:eastAsia="Calibri" w:hAnsi="Calibri"/>
          <w:color w:val="555555"/>
          <w:sz w:val="22"/>
          <w:szCs w:val="22"/>
        </w:rPr>
        <w:t xml:space="preserve">La Unidad de Planeamiento, Presupuesto y Modernización (UPPM) del PNCM, mediante Memorandos Múltiples N.° 025-2026-UPPM (Febrero) y N.° 033-2026-UPPM (Marzo), solicitó a la UTI la remisión de los formatos de seguimiento del POI correspondientes a los períodos de febrero y marzo de 2026, respectivamente.</w:t>
      </w:r>
    </w:p>
    <w:p>
      <w:pPr>
        <w:spacing w:after="60" w:before="60"/>
      </w:pPr>
      <w:r>
        <w:t xml:space="preserve"/>
      </w:r>
    </w:p>
    <w:p>
      <w:pPr>
        <w:spacing w:after="60" w:before="60" w:line="276"/>
        <w:jc w:val="both"/>
      </w:pPr>
      <w:r>
        <w:rPr>
          <w:rFonts w:ascii="Calibri" w:cs="Calibri" w:eastAsia="Calibri" w:hAnsi="Calibri"/>
          <w:color w:val="555555"/>
          <w:sz w:val="22"/>
          <w:szCs w:val="22"/>
        </w:rPr>
        <w:t xml:space="preserve">El presente informe consolida y analiza la información contenida en los Formatos N.° 01 (Información Cualitativa) y N.° 02 (Matriz de Seguimiento — Ejecución de Metas Físicas) de ambos períodos, con la finalidad de presentar un diagnóstico integral del cumplimiento de metas de la UTI durante el primer trimestre de 2026.</w:t>
      </w:r>
    </w:p>
    <w:p>
      <w:pPr>
        <w:spacing w:after="60" w:before="60"/>
      </w:pPr>
      <w:r>
        <w:t xml:space="preserve"/>
      </w:r>
    </w:p>
    <w:p>
      <w:pPr>
        <w:spacing w:after="120" w:before="360"/>
      </w:pPr>
      <w:r>
        <w:rPr>
          <w:rFonts w:ascii="Calibri" w:cs="Calibri" w:eastAsia="Calibri" w:hAnsi="Calibri"/>
          <w:b/>
          <w:bCs/>
          <w:caps/>
          <w:color w:val="005B8E"/>
          <w:sz w:val="30"/>
          <w:szCs w:val="30"/>
        </w:rPr>
        <w:t xml:space="preserve">II.  Marco Normativo</w:t>
      </w:r>
    </w:p>
    <w:p>
      <w:pPr>
        <w:pStyle w:val="ListParagraph"/>
        <w:numPr>
          <w:ilvl w:val="0"/>
          <w:numId w:val="2"/>
        </w:numPr>
        <w:spacing w:after="40" w:before="40" w:line="276"/>
      </w:pPr>
      <w:r>
        <w:rPr>
          <w:rFonts w:ascii="Calibri" w:cs="Calibri" w:eastAsia="Calibri" w:hAnsi="Calibri"/>
          <w:color w:val="555555"/>
          <w:sz w:val="22"/>
          <w:szCs w:val="22"/>
        </w:rPr>
        <w:t xml:space="preserve">Decreto Legislativo N.° 1412 — Ley de Gobierno Digital.</w:t>
      </w:r>
    </w:p>
    <w:p>
      <w:pPr>
        <w:pStyle w:val="ListParagraph"/>
        <w:numPr>
          <w:ilvl w:val="0"/>
          <w:numId w:val="2"/>
        </w:numPr>
        <w:spacing w:after="40" w:before="40" w:line="276"/>
      </w:pPr>
      <w:r>
        <w:rPr>
          <w:rFonts w:ascii="Calibri" w:cs="Calibri" w:eastAsia="Calibri" w:hAnsi="Calibri"/>
          <w:color w:val="555555"/>
          <w:sz w:val="22"/>
          <w:szCs w:val="22"/>
        </w:rPr>
        <w:t xml:space="preserve">Resolución Ministerial N.° 351-2025-MIDIS — Aprueba el POI Anual 2026.</w:t>
      </w:r>
    </w:p>
    <w:p>
      <w:pPr>
        <w:pStyle w:val="ListParagraph"/>
        <w:numPr>
          <w:ilvl w:val="0"/>
          <w:numId w:val="2"/>
        </w:numPr>
        <w:spacing w:after="40" w:before="40" w:line="276"/>
      </w:pPr>
      <w:r>
        <w:rPr>
          <w:rFonts w:ascii="Calibri" w:cs="Calibri" w:eastAsia="Calibri" w:hAnsi="Calibri"/>
          <w:color w:val="555555"/>
          <w:sz w:val="22"/>
          <w:szCs w:val="22"/>
        </w:rPr>
        <w:t xml:space="preserve">Resolución Ministerial N.° 060-2024-MIDIS — Aprueba el PEI 2024–2030.</w:t>
      </w:r>
    </w:p>
    <w:p>
      <w:pPr>
        <w:pStyle w:val="ListParagraph"/>
        <w:numPr>
          <w:ilvl w:val="0"/>
          <w:numId w:val="2"/>
        </w:numPr>
        <w:spacing w:after="40" w:before="40" w:line="276"/>
      </w:pPr>
      <w:r>
        <w:rPr>
          <w:rFonts w:ascii="Calibri" w:cs="Calibri" w:eastAsia="Calibri" w:hAnsi="Calibri"/>
          <w:color w:val="555555"/>
          <w:sz w:val="22"/>
          <w:szCs w:val="22"/>
        </w:rPr>
        <w:t xml:space="preserve">Resolución de Secretaría de Gobierno Digital N.° 005-2018-PCM/SEGDI — Lineamientos para la formulación del Plan de Gobierno Digital.</w:t>
      </w:r>
    </w:p>
    <w:p>
      <w:pPr>
        <w:pStyle w:val="ListParagraph"/>
        <w:numPr>
          <w:ilvl w:val="0"/>
          <w:numId w:val="2"/>
        </w:numPr>
        <w:spacing w:after="40" w:before="40" w:line="276"/>
      </w:pPr>
      <w:r>
        <w:rPr>
          <w:rFonts w:ascii="Calibri" w:cs="Calibri" w:eastAsia="Calibri" w:hAnsi="Calibri"/>
          <w:color w:val="555555"/>
          <w:sz w:val="22"/>
          <w:szCs w:val="22"/>
        </w:rPr>
        <w:t xml:space="preserve">Decreto Supremo N.° 029-2021-PCM — Reglamento de la Ley de Gobierno Digital.</w:t>
      </w:r>
    </w:p>
    <w:p>
      <w:pPr>
        <w:pStyle w:val="ListParagraph"/>
        <w:numPr>
          <w:ilvl w:val="0"/>
          <w:numId w:val="2"/>
        </w:numPr>
        <w:spacing w:after="40" w:before="40" w:line="276"/>
      </w:pPr>
      <w:r>
        <w:rPr>
          <w:rFonts w:ascii="Calibri" w:cs="Calibri" w:eastAsia="Calibri" w:hAnsi="Calibri"/>
          <w:color w:val="555555"/>
          <w:sz w:val="22"/>
          <w:szCs w:val="22"/>
        </w:rPr>
        <w:t xml:space="preserve">Resolución Ministerial N.° 087-2019-PCM — Conformación y funciones del Comité de Gobierno Digital.</w:t>
      </w:r>
    </w:p>
    <w:p>
      <w:pPr>
        <w:spacing w:after="60" w:before="60"/>
      </w:pPr>
      <w:r>
        <w:t xml:space="preserve"/>
      </w:r>
    </w:p>
    <w:p>
      <w:r>
        <w:br w:type="page"/>
      </w:r>
    </w:p>
    <w:p>
      <w:pPr>
        <w:spacing w:after="120" w:before="360"/>
      </w:pPr>
      <w:r>
        <w:rPr>
          <w:rFonts w:ascii="Calibri" w:cs="Calibri" w:eastAsia="Calibri" w:hAnsi="Calibri"/>
          <w:b/>
          <w:bCs/>
          <w:caps/>
          <w:color w:val="005B8E"/>
          <w:sz w:val="30"/>
          <w:szCs w:val="30"/>
        </w:rPr>
        <w:t xml:space="preserve">III.  Análisis Cuantitativo — Ejecución de Metas Físicas</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3.1  Programación Anual de Metas Físicas (POI 2026)</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500"/>
        <w:gridCol w:w="1500"/>
        <w:gridCol w:w="1426"/>
      </w:tblGrid>
      <w:tr>
        <w:trPr>
          <w:tblHeader/>
        </w:trPr>
        <w:tc>
          <w:tcPr>
            <w:tcW w:type="dxa" w:w="20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Trimestre</w:t>
            </w:r>
          </w:p>
        </w:tc>
        <w:tc>
          <w:tcPr>
            <w:tcW w:type="dxa" w:w="26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Meses</w:t>
            </w:r>
          </w:p>
        </w:tc>
        <w:tc>
          <w:tcPr>
            <w:tcW w:type="dxa" w:w="15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Metas Programadas</w:t>
            </w:r>
          </w:p>
        </w:tc>
        <w:tc>
          <w:tcPr>
            <w:tcW w:type="dxa" w:w="15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Metas Ejecutadas Feb.</w:t>
            </w:r>
          </w:p>
        </w:tc>
        <w:tc>
          <w:tcPr>
            <w:tcW w:type="dxa" w:w="1426"/>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Metas Ejecutadas Mar.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I Trimestre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Enero / Febrero / Marzo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 (Feb.)</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 (Mar.)</w:t>
            </w:r>
          </w:p>
        </w:tc>
      </w:tr>
      <w:tr>
        <w:tc>
          <w:tcPr>
            <w:tcW w:type="dxa" w:w="2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II Trimestre</w:t>
            </w:r>
          </w:p>
        </w:tc>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Abril / Mayo / Junio</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4</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III Trimestre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Julio / Agosto / 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r>
      <w:tr>
        <w:tc>
          <w:tcPr>
            <w:tcW w:type="dxa" w:w="2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IV Trimestre</w:t>
            </w:r>
          </w:p>
        </w:tc>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Oct. / Nov. / Dic.</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5</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TOTAL ANUAL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17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 acum.</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4 acum.</w:t>
            </w:r>
          </w:p>
        </w:tc>
      </w:tr>
    </w:tbl>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3.2  Detalle de Ejecución Mensual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500"/>
        <w:gridCol w:w="2326"/>
      </w:tblGrid>
      <w:tr>
        <w:trPr>
          <w:tblHeader/>
        </w:trPr>
        <w:tc>
          <w:tcPr>
            <w:tcW w:type="dxa" w:w="14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Mes</w:t>
            </w:r>
          </w:p>
        </w:tc>
        <w:tc>
          <w:tcPr>
            <w:tcW w:type="dxa" w:w="12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 Programada</w:t>
            </w:r>
          </w:p>
        </w:tc>
        <w:tc>
          <w:tcPr>
            <w:tcW w:type="dxa" w:w="12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 Ejecutada</w:t>
            </w:r>
          </w:p>
        </w:tc>
        <w:tc>
          <w:tcPr>
            <w:tcW w:type="dxa" w:w="14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Avance Período</w:t>
            </w:r>
          </w:p>
        </w:tc>
        <w:tc>
          <w:tcPr>
            <w:tcW w:type="dxa" w:w="15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Avance Acumulado</w:t>
            </w:r>
          </w:p>
        </w:tc>
        <w:tc>
          <w:tcPr>
            <w:tcW w:type="dxa" w:w="2326"/>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Enero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0.0%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Sin meta</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100.0%</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13.0%</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Cumplido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23.5%</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Cumplido</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Abril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1</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Mayo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Junio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Julio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Agosto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0</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Sin meta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Setiembre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Octubre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1</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Noviembre 2026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r>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Diciembre 2026</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2</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15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w:t>
            </w:r>
          </w:p>
        </w:tc>
        <w:tc>
          <w:tcPr>
            <w:tcW w:type="dxa" w:w="23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Pendiente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9E5C" w:sz="6"/>
              <w:left w:val="thick" w:color="1A9E5C" w:sz="20"/>
              <w:bottom w:val="single" w:color="1A9E5C" w:sz="6"/>
              <w:right w:val="single" w:color="1A9E5C" w:sz="2"/>
            </w:tcBorders>
            <w:shd w:fill="F8F9FA" w:val="clear"/>
            <w:tcMar>
              <w:top w:type="dxa" w:w="100"/>
              <w:left w:type="dxa" w:w="200"/>
              <w:bottom w:type="dxa" w:w="100"/>
              <w:right w:type="dxa" w:w="100"/>
            </w:tcMar>
          </w:tcPr>
          <w:p>
            <w:r>
              <w:rPr>
                <w:rFonts w:ascii="Calibri" w:cs="Calibri" w:eastAsia="Calibri" w:hAnsi="Calibri"/>
                <w:b/>
                <w:bCs/>
                <w:color w:val="1A9E5C"/>
                <w:sz w:val="20"/>
                <w:szCs w:val="20"/>
              </w:rPr>
              <w:t xml:space="preserve">▶ INDICADOR CLAVE — Avance al I Trimestre</w:t>
            </w:r>
          </w:p>
          <w:p>
            <w:pPr>
              <w:spacing w:before="40"/>
            </w:pPr>
            <w:r>
              <w:rPr>
                <w:rFonts w:ascii="Calibri" w:cs="Calibri" w:eastAsia="Calibri" w:hAnsi="Calibri"/>
                <w:color w:val="555555"/>
                <w:sz w:val="20"/>
                <w:szCs w:val="20"/>
              </w:rPr>
              <w:t xml:space="preserve">La UTI ha ejecutado 4 de 17 metas físicas programadas para el año 2026, representando un avance acumulado del 23.53% al cierre del I Trimestre. Los meses de febrero y marzo registraron un cumplimiento del 100% respecto a sus metas periódicas. El mes de enero no tenía meta asignada.</w:t>
            </w:r>
          </w:p>
        </w:tc>
      </w:tr>
    </w:tbl>
    <w:p>
      <w:pPr>
        <w:spacing w:after="60" w:before="60"/>
      </w:pPr>
      <w:r>
        <w:t xml:space="preserve"/>
      </w:r>
    </w:p>
    <w:p>
      <w:r>
        <w:br w:type="page"/>
      </w:r>
    </w:p>
    <w:p>
      <w:pPr>
        <w:spacing w:after="120" w:before="360"/>
      </w:pPr>
      <w:r>
        <w:rPr>
          <w:rFonts w:ascii="Calibri" w:cs="Calibri" w:eastAsia="Calibri" w:hAnsi="Calibri"/>
          <w:b/>
          <w:bCs/>
          <w:caps/>
          <w:color w:val="005B8E"/>
          <w:sz w:val="30"/>
          <w:szCs w:val="30"/>
        </w:rPr>
        <w:t xml:space="preserve">IV.  Análisis Cualitativo — Información por Período</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4.1  Período: Febrero 2026</w:t>
      </w:r>
    </w:p>
    <w:p>
      <w:pPr>
        <w:spacing w:after="60" w:before="60"/>
      </w:pPr>
      <w:r>
        <w:t xml:space="preserve"/>
      </w:r>
    </w:p>
    <w:p>
      <w:pPr>
        <w:spacing w:after="60" w:before="160"/>
      </w:pPr>
      <w:r>
        <w:rPr>
          <w:rFonts w:ascii="Calibri" w:cs="Calibri" w:eastAsia="Calibri" w:hAnsi="Calibri"/>
          <w:b/>
          <w:bCs/>
          <w:color w:val="E8A020"/>
          <w:sz w:val="22"/>
          <w:szCs w:val="22"/>
        </w:rPr>
        <w:t xml:space="preserve">4.1.1  Factores que Contribuyeron al Cumplimiento</w:t>
      </w:r>
    </w:p>
    <w:p>
      <w:pPr>
        <w:spacing w:after="60" w:before="60" w:line="276"/>
        <w:jc w:val="both"/>
      </w:pPr>
      <w:r>
        <w:rPr>
          <w:rFonts w:ascii="Calibri" w:cs="Calibri" w:eastAsia="Calibri" w:hAnsi="Calibri"/>
          <w:color w:val="555555"/>
          <w:sz w:val="22"/>
          <w:szCs w:val="22"/>
        </w:rPr>
        <w:t xml:space="preserve">La UTI desarrolló durante el período de febrero las siguientes acciones que contribuyeron al cumplimiento de las metas físicas:</w:t>
      </w:r>
    </w:p>
    <w:p>
      <w:pPr>
        <w:spacing w:after="60" w:before="60"/>
      </w:pPr>
      <w:r>
        <w:t xml:space="preserve"/>
      </w:r>
    </w:p>
    <w:p>
      <w:pPr>
        <w:pStyle w:val="ListParagraph"/>
        <w:numPr>
          <w:ilvl w:val="0"/>
          <w:numId w:val="2"/>
        </w:numPr>
        <w:spacing w:after="40" w:before="40" w:line="276"/>
      </w:pPr>
      <w:r>
        <w:rPr>
          <w:rFonts w:ascii="Calibri" w:cs="Calibri" w:eastAsia="Calibri" w:hAnsi="Calibri"/>
          <w:color w:val="555555"/>
          <w:sz w:val="22"/>
          <w:szCs w:val="22"/>
        </w:rPr>
        <w:t xml:space="preserve">Se remitió el Memorando N.° 142-2026-MIDIS/PNCM-UTI a la Unidad de Planeamiento, Presupuesto y Modernización, solicitando habilitación presupuestal mediante nota de modificación. Esto garantizará el cumplimiento de actividades programadas de febrero a diciembre de 2026.</w:t>
      </w:r>
    </w:p>
    <w:p>
      <w:pPr>
        <w:pStyle w:val="ListParagraph"/>
        <w:numPr>
          <w:ilvl w:val="0"/>
          <w:numId w:val="2"/>
        </w:numPr>
        <w:spacing w:after="40" w:before="40" w:line="276"/>
      </w:pPr>
      <w:r>
        <w:rPr>
          <w:rFonts w:ascii="Calibri" w:cs="Calibri" w:eastAsia="Calibri" w:hAnsi="Calibri"/>
          <w:color w:val="555555"/>
          <w:sz w:val="22"/>
          <w:szCs w:val="22"/>
        </w:rPr>
        <w:t xml:space="preserve">Se remitió el Memorando N.° 062-2026-MIDIS/PNCM-UTI a la Unidad de Administración, adjuntando los Términos de Referencia para la contratación del servicio de renovación de licencia de software antispam para el PNCM.</w:t>
      </w:r>
    </w:p>
    <w:p>
      <w:pPr>
        <w:pStyle w:val="ListParagraph"/>
        <w:numPr>
          <w:ilvl w:val="0"/>
          <w:numId w:val="2"/>
        </w:numPr>
        <w:spacing w:after="40" w:before="40" w:line="276"/>
      </w:pPr>
      <w:r>
        <w:rPr>
          <w:rFonts w:ascii="Calibri" w:cs="Calibri" w:eastAsia="Calibri" w:hAnsi="Calibri"/>
          <w:color w:val="555555"/>
          <w:sz w:val="22"/>
          <w:szCs w:val="22"/>
        </w:rPr>
        <w:t xml:space="preserve">Se remitió el Memorando N.° 063-2026-MIDIS/PNCM-UTI a la Unidad de Administración, adjuntando los Términos de Referencia para la contratación del Servicio de Internet Dedicado y Telefonía Fija para las Unidades Territoriales (en proceso de estudio de mercado).</w:t>
      </w:r>
    </w:p>
    <w:p>
      <w:pPr>
        <w:spacing w:after="60" w:before="60"/>
      </w:pPr>
      <w:r>
        <w:t xml:space="preserve"/>
      </w:r>
    </w:p>
    <w:p>
      <w:pPr>
        <w:spacing w:after="60" w:before="160"/>
      </w:pPr>
      <w:r>
        <w:rPr>
          <w:rFonts w:ascii="Calibri" w:cs="Calibri" w:eastAsia="Calibri" w:hAnsi="Calibri"/>
          <w:b/>
          <w:bCs/>
          <w:color w:val="E8A020"/>
          <w:sz w:val="22"/>
          <w:szCs w:val="22"/>
        </w:rPr>
        <w:t xml:space="preserve">4.1.2  Factores que Dificultaron el Cumplimiento</w:t>
      </w:r>
    </w:p>
    <w:p>
      <w:pPr>
        <w:spacing w:after="60" w:before="60" w:line="276"/>
        <w:jc w:val="both"/>
      </w:pPr>
      <w:r>
        <w:rPr>
          <w:rFonts w:ascii="Calibri" w:cs="Calibri" w:eastAsia="Calibri" w:hAnsi="Calibri"/>
          <w:color w:val="555555"/>
          <w:sz w:val="22"/>
          <w:szCs w:val="22"/>
        </w:rPr>
        <w:t xml:space="preserve">El principal factor de riesgo identificado fue la demora en los trámites administrativos, los cuales generan retrasos que dificultan la ejecución oportuna de las actividades planificadas.</w:t>
      </w:r>
    </w:p>
    <w:p>
      <w:pPr>
        <w:spacing w:after="60" w:before="60"/>
      </w:pPr>
      <w:r>
        <w:t xml:space="preserve"/>
      </w:r>
    </w:p>
    <w:p>
      <w:pPr>
        <w:spacing w:after="60" w:before="160"/>
      </w:pPr>
      <w:r>
        <w:rPr>
          <w:rFonts w:ascii="Calibri" w:cs="Calibri" w:eastAsia="Calibri" w:hAnsi="Calibri"/>
          <w:b/>
          <w:bCs/>
          <w:color w:val="E8A020"/>
          <w:sz w:val="22"/>
          <w:szCs w:val="22"/>
        </w:rPr>
        <w:t xml:space="preserve">4.1.3  Medidas Adoptadas</w:t>
      </w:r>
    </w:p>
    <w:p>
      <w:pPr>
        <w:spacing w:after="60" w:before="60" w:line="276"/>
        <w:jc w:val="both"/>
      </w:pPr>
      <w:r>
        <w:rPr>
          <w:rFonts w:ascii="Calibri" w:cs="Calibri" w:eastAsia="Calibri" w:hAnsi="Calibri"/>
          <w:color w:val="555555"/>
          <w:sz w:val="22"/>
          <w:szCs w:val="22"/>
        </w:rPr>
        <w:t xml:space="preserve">Se enviaron oportunamente los Términos de Referencia para los servicios requeridos, en línea con la programación de metas físicas. Se coordinó con el personal técnico de la UTI para gestionar los requerimientos que permitan satisfacer las necesidades de la Entidad.</w:t>
      </w:r>
    </w:p>
    <w:p>
      <w:pPr>
        <w:spacing w:after="60" w:before="60"/>
      </w:pPr>
      <w:r>
        <w:t xml:space="preserve"/>
      </w:r>
    </w:p>
    <w:p>
      <w:pPr>
        <w:spacing w:after="60" w:before="160"/>
      </w:pPr>
      <w:r>
        <w:rPr>
          <w:rFonts w:ascii="Calibri" w:cs="Calibri" w:eastAsia="Calibri" w:hAnsi="Calibri"/>
          <w:b/>
          <w:bCs/>
          <w:color w:val="E8A020"/>
          <w:sz w:val="22"/>
          <w:szCs w:val="22"/>
        </w:rPr>
        <w:t xml:space="preserve">4.1.4  Medidas para la Mejora Continua</w:t>
      </w:r>
    </w:p>
    <w:p>
      <w:pPr>
        <w:spacing w:after="60" w:before="60" w:line="276"/>
        <w:jc w:val="both"/>
      </w:pPr>
      <w:r>
        <w:rPr>
          <w:rFonts w:ascii="Calibri" w:cs="Calibri" w:eastAsia="Calibri" w:hAnsi="Calibri"/>
          <w:color w:val="555555"/>
          <w:sz w:val="22"/>
          <w:szCs w:val="22"/>
        </w:rPr>
        <w:t xml:space="preserve">La UTI mantiene comunicación constante con las Unidades y Oficinas de Coordinación Territorial a través de grupos de WhatsApp, compartiendo recomendaciones sobre buenas prácticas en el uso de plataformas informáticas. Adicionalmente, monitorea de manera centralizada la seguridad de la red del PNCM, previniendo posibles ataques cibernéticos.</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4.2  Período: Marzo 2026</w:t>
      </w:r>
    </w:p>
    <w:p>
      <w:pPr>
        <w:spacing w:after="60" w:before="60"/>
      </w:pPr>
      <w:r>
        <w:t xml:space="preserve"/>
      </w:r>
    </w:p>
    <w:p>
      <w:pPr>
        <w:spacing w:after="60" w:before="160"/>
      </w:pPr>
      <w:r>
        <w:rPr>
          <w:rFonts w:ascii="Calibri" w:cs="Calibri" w:eastAsia="Calibri" w:hAnsi="Calibri"/>
          <w:b/>
          <w:bCs/>
          <w:color w:val="E8A020"/>
          <w:sz w:val="22"/>
          <w:szCs w:val="22"/>
        </w:rPr>
        <w:t xml:space="preserve">4.2.1  Factores que Contribuyeron al Cumplimiento</w:t>
      </w:r>
    </w:p>
    <w:p>
      <w:pPr>
        <w:pStyle w:val="ListParagraph"/>
        <w:numPr>
          <w:ilvl w:val="0"/>
          <w:numId w:val="2"/>
        </w:numPr>
        <w:spacing w:after="40" w:before="40" w:line="276"/>
      </w:pPr>
      <w:r>
        <w:rPr>
          <w:rFonts w:ascii="Calibri" w:cs="Calibri" w:eastAsia="Calibri" w:hAnsi="Calibri"/>
          <w:color w:val="555555"/>
          <w:sz w:val="22"/>
          <w:szCs w:val="22"/>
        </w:rPr>
        <w:t xml:space="preserve">Se revisó y validó el servicio de alquiler de impresión y fotocopiado para la Sede Central del PNCM, corroborando su operatividad y otorgando conformidad del servicio (Memorando N.° 170-2026-MIDIS/PNCM-UTI).</w:t>
      </w:r>
    </w:p>
    <w:p>
      <w:pPr>
        <w:pStyle w:val="ListParagraph"/>
        <w:numPr>
          <w:ilvl w:val="0"/>
          <w:numId w:val="2"/>
        </w:numPr>
        <w:spacing w:after="40" w:before="40" w:line="276"/>
      </w:pPr>
      <w:r>
        <w:rPr>
          <w:rFonts w:ascii="Calibri" w:cs="Calibri" w:eastAsia="Calibri" w:hAnsi="Calibri"/>
          <w:color w:val="555555"/>
          <w:sz w:val="22"/>
          <w:szCs w:val="22"/>
        </w:rPr>
        <w:t xml:space="preserve">Se revisó y validó el Servicio de Internet Dedicado y Telefonía Fija para las Unidades Territoriales, corroborando su operatividad y otorgando conformidad del servicio (Memorando N.° 181-2026-MIDIS/PNCM-UTI).</w:t>
      </w:r>
    </w:p>
    <w:p>
      <w:pPr>
        <w:spacing w:after="60" w:before="60"/>
      </w:pPr>
      <w:r>
        <w:t xml:space="preserve"/>
      </w:r>
    </w:p>
    <w:p>
      <w:pPr>
        <w:spacing w:after="60" w:before="160"/>
      </w:pPr>
      <w:r>
        <w:rPr>
          <w:rFonts w:ascii="Calibri" w:cs="Calibri" w:eastAsia="Calibri" w:hAnsi="Calibri"/>
          <w:b/>
          <w:bCs/>
          <w:color w:val="E8A020"/>
          <w:sz w:val="22"/>
          <w:szCs w:val="22"/>
        </w:rPr>
        <w:t xml:space="preserve">4.2.2  Factores que Dificultaron el Cumplimiento</w:t>
      </w:r>
    </w:p>
    <w:p>
      <w:pPr>
        <w:spacing w:after="60" w:before="60" w:line="276"/>
        <w:jc w:val="both"/>
      </w:pPr>
      <w:r>
        <w:rPr>
          <w:rFonts w:ascii="Calibri" w:cs="Calibri" w:eastAsia="Calibri" w:hAnsi="Calibri"/>
          <w:color w:val="555555"/>
          <w:sz w:val="22"/>
          <w:szCs w:val="22"/>
        </w:rPr>
        <w:t xml:space="preserve">Se identificó como factor de riesgo la limitación de recursos asignados a la UTI. De ser necesario, en próximos meses se gestionará la solicitud de recursos adicionales para garantizar el cumplimiento integral de las actividades planificadas.</w:t>
      </w:r>
    </w:p>
    <w:p>
      <w:pPr>
        <w:spacing w:after="60" w:before="60"/>
      </w:pPr>
      <w:r>
        <w:t xml:space="preserve"/>
      </w:r>
    </w:p>
    <w:p>
      <w:pPr>
        <w:spacing w:after="60" w:before="160"/>
      </w:pPr>
      <w:r>
        <w:rPr>
          <w:rFonts w:ascii="Calibri" w:cs="Calibri" w:eastAsia="Calibri" w:hAnsi="Calibri"/>
          <w:b/>
          <w:bCs/>
          <w:color w:val="E8A020"/>
          <w:sz w:val="22"/>
          <w:szCs w:val="22"/>
        </w:rPr>
        <w:t xml:space="preserve">4.2.3  Medidas Adoptadas</w:t>
      </w:r>
    </w:p>
    <w:p>
      <w:pPr>
        <w:spacing w:after="60" w:before="60" w:line="276"/>
        <w:jc w:val="both"/>
      </w:pPr>
      <w:r>
        <w:rPr>
          <w:rFonts w:ascii="Calibri" w:cs="Calibri" w:eastAsia="Calibri" w:hAnsi="Calibri"/>
          <w:color w:val="555555"/>
          <w:sz w:val="22"/>
          <w:szCs w:val="22"/>
        </w:rPr>
        <w:t xml:space="preserve">Se enviaron oportunamente los Términos de Referencia para los servicios requeridos y se coordinó con el personal técnico de la UTI para gestionar los requerimientos necesarios.</w:t>
      </w:r>
    </w:p>
    <w:p>
      <w:pPr>
        <w:spacing w:after="60" w:before="60"/>
      </w:pPr>
      <w:r>
        <w:t xml:space="preserve"/>
      </w:r>
    </w:p>
    <w:p>
      <w:pPr>
        <w:spacing w:after="60" w:before="160"/>
      </w:pPr>
      <w:r>
        <w:rPr>
          <w:rFonts w:ascii="Calibri" w:cs="Calibri" w:eastAsia="Calibri" w:hAnsi="Calibri"/>
          <w:b/>
          <w:bCs/>
          <w:color w:val="E8A020"/>
          <w:sz w:val="22"/>
          <w:szCs w:val="22"/>
        </w:rPr>
        <w:t xml:space="preserve">4.2.4  Medidas para la Mejora Continua</w:t>
      </w:r>
    </w:p>
    <w:p>
      <w:pPr>
        <w:spacing w:after="60" w:before="60" w:line="276"/>
        <w:jc w:val="both"/>
      </w:pPr>
      <w:r>
        <w:rPr>
          <w:rFonts w:ascii="Calibri" w:cs="Calibri" w:eastAsia="Calibri" w:hAnsi="Calibri"/>
          <w:color w:val="555555"/>
          <w:sz w:val="22"/>
          <w:szCs w:val="22"/>
        </w:rPr>
        <w:t xml:space="preserve">Se mantiene la comunicación constante con las Unidades y Oficinas de Coordinación Territorial, y el monitoreo centralizado de la seguridad de la red del PNCM.</w:t>
      </w:r>
    </w:p>
    <w:p>
      <w:pPr>
        <w:spacing w:after="60" w:before="60"/>
      </w:pPr>
      <w:r>
        <w:t xml:space="preserve"/>
      </w:r>
    </w:p>
    <w:p>
      <w:r>
        <w:br w:type="page"/>
      </w:r>
    </w:p>
    <w:p>
      <w:pPr>
        <w:spacing w:after="120" w:before="360"/>
      </w:pPr>
      <w:r>
        <w:rPr>
          <w:rFonts w:ascii="Calibri" w:cs="Calibri" w:eastAsia="Calibri" w:hAnsi="Calibri"/>
          <w:b/>
          <w:bCs/>
          <w:caps/>
          <w:color w:val="005B8E"/>
          <w:sz w:val="30"/>
          <w:szCs w:val="30"/>
        </w:rPr>
        <w:t xml:space="preserve">V.  Documentos Sustentatorios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000"/>
        <w:gridCol w:w="2126"/>
      </w:tblGrid>
      <w:tr>
        <w:trPr>
          <w:tblHeader/>
        </w:trPr>
        <w:tc>
          <w:tcPr>
            <w:tcW w:type="dxa" w:w="26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 Memorando</w:t>
            </w:r>
          </w:p>
        </w:tc>
        <w:tc>
          <w:tcPr>
            <w:tcW w:type="dxa" w:w="13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Período</w:t>
            </w:r>
          </w:p>
        </w:tc>
        <w:tc>
          <w:tcPr>
            <w:tcW w:type="dxa" w:w="30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Asunto</w:t>
            </w:r>
          </w:p>
        </w:tc>
        <w:tc>
          <w:tcPr>
            <w:tcW w:type="dxa" w:w="2126"/>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Destino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062-2026-UTI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TdR: Renovación licencia antispam</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Unidad de Administración</w:t>
            </w:r>
          </w:p>
        </w:tc>
      </w:tr>
      <w:tr>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063-2026-UTI</w:t>
            </w:r>
          </w:p>
        </w:tc>
        <w:tc>
          <w:tcPr>
            <w:tcW w:type="dxa" w:w="13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3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TdR: Servicio de internet y telefonía fija — UUTT</w:t>
            </w:r>
          </w:p>
        </w:tc>
        <w:tc>
          <w:tcPr>
            <w:tcW w:type="dxa" w:w="21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Unidad de Administración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142-2026-UTI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Solicitud habilitación presupuestal — nota de modificación</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UPPM</w:t>
            </w:r>
          </w:p>
        </w:tc>
      </w:tr>
      <w:tr>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174-2026-UTI</w:t>
            </w:r>
          </w:p>
        </w:tc>
        <w:tc>
          <w:tcPr>
            <w:tcW w:type="dxa" w:w="13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3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Remisión Formato N.° 02 — Feb. 2026</w:t>
            </w:r>
          </w:p>
        </w:tc>
        <w:tc>
          <w:tcPr>
            <w:tcW w:type="dxa" w:w="21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UPPM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170-2026-UTI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Conformidad: Servicio alquiler impresión/fotocopiado</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Unidad de Administración</w:t>
            </w:r>
          </w:p>
        </w:tc>
      </w:tr>
      <w:tr>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181-2026-UTI</w:t>
            </w:r>
          </w:p>
        </w:tc>
        <w:tc>
          <w:tcPr>
            <w:tcW w:type="dxa" w:w="13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 2026</w:t>
            </w:r>
          </w:p>
        </w:tc>
        <w:tc>
          <w:tcPr>
            <w:tcW w:type="dxa" w:w="3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Conformidad: Internet dedicado y telefonía — UUTT</w:t>
            </w:r>
          </w:p>
        </w:tc>
        <w:tc>
          <w:tcPr>
            <w:tcW w:type="dxa" w:w="21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Unidad de Administración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N.° 234-2026-UTI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Remisión Formato N.° 02 — Mar. 2026</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UPPM</w:t>
            </w:r>
          </w:p>
        </w:tc>
      </w:tr>
      <w:tr>
        <w:tc>
          <w:tcPr>
            <w:tcW w:type="dxa" w:w="26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MÚLTIPLE N.° 025-2026-UPPM</w:t>
            </w:r>
          </w:p>
        </w:tc>
        <w:tc>
          <w:tcPr>
            <w:tcW w:type="dxa" w:w="13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 2026</w:t>
            </w:r>
          </w:p>
        </w:tc>
        <w:tc>
          <w:tcPr>
            <w:tcW w:type="dxa" w:w="30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Solicitud de seguimiento POI 2026 — Feb.</w:t>
            </w:r>
          </w:p>
        </w:tc>
        <w:tc>
          <w:tcPr>
            <w:tcW w:type="dxa" w:w="21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UTI y otras unidades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MEMO. MÚLTIPLE N.° 033-2026-UPPM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Solicitud de seguimiento POI 2026 — Mar.</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UTI y otras unidades</w:t>
            </w:r>
          </w:p>
        </w:tc>
      </w:tr>
    </w:tbl>
    <w:p>
      <w:pPr>
        <w:spacing w:after="60" w:before="60"/>
      </w:pPr>
      <w:r>
        <w:t xml:space="preserve"/>
      </w:r>
    </w:p>
    <w:p>
      <w:pPr>
        <w:spacing w:after="120" w:before="360"/>
      </w:pPr>
      <w:r>
        <w:rPr>
          <w:rFonts w:ascii="Calibri" w:cs="Calibri" w:eastAsia="Calibri" w:hAnsi="Calibri"/>
          <w:b/>
          <w:bCs/>
          <w:caps/>
          <w:color w:val="005B8E"/>
          <w:sz w:val="30"/>
          <w:szCs w:val="30"/>
        </w:rPr>
        <w:t xml:space="preserve">VI.  Análisis de Riesgos e Implicancias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426"/>
      </w:tblGrid>
      <w:tr>
        <w:trPr>
          <w:tblHeader/>
        </w:trPr>
        <w:tc>
          <w:tcPr>
            <w:tcW w:type="dxa" w:w="32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Riesgo Identificado</w:t>
            </w:r>
          </w:p>
        </w:tc>
        <w:tc>
          <w:tcPr>
            <w:tcW w:type="dxa" w:w="12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Período</w:t>
            </w:r>
          </w:p>
        </w:tc>
        <w:tc>
          <w:tcPr>
            <w:tcW w:type="dxa" w:w="1200"/>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Nivel</w:t>
            </w:r>
          </w:p>
        </w:tc>
        <w:tc>
          <w:tcPr>
            <w:tcW w:type="dxa" w:w="3426"/>
            <w:tcBorders>
              <w:top w:val="single" w:color="CCCCCC" w:sz="1"/>
              <w:left w:val="single" w:color="CCCCCC" w:sz="1"/>
              <w:bottom w:val="single" w:color="CCCCCC" w:sz="1"/>
              <w:right w:val="single" w:color="CCCCCC" w:sz="1"/>
            </w:tcBorders>
            <w:shd w:fill="005B8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Medida de Mitigación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Demora en trámites administrativos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Medio</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Remisión anticipada de TdR y coordinación con UA</w:t>
            </w:r>
          </w:p>
        </w:tc>
      </w:tr>
      <w:tr>
        <w:tc>
          <w:tcPr>
            <w:tcW w:type="dxa" w:w="3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Limitación de recursos presupuestales UTI</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Marzo</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Medio-Alto</w:t>
            </w:r>
          </w:p>
        </w:tc>
        <w:tc>
          <w:tcPr>
            <w:tcW w:type="dxa" w:w="34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Gestión de habilitación presupuestal ante UPPM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Retrasos en estudio de mercado (internet UUTT)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Febrero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Bajo</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Seguimiento activo desde UTI</w:t>
            </w:r>
          </w:p>
        </w:tc>
      </w:tr>
      <w:tr>
        <w:tc>
          <w:tcPr>
            <w:tcW w:type="dxa" w:w="3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Posibles ciberataques a la red PNCM</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left"/>
            </w:pPr>
            <w:r>
              <w:rPr>
                <w:rFonts w:ascii="Calibri" w:cs="Calibri" w:eastAsia="Calibri" w:hAnsi="Calibri"/>
                <w:color w:val="555555"/>
                <w:sz w:val="18"/>
                <w:szCs w:val="18"/>
              </w:rPr>
              <w:t xml:space="preserve">Ambos</w:t>
            </w:r>
          </w:p>
        </w:tc>
        <w:tc>
          <w:tcPr>
            <w:tcW w:type="dxa" w:w="1200"/>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Medio</w:t>
            </w:r>
          </w:p>
        </w:tc>
        <w:tc>
          <w:tcPr>
            <w:tcW w:type="dxa" w:w="3426"/>
            <w:tcBorders>
              <w:top w:val="single" w:color="CCCCCC" w:sz="1"/>
              <w:left w:val="single" w:color="CCCCCC" w:sz="1"/>
              <w:bottom w:val="single" w:color="CCCCCC" w:sz="1"/>
              <w:right w:val="single" w:color="CCCCCC" w:sz="1"/>
            </w:tcBorders>
            <w:shd w:fill="EBF4FB" w:val="clear"/>
            <w:tcMar>
              <w:top w:type="dxa" w:w="60"/>
              <w:left w:type="dxa" w:w="100"/>
              <w:bottom w:type="dxa" w:w="60"/>
              <w:right w:type="dxa" w:w="100"/>
            </w:tcMar>
            <w:vAlign w:val="center"/>
          </w:tcPr>
          <w:p>
            <w:pPr>
              <w:jc w:val="center"/>
            </w:pPr>
            <w:r>
              <w:rPr>
                <w:rFonts w:ascii="Calibri" w:cs="Calibri" w:eastAsia="Calibri" w:hAnsi="Calibri"/>
                <w:color w:val="555555"/>
                <w:sz w:val="18"/>
                <w:szCs w:val="18"/>
              </w:rPr>
              <w:t xml:space="preserve">Monitoreo centralizado de seguridad de red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35400" w:sz="6"/>
              <w:left w:val="thick" w:color="D35400" w:sz="20"/>
              <w:bottom w:val="single" w:color="D35400" w:sz="6"/>
              <w:right w:val="single" w:color="D35400" w:sz="2"/>
            </w:tcBorders>
            <w:shd w:fill="F8F9FA" w:val="clear"/>
            <w:tcMar>
              <w:top w:type="dxa" w:w="100"/>
              <w:left w:type="dxa" w:w="200"/>
              <w:bottom w:type="dxa" w:w="100"/>
              <w:right w:type="dxa" w:w="100"/>
            </w:tcMar>
          </w:tcPr>
          <w:p>
            <w:r>
              <w:rPr>
                <w:rFonts w:ascii="Calibri" w:cs="Calibri" w:eastAsia="Calibri" w:hAnsi="Calibri"/>
                <w:b/>
                <w:bCs/>
                <w:color w:val="D35400"/>
                <w:sz w:val="20"/>
                <w:szCs w:val="20"/>
              </w:rPr>
              <w:t xml:space="preserve">⚠ RIESGO PRESUPUESTAL</w:t>
            </w:r>
          </w:p>
          <w:p>
            <w:pPr>
              <w:spacing w:before="40"/>
            </w:pPr>
            <w:r>
              <w:rPr>
                <w:rFonts w:ascii="Calibri" w:cs="Calibri" w:eastAsia="Calibri" w:hAnsi="Calibri"/>
                <w:color w:val="555555"/>
                <w:sz w:val="20"/>
                <w:szCs w:val="20"/>
              </w:rPr>
              <w:t xml:space="preserve">La limitación de recursos asignados a la UTI reportada en marzo podría afectar el cumplimiento de metas del II trimestre (abril–junio). Se recomienda priorizar la aprobación de la nota de modificación presupuestal solicitada mediante Memorando N.° 142-2026-UTI.</w:t>
            </w:r>
          </w:p>
        </w:tc>
      </w:tr>
    </w:tbl>
    <w:p>
      <w:pPr>
        <w:spacing w:after="60" w:before="60"/>
      </w:pPr>
      <w:r>
        <w:t xml:space="preserve"/>
      </w:r>
    </w:p>
    <w:p>
      <w:r>
        <w:br w:type="page"/>
      </w:r>
    </w:p>
    <w:p>
      <w:pPr>
        <w:spacing w:after="120" w:before="360"/>
      </w:pPr>
      <w:r>
        <w:rPr>
          <w:rFonts w:ascii="Calibri" w:cs="Calibri" w:eastAsia="Calibri" w:hAnsi="Calibri"/>
          <w:b/>
          <w:bCs/>
          <w:caps/>
          <w:color w:val="005B8E"/>
          <w:sz w:val="30"/>
          <w:szCs w:val="30"/>
        </w:rPr>
        <w:t xml:space="preserve">VII.  Conclusiones</w:t>
      </w:r>
    </w:p>
    <w:p>
      <w:pPr>
        <w:spacing w:after="60" w:before="60"/>
      </w:pPr>
      <w:r>
        <w:t xml:space="preserve"/>
      </w:r>
    </w:p>
    <w:p>
      <w:pPr>
        <w:pStyle w:val="ListParagraph"/>
        <w:numPr>
          <w:ilvl w:val="0"/>
          <w:numId w:val="3"/>
        </w:numPr>
        <w:spacing w:after="80" w:before="80" w:line="276"/>
      </w:pPr>
      <w:r>
        <w:rPr>
          <w:rFonts w:ascii="Calibri" w:cs="Calibri" w:eastAsia="Calibri" w:hAnsi="Calibri"/>
          <w:color w:val="555555"/>
          <w:sz w:val="22"/>
          <w:szCs w:val="22"/>
        </w:rPr>
        <w:t xml:space="preserve">La Unidad de Tecnologías de la Información del PNCM cumplió al 100% las metas físicas programadas para los meses de febrero y marzo de 2026, reportando un avance acumulado del 23.53% sobre el total anual de 17 metas.</w:t>
      </w:r>
    </w:p>
    <w:p>
      <w:pPr>
        <w:pStyle w:val="ListParagraph"/>
        <w:numPr>
          <w:ilvl w:val="0"/>
          <w:numId w:val="3"/>
        </w:numPr>
        <w:spacing w:after="80" w:before="80" w:line="276"/>
      </w:pPr>
      <w:r>
        <w:rPr>
          <w:rFonts w:ascii="Calibri" w:cs="Calibri" w:eastAsia="Calibri" w:hAnsi="Calibri"/>
          <w:color w:val="555555"/>
          <w:sz w:val="22"/>
          <w:szCs w:val="22"/>
        </w:rPr>
        <w:t xml:space="preserve">Las principales acciones ejecutadas fueron: la remisión de Términos de Referencia para servicios TIC estratégicos (antispam, internet dedicado y telefonía), y la validación de conformidad de servicios activos en la Sede Central y Unidades Territoriales.</w:t>
      </w:r>
    </w:p>
    <w:p>
      <w:pPr>
        <w:pStyle w:val="ListParagraph"/>
        <w:numPr>
          <w:ilvl w:val="0"/>
          <w:numId w:val="3"/>
        </w:numPr>
        <w:spacing w:after="80" w:before="80" w:line="276"/>
      </w:pPr>
      <w:r>
        <w:rPr>
          <w:rFonts w:ascii="Calibri" w:cs="Calibri" w:eastAsia="Calibri" w:hAnsi="Calibri"/>
          <w:color w:val="555555"/>
          <w:sz w:val="22"/>
          <w:szCs w:val="22"/>
        </w:rPr>
        <w:t xml:space="preserve">Se identificaron dos factores de riesgo que requieren atención: (a) la demora en trámites administrativos, y (b) la limitación de recursos presupuestales de la UTI, para los cuales ya se han iniciado gestiones de mitigación.</w:t>
      </w:r>
    </w:p>
    <w:p>
      <w:pPr>
        <w:pStyle w:val="ListParagraph"/>
        <w:numPr>
          <w:ilvl w:val="0"/>
          <w:numId w:val="3"/>
        </w:numPr>
        <w:spacing w:after="80" w:before="80" w:line="276"/>
      </w:pPr>
      <w:r>
        <w:rPr>
          <w:rFonts w:ascii="Calibri" w:cs="Calibri" w:eastAsia="Calibri" w:hAnsi="Calibri"/>
          <w:color w:val="555555"/>
          <w:sz w:val="22"/>
          <w:szCs w:val="22"/>
        </w:rPr>
        <w:t xml:space="preserve">La UTI mantiene prácticas de gestión proactiva: comunicación permanente con UUTT, remisión anticipada de requerimientos técnicos y monitoreo centralizado de seguridad de red.</w:t>
      </w:r>
    </w:p>
    <w:p>
      <w:pPr>
        <w:spacing w:after="60" w:before="60"/>
      </w:pPr>
      <w:r>
        <w:t xml:space="preserve"/>
      </w:r>
    </w:p>
    <w:p>
      <w:pPr>
        <w:spacing w:after="120" w:before="360"/>
      </w:pPr>
      <w:r>
        <w:rPr>
          <w:rFonts w:ascii="Calibri" w:cs="Calibri" w:eastAsia="Calibri" w:hAnsi="Calibri"/>
          <w:b/>
          <w:bCs/>
          <w:caps/>
          <w:color w:val="005B8E"/>
          <w:sz w:val="30"/>
          <w:szCs w:val="30"/>
        </w:rPr>
        <w:t xml:space="preserve">VIII.  Recomendaciones</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8.1  Para la Unidad de Tecnologías de la Información</w:t>
      </w:r>
    </w:p>
    <w:p>
      <w:pPr>
        <w:pStyle w:val="ListParagraph"/>
        <w:numPr>
          <w:ilvl w:val="0"/>
          <w:numId w:val="2"/>
        </w:numPr>
        <w:spacing w:after="40" w:before="40" w:line="276"/>
      </w:pPr>
      <w:r>
        <w:rPr>
          <w:rFonts w:ascii="Calibri" w:cs="Calibri" w:eastAsia="Calibri" w:hAnsi="Calibri"/>
          <w:color w:val="555555"/>
          <w:sz w:val="22"/>
          <w:szCs w:val="22"/>
        </w:rPr>
        <w:t xml:space="preserve">Dar seguimiento activo a la aprobación de la nota de modificación presupuestal solicitada a la UPPM, a fin de garantizar recursos para el II trimestre.</w:t>
      </w:r>
    </w:p>
    <w:p>
      <w:pPr>
        <w:pStyle w:val="ListParagraph"/>
        <w:numPr>
          <w:ilvl w:val="0"/>
          <w:numId w:val="2"/>
        </w:numPr>
        <w:spacing w:after="40" w:before="40" w:line="276"/>
      </w:pPr>
      <w:r>
        <w:rPr>
          <w:rFonts w:ascii="Calibri" w:cs="Calibri" w:eastAsia="Calibri" w:hAnsi="Calibri"/>
          <w:color w:val="555555"/>
          <w:sz w:val="22"/>
          <w:szCs w:val="22"/>
        </w:rPr>
        <w:t xml:space="preserve">Acelerar la conclusión del estudio de mercado para el servicio de internet dedicado y telefonía fija de las Unidades Territoriales.</w:t>
      </w:r>
    </w:p>
    <w:p>
      <w:pPr>
        <w:pStyle w:val="ListParagraph"/>
        <w:numPr>
          <w:ilvl w:val="0"/>
          <w:numId w:val="2"/>
        </w:numPr>
        <w:spacing w:after="40" w:before="40" w:line="276"/>
      </w:pPr>
      <w:r>
        <w:rPr>
          <w:rFonts w:ascii="Calibri" w:cs="Calibri" w:eastAsia="Calibri" w:hAnsi="Calibri"/>
          <w:color w:val="555555"/>
          <w:sz w:val="22"/>
          <w:szCs w:val="22"/>
        </w:rPr>
        <w:t xml:space="preserve">Elaborar un cronograma detallado de actividades para los meses de abril a diciembre con hitos de verificación mensual.</w:t>
      </w:r>
    </w:p>
    <w:p>
      <w:pPr>
        <w:pStyle w:val="ListParagraph"/>
        <w:numPr>
          <w:ilvl w:val="0"/>
          <w:numId w:val="2"/>
        </w:numPr>
        <w:spacing w:after="40" w:before="40" w:line="276"/>
      </w:pPr>
      <w:r>
        <w:rPr>
          <w:rFonts w:ascii="Calibri" w:cs="Calibri" w:eastAsia="Calibri" w:hAnsi="Calibri"/>
          <w:color w:val="555555"/>
          <w:sz w:val="22"/>
          <w:szCs w:val="22"/>
        </w:rPr>
        <w:t xml:space="preserve">Mantener actualizado el registro de fuentes de verificación (memorandos) en el sistema de seguimiento POI.</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8.2  Para la Unidad de Planeamiento, Presupuesto y Modernización</w:t>
      </w:r>
    </w:p>
    <w:p>
      <w:pPr>
        <w:pStyle w:val="ListParagraph"/>
        <w:numPr>
          <w:ilvl w:val="0"/>
          <w:numId w:val="2"/>
        </w:numPr>
        <w:spacing w:after="40" w:before="40" w:line="276"/>
      </w:pPr>
      <w:r>
        <w:rPr>
          <w:rFonts w:ascii="Calibri" w:cs="Calibri" w:eastAsia="Calibri" w:hAnsi="Calibri"/>
          <w:color w:val="555555"/>
          <w:sz w:val="22"/>
          <w:szCs w:val="22"/>
        </w:rPr>
        <w:t xml:space="preserve">Priorizar la atención de la solicitud de habilitación presupuestal de la UTI (Memorando N.° 142-2026-UTI).</w:t>
      </w:r>
    </w:p>
    <w:p>
      <w:pPr>
        <w:pStyle w:val="ListParagraph"/>
        <w:numPr>
          <w:ilvl w:val="0"/>
          <w:numId w:val="2"/>
        </w:numPr>
        <w:spacing w:after="40" w:before="40" w:line="276"/>
      </w:pPr>
      <w:r>
        <w:rPr>
          <w:rFonts w:ascii="Calibri" w:cs="Calibri" w:eastAsia="Calibri" w:hAnsi="Calibri"/>
          <w:color w:val="555555"/>
          <w:sz w:val="22"/>
          <w:szCs w:val="22"/>
        </w:rPr>
        <w:t xml:space="preserve">Considerar la implementación de un tablero de control digital (dashboard) para el monitoreo en tiempo real del avance POI de todas las unidades orgánicas.</w:t>
      </w:r>
    </w:p>
    <w:p>
      <w:pPr>
        <w:spacing w:after="60" w:before="60"/>
      </w:pPr>
      <w:r>
        <w:t xml:space="preserve"/>
      </w:r>
    </w:p>
    <w:p>
      <w:pPr>
        <w:pBdr>
          <w:bottom w:val="single" w:color="E8A020" w:sz="2" w:space="1"/>
        </w:pBdr>
        <w:spacing w:after="80" w:before="240"/>
      </w:pPr>
      <w:r>
        <w:rPr>
          <w:rFonts w:ascii="Calibri" w:cs="Calibri" w:eastAsia="Calibri" w:hAnsi="Calibri"/>
          <w:b/>
          <w:bCs/>
          <w:color w:val="005B8E"/>
          <w:sz w:val="24"/>
          <w:szCs w:val="24"/>
        </w:rPr>
        <w:t xml:space="preserve">8.3  Para la Alta Dirección del PNCM</w:t>
      </w:r>
    </w:p>
    <w:p>
      <w:pPr>
        <w:pStyle w:val="ListParagraph"/>
        <w:numPr>
          <w:ilvl w:val="0"/>
          <w:numId w:val="2"/>
        </w:numPr>
        <w:spacing w:after="40" w:before="40" w:line="276"/>
      </w:pPr>
      <w:r>
        <w:rPr>
          <w:rFonts w:ascii="Calibri" w:cs="Calibri" w:eastAsia="Calibri" w:hAnsi="Calibri"/>
          <w:color w:val="555555"/>
          <w:sz w:val="22"/>
          <w:szCs w:val="22"/>
        </w:rPr>
        <w:t xml:space="preserve">Considerar los riesgos presupuestales identificados en el presente informe para una oportuna reasignación de recursos hacia la UTI.</w:t>
      </w:r>
    </w:p>
    <w:p>
      <w:pPr>
        <w:pStyle w:val="ListParagraph"/>
        <w:numPr>
          <w:ilvl w:val="0"/>
          <w:numId w:val="2"/>
        </w:numPr>
        <w:spacing w:after="40" w:before="40" w:line="276"/>
      </w:pPr>
      <w:r>
        <w:rPr>
          <w:rFonts w:ascii="Calibri" w:cs="Calibri" w:eastAsia="Calibri" w:hAnsi="Calibri"/>
          <w:color w:val="555555"/>
          <w:sz w:val="22"/>
          <w:szCs w:val="22"/>
        </w:rPr>
        <w:t xml:space="preserve">Impulsar la formalización del Comité de Gobierno Digital del PNCM y la elaboración del Plan de Gobierno Digital institucional, en cumplimiento de la normativa vigente.</w:t>
      </w:r>
    </w:p>
    <w:p>
      <w:pPr>
        <w:spacing w:after="60" w:before="60"/>
      </w:pPr>
      <w:r>
        <w:t xml:space="preserve"/>
      </w:r>
    </w:p>
    <w:p>
      <w:pPr>
        <w:spacing w:after="60" w:before="60"/>
      </w:pPr>
      <w:r>
        <w:t xml:space="preserve"/>
      </w:r>
    </w:p>
    <w:p>
      <w:pPr>
        <w:spacing w:after="60" w:before="60"/>
      </w:pPr>
      <w:r>
        <w:t xml:space="preserve"/>
      </w:r>
    </w:p>
    <w:p>
      <w:pPr>
        <w:pBdr>
          <w:bottom w:val="single" w:color="005B8E" w:sz="8" w:space="1"/>
        </w:pBdr>
        <w:spacing w:after="120" w:before="120"/>
      </w:pPr>
    </w:p>
    <w:p>
      <w:pPr>
        <w:spacing w:after="40" w:before="200"/>
        <w:jc w:val="center"/>
      </w:pPr>
      <w:r>
        <w:rPr>
          <w:rFonts w:ascii="Calibri" w:cs="Calibri" w:eastAsia="Calibri" w:hAnsi="Calibri"/>
          <w:b/>
          <w:bCs/>
          <w:color w:val="005B8E"/>
          <w:sz w:val="22"/>
          <w:szCs w:val="22"/>
        </w:rPr>
        <w:t xml:space="preserve">GIOVANNA NANCY HERNÁNDEZ PORTAL</w:t>
      </w:r>
    </w:p>
    <w:p>
      <w:pPr>
        <w:spacing w:after="40" w:before="40"/>
        <w:jc w:val="center"/>
      </w:pPr>
      <w:r>
        <w:rPr>
          <w:rFonts w:ascii="Calibri" w:cs="Calibri" w:eastAsia="Calibri" w:hAnsi="Calibri"/>
          <w:color w:val="555555"/>
          <w:sz w:val="20"/>
          <w:szCs w:val="20"/>
        </w:rPr>
        <w:t xml:space="preserve">Ejecutiva de Tecnologías de la Información</w:t>
      </w:r>
    </w:p>
    <w:p>
      <w:pPr>
        <w:spacing w:after="40" w:before="40"/>
        <w:jc w:val="center"/>
      </w:pPr>
      <w:r>
        <w:rPr>
          <w:rFonts w:ascii="Calibri" w:cs="Calibri" w:eastAsia="Calibri" w:hAnsi="Calibri"/>
          <w:color w:val="555555"/>
          <w:sz w:val="20"/>
          <w:szCs w:val="20"/>
        </w:rPr>
        <w:t xml:space="preserve">Unidad de Tecnologías de la Información — PNCM / MIDIS</w:t>
      </w:r>
    </w:p>
    <w:p>
      <w:pPr>
        <w:spacing w:after="40" w:before="40"/>
        <w:jc w:val="center"/>
      </w:pPr>
      <w:r>
        <w:rPr>
          <w:rFonts w:ascii="Calibri" w:cs="Calibri" w:eastAsia="Calibri" w:hAnsi="Calibri"/>
          <w:color w:val="E8A020"/>
          <w:sz w:val="20"/>
          <w:szCs w:val="20"/>
        </w:rPr>
        <w:t xml:space="preserve">22 de abril de 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8E" w:sz="4" w:space="1"/>
      </w:pBdr>
      <w:tabs>
        <w:tab w:val="right" w:pos="9026"/>
      </w:tabs>
      <w:spacing w:before="60"/>
    </w:pPr>
    <w:r>
      <w:rPr>
        <w:rFonts w:ascii="Calibri" w:cs="Calibri" w:eastAsia="Calibri" w:hAnsi="Calibri"/>
        <w:color w:val="888888"/>
        <w:sz w:val="16"/>
        <w:szCs w:val="16"/>
      </w:rPr>
      <w:t xml:space="preserve">Informe de Seguimiento POI 2026 — Confidencial</w:t>
    </w:r>
    <w:r>
      <w:rPr>
        <w:rFonts w:ascii="Calibri" w:cs="Calibri" w:eastAsia="Calibri" w:hAnsi="Calibri"/>
        <w:color w:val="888888"/>
        <w:sz w:val="16"/>
        <w:szCs w:val="16"/>
      </w:rPr>
      <w:t xml:space="preserve">	Pág.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8E" w:sz="6" w:space="1"/>
      </w:pBdr>
      <w:spacing w:after="60"/>
    </w:pPr>
    <w:r>
      <w:rPr>
        <w:rFonts w:ascii="Calibri" w:cs="Calibri" w:eastAsia="Calibri" w:hAnsi="Calibri"/>
        <w:b/>
        <w:bCs/>
        <w:color w:val="005B8E"/>
        <w:sz w:val="18"/>
        <w:szCs w:val="18"/>
      </w:rPr>
      <w:t xml:space="preserve">PROGRAMA NACIONAL CUNA MÁS  </w:t>
    </w:r>
    <w:r>
      <w:rPr>
        <w:rFonts w:ascii="Calibri" w:cs="Calibri" w:eastAsia="Calibri" w:hAnsi="Calibri"/>
        <w:color w:val="E8A020"/>
        <w:sz w:val="18"/>
        <w:szCs w:val="18"/>
      </w:rPr>
      <w:t xml:space="preserve">| UNIDAD DE TECNOLOGÍAS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2026-04-22T19:35:10.308Z</dcterms:created>
  <dcterms:modified xsi:type="dcterms:W3CDTF">2026-04-22T19:35:10.309Z</dcterms:modified>
</cp:coreProperties>
</file>

<file path=docProps/custom.xml><?xml version="1.0" encoding="utf-8"?>
<Properties xmlns="http://schemas.openxmlformats.org/officeDocument/2006/custom-properties" xmlns:vt="http://schemas.openxmlformats.org/officeDocument/2006/docPropsVTypes"/>
</file>