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4C7E7" w14:textId="7660E9E2" w:rsidR="004036F9" w:rsidRDefault="00000000" w:rsidP="00120B6A">
      <w:pPr>
        <w:spacing w:after="400"/>
        <w:jc w:val="center"/>
      </w:pPr>
      <w:r>
        <w:rPr>
          <w:b/>
          <w:bCs/>
          <w:sz w:val="36"/>
          <w:szCs w:val="36"/>
        </w:rPr>
        <w:t>Reproducing Chiro</w:t>
      </w:r>
      <w:r w:rsidR="00120B6A">
        <w:rPr>
          <w:b/>
          <w:bCs/>
          <w:sz w:val="36"/>
          <w:szCs w:val="36"/>
        </w:rPr>
        <w:t>n</w:t>
      </w:r>
    </w:p>
    <w:p w14:paraId="58EB262A" w14:textId="5CB64D81" w:rsidR="004036F9" w:rsidRDefault="00000000">
      <w:pPr>
        <w:pStyle w:val="Heading1"/>
        <w:spacing w:before="300" w:after="150"/>
      </w:pPr>
      <w:r>
        <w:t>Summary</w:t>
      </w:r>
    </w:p>
    <w:p w14:paraId="50240BF9" w14:textId="095C9B0E" w:rsidR="004036F9" w:rsidRDefault="00000000">
      <w:pPr>
        <w:spacing w:after="160"/>
      </w:pPr>
      <w:r>
        <w:t xml:space="preserve">This report documents an independent reproduction of the </w:t>
      </w:r>
      <w:proofErr w:type="spellStart"/>
      <w:r>
        <w:t>basecalling</w:t>
      </w:r>
      <w:proofErr w:type="spellEnd"/>
      <w:r>
        <w:t xml:space="preserve"> and accuracy</w:t>
      </w:r>
      <w:r w:rsidR="001E2A26">
        <w:t xml:space="preserve"> </w:t>
      </w:r>
      <w:r>
        <w:t>evaluation methodology described in Teng et al. (2018), "Chiron: translating nanopore raw signal directly into nucleotide sequence using deep learning" (</w:t>
      </w:r>
      <w:proofErr w:type="spellStart"/>
      <w:r>
        <w:t>GigaScience</w:t>
      </w:r>
      <w:proofErr w:type="spellEnd"/>
      <w:r>
        <w:t xml:space="preserve">). Using the pretrained </w:t>
      </w:r>
      <w:proofErr w:type="spellStart"/>
      <w:r>
        <w:t>DNA_default</w:t>
      </w:r>
      <w:proofErr w:type="spellEnd"/>
      <w:r>
        <w:t xml:space="preserve"> model and publicly available evaluation data, we reproduced Table 1's methodology for two of the paper's four test organisms (E. coli and Lambda phage), obtaining identity rates within approximately 3 percentage points of the original paper. Attempts to extend this reproduction to the paper's remaining two test organisms were only partially successful: the M. tuberculosis raw signal dataset cited in the paper was found to be publicly unavailable, and the human chromosome 21 test encountered a chemistry mismatch (R10 nanopore data tested against a model trained exclusively on R9.4 data) that prevented meaningful </w:t>
      </w:r>
      <w:proofErr w:type="spellStart"/>
      <w:r>
        <w:t>basecalling</w:t>
      </w:r>
      <w:proofErr w:type="spellEnd"/>
      <w:r>
        <w:t>.</w:t>
      </w:r>
    </w:p>
    <w:p w14:paraId="11EC2CD2" w14:textId="77777777" w:rsidR="004036F9" w:rsidRDefault="00000000">
      <w:pPr>
        <w:pStyle w:val="Heading1"/>
        <w:spacing w:before="300" w:after="150"/>
      </w:pPr>
      <w:r>
        <w:t>1. Background</w:t>
      </w:r>
    </w:p>
    <w:p w14:paraId="2C803434" w14:textId="77777777" w:rsidR="004036F9" w:rsidRDefault="00000000">
      <w:pPr>
        <w:spacing w:after="160"/>
      </w:pPr>
      <w:r>
        <w:t xml:space="preserve">Chiron is a deep learning </w:t>
      </w:r>
      <w:proofErr w:type="spellStart"/>
      <w:r>
        <w:t>basecaller</w:t>
      </w:r>
      <w:proofErr w:type="spellEnd"/>
      <w:r>
        <w:t xml:space="preserve"> for Oxford Nanopore sequencing data. Unlike prior </w:t>
      </w:r>
      <w:proofErr w:type="spellStart"/>
      <w:r>
        <w:t>basecallers</w:t>
      </w:r>
      <w:proofErr w:type="spellEnd"/>
      <w:r>
        <w:t xml:space="preserve">, which first segment the raw electrical signal into discrete events before classification, Chiron performs segmentation-free, end-to-end </w:t>
      </w:r>
      <w:proofErr w:type="spellStart"/>
      <w:r>
        <w:t>basecalling</w:t>
      </w:r>
      <w:proofErr w:type="spellEnd"/>
      <w:r>
        <w:t>: a convolutional neural network (CNN) extracts local signal patterns, a bidirectional LSTM integrates longer-range context, and a Connectionist Temporal Classification (CTC) decoder converts the resulting per-timestep base probabilities directly into a DNA sequence.</w:t>
      </w:r>
    </w:p>
    <w:p w14:paraId="4D5F8668" w14:textId="77777777" w:rsidR="004036F9" w:rsidRDefault="00000000">
      <w:pPr>
        <w:spacing w:after="160"/>
      </w:pPr>
      <w:r>
        <w:t xml:space="preserve">The original </w:t>
      </w:r>
      <w:proofErr w:type="gramStart"/>
      <w:r>
        <w:t>paper trained</w:t>
      </w:r>
      <w:proofErr w:type="gramEnd"/>
      <w:r>
        <w:t xml:space="preserve"> Chiron on a small dataset (2,000 reads each from E. coli K12 MG1655 and Phage Lambda) and evaluated it on held-out reads from these same two organisms, plus two entirely unseen organisms -- M. tuberculosis and a subset of human chromosome 21 -- to test generalization. Accuracy was measured via alignment to a reference genome, computing identity, mismatch, insertion, and deletion rates (Table 1 of the paper).</w:t>
      </w:r>
    </w:p>
    <w:p w14:paraId="64B4239D" w14:textId="77777777" w:rsidR="004036F9" w:rsidRDefault="00000000">
      <w:pPr>
        <w:pStyle w:val="Heading1"/>
        <w:spacing w:before="300" w:after="150"/>
      </w:pPr>
      <w:r>
        <w:t>2. Methodology</w:t>
      </w:r>
    </w:p>
    <w:p w14:paraId="6DC72416" w14:textId="77777777" w:rsidR="004036F9" w:rsidRDefault="00000000">
      <w:pPr>
        <w:pStyle w:val="Heading2"/>
        <w:spacing w:before="300" w:after="150"/>
      </w:pPr>
      <w:r>
        <w:t>2.1 Software Environment</w:t>
      </w:r>
    </w:p>
    <w:p w14:paraId="0BC048F8" w14:textId="77777777" w:rsidR="004036F9" w:rsidRDefault="00000000">
      <w:pPr>
        <w:spacing w:after="160"/>
      </w:pPr>
      <w:r>
        <w:t xml:space="preserve">Chiron's original codebase (TensorFlow 1.15, Python 3.7) predates current software infrastructure by several years. Running it required: pinning an exact TensorFlow 1.15 base image; checking out a specific tagged release (0.6.1) rather than the current master branch, since master's checkpoint-incompatible refactor no longer matches the bundled pretrained model; and patching one line in the fast5-extraction code to tolerate a missing </w:t>
      </w:r>
      <w:proofErr w:type="spellStart"/>
      <w:r>
        <w:t>read_id</w:t>
      </w:r>
      <w:proofErr w:type="spellEnd"/>
      <w:r>
        <w:t xml:space="preserve"> attribute present in older example files. </w:t>
      </w:r>
      <w:proofErr w:type="spellStart"/>
      <w:r>
        <w:t>Basecalling</w:t>
      </w:r>
      <w:proofErr w:type="spellEnd"/>
      <w:r>
        <w:t xml:space="preserve"> was performed both locally (Docker, CPU-only) and on Google </w:t>
      </w:r>
      <w:proofErr w:type="spellStart"/>
      <w:r>
        <w:t>Colab</w:t>
      </w:r>
      <w:proofErr w:type="spellEnd"/>
      <w:r>
        <w:t xml:space="preserve"> (GPU-accelerated, via an isolated </w:t>
      </w:r>
      <w:proofErr w:type="spellStart"/>
      <w:r>
        <w:t>conda</w:t>
      </w:r>
      <w:proofErr w:type="spellEnd"/>
      <w:r>
        <w:t xml:space="preserve"> environment running TensorFlow 1.15 with a matching CUDA 10.0 toolkit).</w:t>
      </w:r>
    </w:p>
    <w:p w14:paraId="6ABC1800" w14:textId="77777777" w:rsidR="004036F9" w:rsidRDefault="00000000">
      <w:pPr>
        <w:pStyle w:val="Heading2"/>
        <w:spacing w:before="300" w:after="150"/>
      </w:pPr>
      <w:r>
        <w:t>2.2 Data</w:t>
      </w:r>
    </w:p>
    <w:p w14:paraId="4CF1A3E5" w14:textId="77777777" w:rsidR="004036F9" w:rsidRDefault="00000000">
      <w:pPr>
        <w:spacing w:after="160"/>
      </w:pPr>
      <w:r>
        <w:t>Evaluation data for E. coli and Lambda phage was obtained from the paper's official supporting data repository (</w:t>
      </w:r>
      <w:proofErr w:type="spellStart"/>
      <w:r>
        <w:t>GigaDB</w:t>
      </w:r>
      <w:proofErr w:type="spellEnd"/>
      <w:r>
        <w:t xml:space="preserve">, DOI: 10.5524/100425), which provides pre-extracted raw signal files and exact ground-truth base labels for held-out reads not used in training. 2,000 reads per organism were </w:t>
      </w:r>
      <w:proofErr w:type="spellStart"/>
      <w:r>
        <w:t>basecalled</w:t>
      </w:r>
      <w:proofErr w:type="spellEnd"/>
      <w:r>
        <w:t xml:space="preserve"> using the pretrained </w:t>
      </w:r>
      <w:proofErr w:type="spellStart"/>
      <w:r>
        <w:t>DNA_default</w:t>
      </w:r>
      <w:proofErr w:type="spellEnd"/>
      <w:r>
        <w:t xml:space="preserve"> model.</w:t>
      </w:r>
    </w:p>
    <w:p w14:paraId="6D29779B" w14:textId="77777777" w:rsidR="004036F9" w:rsidRDefault="00000000">
      <w:pPr>
        <w:pStyle w:val="Heading2"/>
        <w:spacing w:before="300" w:after="150"/>
      </w:pPr>
      <w:r>
        <w:t>2.3 Accuracy Measurement</w:t>
      </w:r>
    </w:p>
    <w:p w14:paraId="6ADE7954" w14:textId="77777777" w:rsidR="004036F9" w:rsidRDefault="00000000">
      <w:pPr>
        <w:spacing w:after="160"/>
      </w:pPr>
      <w:r>
        <w:t xml:space="preserve">Accuracy was measured by aligning each </w:t>
      </w:r>
      <w:proofErr w:type="spellStart"/>
      <w:r>
        <w:t>basecalled</w:t>
      </w:r>
      <w:proofErr w:type="spellEnd"/>
      <w:r>
        <w:t xml:space="preserve"> read against the relevant NCBI reference genome (E. coli: U00096.3; Lambda: NC_001416.1) using minimap2 (via its Python binding, </w:t>
      </w:r>
      <w:proofErr w:type="spellStart"/>
      <w:r>
        <w:t>mappy</w:t>
      </w:r>
      <w:proofErr w:type="spellEnd"/>
      <w:r>
        <w:t xml:space="preserve">), matching the alignment-based methodology of the original paper (which used </w:t>
      </w:r>
      <w:proofErr w:type="spellStart"/>
      <w:r>
        <w:t>graphmap</w:t>
      </w:r>
      <w:proofErr w:type="spellEnd"/>
      <w:r>
        <w:t>). For each aligned read, identity, mismatch, insertion, and deletion rates were computed relative to the read's own matched reference span. An earlier attempt using direct text-</w:t>
      </w:r>
      <w:r>
        <w:lastRenderedPageBreak/>
        <w:t xml:space="preserve">based comparison against the raw ground-truth labels (bypassing genome alignment) was found to systematically over-count insertions and deletions due to boundary-handling artifacts in global sequence alignment, and was abandoned in </w:t>
      </w:r>
      <w:proofErr w:type="spellStart"/>
      <w:r>
        <w:t>favor</w:t>
      </w:r>
      <w:proofErr w:type="spellEnd"/>
      <w:r>
        <w:t xml:space="preserve"> of the genome-alignment approach reported here.</w:t>
      </w:r>
    </w:p>
    <w:p w14:paraId="73E18DD0" w14:textId="77777777" w:rsidR="004036F9" w:rsidRDefault="00000000">
      <w:pPr>
        <w:pStyle w:val="Heading1"/>
        <w:spacing w:before="300" w:after="150"/>
      </w:pPr>
      <w:r>
        <w:t>3. Results: E. coli and Lambda Phage</w:t>
      </w:r>
    </w:p>
    <w:p w14:paraId="2F0A5FF9" w14:textId="77777777" w:rsidR="004036F9" w:rsidRDefault="00000000">
      <w:pPr>
        <w:spacing w:after="160"/>
      </w:pPr>
      <w:r>
        <w:t>Table 1 below compares the original paper's reported accuracy (evaluated on the full held-out test sets: ~13,000 E. coli reads, ~32,000 Lambda reads) against this reproduction (2,000 reads per organism, aligned via minimap2).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2000"/>
        <w:gridCol w:w="2200"/>
        <w:gridCol w:w="1560"/>
      </w:tblGrid>
      <w:tr w:rsidR="004036F9" w14:paraId="42C0587C" w14:textId="77777777">
        <w:tc>
          <w:tcPr>
            <w:tcW w:w="1600" w:type="dxa"/>
            <w:shd w:val="clear" w:color="auto" w:fill="2F5496"/>
          </w:tcPr>
          <w:p w14:paraId="3C108D3A" w14:textId="77777777" w:rsidR="004036F9" w:rsidRDefault="00000000">
            <w:r>
              <w:rPr>
                <w:b/>
                <w:bCs/>
                <w:color w:val="FFFFFF"/>
              </w:rPr>
              <w:t>Organism</w:t>
            </w:r>
          </w:p>
        </w:tc>
        <w:tc>
          <w:tcPr>
            <w:tcW w:w="2000" w:type="dxa"/>
            <w:shd w:val="clear" w:color="auto" w:fill="2F5496"/>
          </w:tcPr>
          <w:p w14:paraId="6206C5A2" w14:textId="77777777" w:rsidR="004036F9" w:rsidRDefault="00000000">
            <w:r>
              <w:rPr>
                <w:b/>
                <w:bCs/>
                <w:color w:val="FFFFFF"/>
              </w:rPr>
              <w:t>Metric</w:t>
            </w:r>
          </w:p>
        </w:tc>
        <w:tc>
          <w:tcPr>
            <w:tcW w:w="2000" w:type="dxa"/>
            <w:shd w:val="clear" w:color="auto" w:fill="2F5496"/>
          </w:tcPr>
          <w:p w14:paraId="38D8B058" w14:textId="77777777" w:rsidR="004036F9" w:rsidRDefault="00000000">
            <w:r>
              <w:rPr>
                <w:b/>
                <w:bCs/>
                <w:color w:val="FFFFFF"/>
              </w:rPr>
              <w:t>Paper (Table 1)</w:t>
            </w:r>
          </w:p>
        </w:tc>
        <w:tc>
          <w:tcPr>
            <w:tcW w:w="2200" w:type="dxa"/>
            <w:shd w:val="clear" w:color="auto" w:fill="2F5496"/>
          </w:tcPr>
          <w:p w14:paraId="6BF1E74C" w14:textId="77777777" w:rsidR="004036F9" w:rsidRDefault="00000000">
            <w:r>
              <w:rPr>
                <w:b/>
                <w:bCs/>
                <w:color w:val="FFFFFF"/>
              </w:rPr>
              <w:t>This Reproduction</w:t>
            </w:r>
          </w:p>
        </w:tc>
        <w:tc>
          <w:tcPr>
            <w:tcW w:w="1560" w:type="dxa"/>
            <w:shd w:val="clear" w:color="auto" w:fill="2F5496"/>
          </w:tcPr>
          <w:p w14:paraId="3A434BD1" w14:textId="77777777" w:rsidR="004036F9" w:rsidRDefault="00000000">
            <w:r>
              <w:rPr>
                <w:b/>
                <w:bCs/>
                <w:color w:val="FFFFFF"/>
              </w:rPr>
              <w:t>Difference</w:t>
            </w:r>
          </w:p>
        </w:tc>
      </w:tr>
      <w:tr w:rsidR="004036F9" w14:paraId="5F69A6B3" w14:textId="77777777">
        <w:tc>
          <w:tcPr>
            <w:tcW w:w="1600" w:type="dxa"/>
            <w:shd w:val="clear" w:color="auto" w:fill="F2F2F2"/>
          </w:tcPr>
          <w:p w14:paraId="680F526E" w14:textId="77777777" w:rsidR="004036F9" w:rsidRDefault="00000000">
            <w:r>
              <w:t>E. coli</w:t>
            </w:r>
          </w:p>
        </w:tc>
        <w:tc>
          <w:tcPr>
            <w:tcW w:w="2000" w:type="dxa"/>
            <w:shd w:val="clear" w:color="auto" w:fill="F2F2F2"/>
          </w:tcPr>
          <w:p w14:paraId="2EDA2772" w14:textId="77777777" w:rsidR="004036F9" w:rsidRDefault="00000000">
            <w:r>
              <w:t>Identity rate</w:t>
            </w:r>
          </w:p>
        </w:tc>
        <w:tc>
          <w:tcPr>
            <w:tcW w:w="2000" w:type="dxa"/>
            <w:shd w:val="clear" w:color="auto" w:fill="F2F2F2"/>
          </w:tcPr>
          <w:p w14:paraId="0227FFF5" w14:textId="77777777" w:rsidR="004036F9" w:rsidRDefault="00000000">
            <w:r>
              <w:t>90.57%</w:t>
            </w:r>
          </w:p>
        </w:tc>
        <w:tc>
          <w:tcPr>
            <w:tcW w:w="2200" w:type="dxa"/>
            <w:shd w:val="clear" w:color="auto" w:fill="F2F2F2"/>
          </w:tcPr>
          <w:p w14:paraId="53930EAD" w14:textId="77777777" w:rsidR="004036F9" w:rsidRDefault="00000000">
            <w:r>
              <w:t>87.64%</w:t>
            </w:r>
          </w:p>
        </w:tc>
        <w:tc>
          <w:tcPr>
            <w:tcW w:w="1560" w:type="dxa"/>
            <w:shd w:val="clear" w:color="auto" w:fill="F2F2F2"/>
          </w:tcPr>
          <w:p w14:paraId="4BA6F74A" w14:textId="77777777" w:rsidR="004036F9" w:rsidRDefault="00000000">
            <w:r>
              <w:t>-2.93 pp</w:t>
            </w:r>
          </w:p>
        </w:tc>
      </w:tr>
      <w:tr w:rsidR="004036F9" w14:paraId="4BF27372" w14:textId="77777777">
        <w:tc>
          <w:tcPr>
            <w:tcW w:w="1600" w:type="dxa"/>
            <w:shd w:val="clear" w:color="auto" w:fill="FFFFFF"/>
          </w:tcPr>
          <w:p w14:paraId="732D128A" w14:textId="77777777" w:rsidR="004036F9" w:rsidRDefault="00000000">
            <w:r>
              <w:t>E. coli</w:t>
            </w:r>
          </w:p>
        </w:tc>
        <w:tc>
          <w:tcPr>
            <w:tcW w:w="2000" w:type="dxa"/>
            <w:shd w:val="clear" w:color="auto" w:fill="FFFFFF"/>
          </w:tcPr>
          <w:p w14:paraId="232D3F75" w14:textId="77777777" w:rsidR="004036F9" w:rsidRDefault="00000000">
            <w:r>
              <w:t>Mismatch rate</w:t>
            </w:r>
          </w:p>
        </w:tc>
        <w:tc>
          <w:tcPr>
            <w:tcW w:w="2000" w:type="dxa"/>
            <w:shd w:val="clear" w:color="auto" w:fill="FFFFFF"/>
          </w:tcPr>
          <w:p w14:paraId="19E820C8" w14:textId="77777777" w:rsidR="004036F9" w:rsidRDefault="00000000">
            <w:r>
              <w:t>3.07%</w:t>
            </w:r>
          </w:p>
        </w:tc>
        <w:tc>
          <w:tcPr>
            <w:tcW w:w="2200" w:type="dxa"/>
            <w:shd w:val="clear" w:color="auto" w:fill="FFFFFF"/>
          </w:tcPr>
          <w:p w14:paraId="793E51C0" w14:textId="77777777" w:rsidR="004036F9" w:rsidRDefault="00000000">
            <w:r>
              <w:t>5.38%</w:t>
            </w:r>
          </w:p>
        </w:tc>
        <w:tc>
          <w:tcPr>
            <w:tcW w:w="1560" w:type="dxa"/>
            <w:shd w:val="clear" w:color="auto" w:fill="FFFFFF"/>
          </w:tcPr>
          <w:p w14:paraId="66D31C52" w14:textId="77777777" w:rsidR="004036F9" w:rsidRDefault="00000000">
            <w:r>
              <w:t>+2.31 pp</w:t>
            </w:r>
          </w:p>
        </w:tc>
      </w:tr>
      <w:tr w:rsidR="004036F9" w14:paraId="729648AB" w14:textId="77777777">
        <w:tc>
          <w:tcPr>
            <w:tcW w:w="1600" w:type="dxa"/>
            <w:shd w:val="clear" w:color="auto" w:fill="F2F2F2"/>
          </w:tcPr>
          <w:p w14:paraId="2F43A758" w14:textId="77777777" w:rsidR="004036F9" w:rsidRDefault="00000000">
            <w:r>
              <w:t>E. coli</w:t>
            </w:r>
          </w:p>
        </w:tc>
        <w:tc>
          <w:tcPr>
            <w:tcW w:w="2000" w:type="dxa"/>
            <w:shd w:val="clear" w:color="auto" w:fill="F2F2F2"/>
          </w:tcPr>
          <w:p w14:paraId="5177A705" w14:textId="77777777" w:rsidR="004036F9" w:rsidRDefault="00000000">
            <w:r>
              <w:t>Insertion rate</w:t>
            </w:r>
          </w:p>
        </w:tc>
        <w:tc>
          <w:tcPr>
            <w:tcW w:w="2000" w:type="dxa"/>
            <w:shd w:val="clear" w:color="auto" w:fill="F2F2F2"/>
          </w:tcPr>
          <w:p w14:paraId="764F52AA" w14:textId="77777777" w:rsidR="004036F9" w:rsidRDefault="00000000">
            <w:r>
              <w:t>1.81%</w:t>
            </w:r>
          </w:p>
        </w:tc>
        <w:tc>
          <w:tcPr>
            <w:tcW w:w="2200" w:type="dxa"/>
            <w:shd w:val="clear" w:color="auto" w:fill="F2F2F2"/>
          </w:tcPr>
          <w:p w14:paraId="5C233A85" w14:textId="77777777" w:rsidR="004036F9" w:rsidRDefault="00000000">
            <w:r>
              <w:t>2.65%</w:t>
            </w:r>
          </w:p>
        </w:tc>
        <w:tc>
          <w:tcPr>
            <w:tcW w:w="1560" w:type="dxa"/>
            <w:shd w:val="clear" w:color="auto" w:fill="F2F2F2"/>
          </w:tcPr>
          <w:p w14:paraId="4E88D669" w14:textId="77777777" w:rsidR="004036F9" w:rsidRDefault="00000000">
            <w:r>
              <w:t>+0.84 pp</w:t>
            </w:r>
          </w:p>
        </w:tc>
      </w:tr>
      <w:tr w:rsidR="004036F9" w14:paraId="600D7BE6" w14:textId="77777777">
        <w:tc>
          <w:tcPr>
            <w:tcW w:w="1600" w:type="dxa"/>
            <w:shd w:val="clear" w:color="auto" w:fill="FFFFFF"/>
          </w:tcPr>
          <w:p w14:paraId="0A6EAFC0" w14:textId="77777777" w:rsidR="004036F9" w:rsidRDefault="00000000">
            <w:r>
              <w:t>E. coli</w:t>
            </w:r>
          </w:p>
        </w:tc>
        <w:tc>
          <w:tcPr>
            <w:tcW w:w="2000" w:type="dxa"/>
            <w:shd w:val="clear" w:color="auto" w:fill="FFFFFF"/>
          </w:tcPr>
          <w:p w14:paraId="53591451" w14:textId="77777777" w:rsidR="004036F9" w:rsidRDefault="00000000">
            <w:r>
              <w:t>Deletion rate</w:t>
            </w:r>
          </w:p>
        </w:tc>
        <w:tc>
          <w:tcPr>
            <w:tcW w:w="2000" w:type="dxa"/>
            <w:shd w:val="clear" w:color="auto" w:fill="FFFFFF"/>
          </w:tcPr>
          <w:p w14:paraId="1B6D50C7" w14:textId="77777777" w:rsidR="004036F9" w:rsidRDefault="00000000">
            <w:r>
              <w:t>6.36%</w:t>
            </w:r>
          </w:p>
        </w:tc>
        <w:tc>
          <w:tcPr>
            <w:tcW w:w="2200" w:type="dxa"/>
            <w:shd w:val="clear" w:color="auto" w:fill="FFFFFF"/>
          </w:tcPr>
          <w:p w14:paraId="4BC0A49B" w14:textId="77777777" w:rsidR="004036F9" w:rsidRDefault="00000000">
            <w:r>
              <w:t>6.98%</w:t>
            </w:r>
          </w:p>
        </w:tc>
        <w:tc>
          <w:tcPr>
            <w:tcW w:w="1560" w:type="dxa"/>
            <w:shd w:val="clear" w:color="auto" w:fill="FFFFFF"/>
          </w:tcPr>
          <w:p w14:paraId="38779EA2" w14:textId="77777777" w:rsidR="004036F9" w:rsidRDefault="00000000">
            <w:r>
              <w:t>+0.62 pp</w:t>
            </w:r>
          </w:p>
        </w:tc>
      </w:tr>
      <w:tr w:rsidR="004036F9" w14:paraId="09AD544D" w14:textId="77777777">
        <w:tc>
          <w:tcPr>
            <w:tcW w:w="1600" w:type="dxa"/>
            <w:shd w:val="clear" w:color="auto" w:fill="F2F2F2"/>
          </w:tcPr>
          <w:p w14:paraId="0057189A" w14:textId="77777777" w:rsidR="004036F9" w:rsidRDefault="00000000">
            <w:r>
              <w:t>Lambda</w:t>
            </w:r>
          </w:p>
        </w:tc>
        <w:tc>
          <w:tcPr>
            <w:tcW w:w="2000" w:type="dxa"/>
            <w:shd w:val="clear" w:color="auto" w:fill="F2F2F2"/>
          </w:tcPr>
          <w:p w14:paraId="28576A98" w14:textId="77777777" w:rsidR="004036F9" w:rsidRDefault="00000000">
            <w:r>
              <w:t>Identity rate</w:t>
            </w:r>
          </w:p>
        </w:tc>
        <w:tc>
          <w:tcPr>
            <w:tcW w:w="2000" w:type="dxa"/>
            <w:shd w:val="clear" w:color="auto" w:fill="F2F2F2"/>
          </w:tcPr>
          <w:p w14:paraId="3CA107DC" w14:textId="77777777" w:rsidR="004036F9" w:rsidRDefault="00000000">
            <w:r>
              <w:t>87.76%</w:t>
            </w:r>
          </w:p>
        </w:tc>
        <w:tc>
          <w:tcPr>
            <w:tcW w:w="2200" w:type="dxa"/>
            <w:shd w:val="clear" w:color="auto" w:fill="F2F2F2"/>
          </w:tcPr>
          <w:p w14:paraId="08B76575" w14:textId="77777777" w:rsidR="004036F9" w:rsidRDefault="00000000">
            <w:r>
              <w:t>86.25%</w:t>
            </w:r>
          </w:p>
        </w:tc>
        <w:tc>
          <w:tcPr>
            <w:tcW w:w="1560" w:type="dxa"/>
            <w:shd w:val="clear" w:color="auto" w:fill="F2F2F2"/>
          </w:tcPr>
          <w:p w14:paraId="7EBBE782" w14:textId="77777777" w:rsidR="004036F9" w:rsidRDefault="00000000">
            <w:r>
              <w:t>-1.51 pp</w:t>
            </w:r>
          </w:p>
        </w:tc>
      </w:tr>
      <w:tr w:rsidR="004036F9" w14:paraId="4EEA0684" w14:textId="77777777">
        <w:tc>
          <w:tcPr>
            <w:tcW w:w="1600" w:type="dxa"/>
            <w:shd w:val="clear" w:color="auto" w:fill="FFFFFF"/>
          </w:tcPr>
          <w:p w14:paraId="5987BB01" w14:textId="77777777" w:rsidR="004036F9" w:rsidRDefault="00000000">
            <w:r>
              <w:t>Lambda</w:t>
            </w:r>
          </w:p>
        </w:tc>
        <w:tc>
          <w:tcPr>
            <w:tcW w:w="2000" w:type="dxa"/>
            <w:shd w:val="clear" w:color="auto" w:fill="FFFFFF"/>
          </w:tcPr>
          <w:p w14:paraId="471DF592" w14:textId="77777777" w:rsidR="004036F9" w:rsidRDefault="00000000">
            <w:r>
              <w:t>Mismatch rate</w:t>
            </w:r>
          </w:p>
        </w:tc>
        <w:tc>
          <w:tcPr>
            <w:tcW w:w="2000" w:type="dxa"/>
            <w:shd w:val="clear" w:color="auto" w:fill="FFFFFF"/>
          </w:tcPr>
          <w:p w14:paraId="6362C491" w14:textId="77777777" w:rsidR="004036F9" w:rsidRDefault="00000000">
            <w:r>
              <w:t>4.03%</w:t>
            </w:r>
          </w:p>
        </w:tc>
        <w:tc>
          <w:tcPr>
            <w:tcW w:w="2200" w:type="dxa"/>
            <w:shd w:val="clear" w:color="auto" w:fill="FFFFFF"/>
          </w:tcPr>
          <w:p w14:paraId="5F1BE968" w14:textId="77777777" w:rsidR="004036F9" w:rsidRDefault="00000000">
            <w:r>
              <w:t>5.74%</w:t>
            </w:r>
          </w:p>
        </w:tc>
        <w:tc>
          <w:tcPr>
            <w:tcW w:w="1560" w:type="dxa"/>
            <w:shd w:val="clear" w:color="auto" w:fill="FFFFFF"/>
          </w:tcPr>
          <w:p w14:paraId="4CD628DA" w14:textId="77777777" w:rsidR="004036F9" w:rsidRDefault="00000000">
            <w:r>
              <w:t>+1.71 pp</w:t>
            </w:r>
          </w:p>
        </w:tc>
      </w:tr>
      <w:tr w:rsidR="004036F9" w14:paraId="598C6C15" w14:textId="77777777">
        <w:tc>
          <w:tcPr>
            <w:tcW w:w="1600" w:type="dxa"/>
            <w:shd w:val="clear" w:color="auto" w:fill="F2F2F2"/>
          </w:tcPr>
          <w:p w14:paraId="0308CF32" w14:textId="77777777" w:rsidR="004036F9" w:rsidRDefault="00000000">
            <w:r>
              <w:t>Lambda</w:t>
            </w:r>
          </w:p>
        </w:tc>
        <w:tc>
          <w:tcPr>
            <w:tcW w:w="2000" w:type="dxa"/>
            <w:shd w:val="clear" w:color="auto" w:fill="F2F2F2"/>
          </w:tcPr>
          <w:p w14:paraId="04017175" w14:textId="77777777" w:rsidR="004036F9" w:rsidRDefault="00000000">
            <w:r>
              <w:t>Insertion rate</w:t>
            </w:r>
          </w:p>
        </w:tc>
        <w:tc>
          <w:tcPr>
            <w:tcW w:w="2000" w:type="dxa"/>
            <w:shd w:val="clear" w:color="auto" w:fill="F2F2F2"/>
          </w:tcPr>
          <w:p w14:paraId="466A4323" w14:textId="77777777" w:rsidR="004036F9" w:rsidRDefault="00000000">
            <w:r>
              <w:t>2.13%</w:t>
            </w:r>
          </w:p>
        </w:tc>
        <w:tc>
          <w:tcPr>
            <w:tcW w:w="2200" w:type="dxa"/>
            <w:shd w:val="clear" w:color="auto" w:fill="F2F2F2"/>
          </w:tcPr>
          <w:p w14:paraId="759E77EF" w14:textId="77777777" w:rsidR="004036F9" w:rsidRDefault="00000000">
            <w:r>
              <w:t>2.61%</w:t>
            </w:r>
          </w:p>
        </w:tc>
        <w:tc>
          <w:tcPr>
            <w:tcW w:w="1560" w:type="dxa"/>
            <w:shd w:val="clear" w:color="auto" w:fill="F2F2F2"/>
          </w:tcPr>
          <w:p w14:paraId="5B6C01C3" w14:textId="77777777" w:rsidR="004036F9" w:rsidRDefault="00000000">
            <w:r>
              <w:t>+0.48 pp</w:t>
            </w:r>
          </w:p>
        </w:tc>
      </w:tr>
      <w:tr w:rsidR="004036F9" w14:paraId="22159907" w14:textId="77777777">
        <w:tc>
          <w:tcPr>
            <w:tcW w:w="1600" w:type="dxa"/>
            <w:shd w:val="clear" w:color="auto" w:fill="FFFFFF"/>
          </w:tcPr>
          <w:p w14:paraId="7B1B3E16" w14:textId="77777777" w:rsidR="004036F9" w:rsidRDefault="00000000">
            <w:r>
              <w:t>Lambda</w:t>
            </w:r>
          </w:p>
        </w:tc>
        <w:tc>
          <w:tcPr>
            <w:tcW w:w="2000" w:type="dxa"/>
            <w:shd w:val="clear" w:color="auto" w:fill="FFFFFF"/>
          </w:tcPr>
          <w:p w14:paraId="5F29D7BD" w14:textId="77777777" w:rsidR="004036F9" w:rsidRDefault="00000000">
            <w:r>
              <w:t>Deletion rate</w:t>
            </w:r>
          </w:p>
        </w:tc>
        <w:tc>
          <w:tcPr>
            <w:tcW w:w="2000" w:type="dxa"/>
            <w:shd w:val="clear" w:color="auto" w:fill="FFFFFF"/>
          </w:tcPr>
          <w:p w14:paraId="63465057" w14:textId="77777777" w:rsidR="004036F9" w:rsidRDefault="00000000">
            <w:r>
              <w:t>8.20%</w:t>
            </w:r>
          </w:p>
        </w:tc>
        <w:tc>
          <w:tcPr>
            <w:tcW w:w="2200" w:type="dxa"/>
            <w:shd w:val="clear" w:color="auto" w:fill="FFFFFF"/>
          </w:tcPr>
          <w:p w14:paraId="1B84FBEA" w14:textId="77777777" w:rsidR="004036F9" w:rsidRDefault="00000000">
            <w:r>
              <w:t>8.02%</w:t>
            </w:r>
          </w:p>
        </w:tc>
        <w:tc>
          <w:tcPr>
            <w:tcW w:w="1560" w:type="dxa"/>
            <w:shd w:val="clear" w:color="auto" w:fill="FFFFFF"/>
          </w:tcPr>
          <w:p w14:paraId="57C0FF79" w14:textId="77777777" w:rsidR="004036F9" w:rsidRDefault="00000000">
            <w:r>
              <w:t>-0.18 pp</w:t>
            </w:r>
          </w:p>
        </w:tc>
      </w:tr>
    </w:tbl>
    <w:p w14:paraId="319C73BE" w14:textId="77777777" w:rsidR="004036F9" w:rsidRDefault="004036F9">
      <w:pPr>
        <w:spacing w:after="200"/>
      </w:pPr>
    </w:p>
    <w:p w14:paraId="5A10FD77" w14:textId="46EAA213" w:rsidR="004036F9" w:rsidRDefault="00000000">
      <w:pPr>
        <w:spacing w:after="160"/>
      </w:pPr>
      <w:r>
        <w:t xml:space="preserve">Of the 2,000 E. coli reads </w:t>
      </w:r>
      <w:proofErr w:type="spellStart"/>
      <w:r>
        <w:t>basecalled</w:t>
      </w:r>
      <w:proofErr w:type="spellEnd"/>
      <w:r>
        <w:t xml:space="preserve">, 1,991 (99.55%) aligned successfully to the reference genome; for Lambda, 1,963 of 2,000 (98.15%) aligned. The remaining reads either failed to find a confident alignment or were excluded as likely off-target/low-quality </w:t>
      </w:r>
      <w:proofErr w:type="gramStart"/>
      <w:r>
        <w:t>reads  consistent</w:t>
      </w:r>
      <w:proofErr w:type="gramEnd"/>
      <w:r>
        <w:t xml:space="preserve"> with the small fraction of </w:t>
      </w:r>
      <w:proofErr w:type="spellStart"/>
      <w:r>
        <w:t>unalignable</w:t>
      </w:r>
      <w:proofErr w:type="spellEnd"/>
      <w:r>
        <w:t xml:space="preserve"> reads expected in any real nanopore dataset.</w:t>
      </w:r>
    </w:p>
    <w:p w14:paraId="58D895F8" w14:textId="77777777" w:rsidR="004036F9" w:rsidRDefault="00000000">
      <w:pPr>
        <w:spacing w:after="160"/>
      </w:pPr>
      <w:r>
        <w:t>The reproduction achieves identity rates within approximately 1.5-3 percentage points of the original paper for both organisms, with a consistent, modest elevation in mismatch and insertion rates. Plausible contributing factors include: a substantially smaller sample size (2,000 reads vs. the paper's ~13,000-32,000), possible minor differences between the currently distributed pretrained checkpoint and the exact model version used to generate the original Table 1, and accumulated software-stack differences (TensorFlow, CUDA, and dependency versions) between the paper's original 2018 environment and the environment required to run this codebase today.</w:t>
      </w:r>
    </w:p>
    <w:p w14:paraId="07FE3FD6" w14:textId="77777777" w:rsidR="004036F9" w:rsidRDefault="00000000">
      <w:pPr>
        <w:pStyle w:val="Heading1"/>
        <w:spacing w:before="300" w:after="150"/>
      </w:pPr>
      <w:r>
        <w:t>4. M. tuberculosis: Data Unavailable</w:t>
      </w:r>
    </w:p>
    <w:p w14:paraId="3FE3A812" w14:textId="2E535F5F" w:rsidR="004036F9" w:rsidRDefault="00000000">
      <w:pPr>
        <w:spacing w:after="160"/>
      </w:pPr>
      <w:r>
        <w:t xml:space="preserve">The paper cites NCBI </w:t>
      </w:r>
      <w:proofErr w:type="spellStart"/>
      <w:r>
        <w:t>BioProject</w:t>
      </w:r>
      <w:proofErr w:type="spellEnd"/>
      <w:r>
        <w:t xml:space="preserve"> PRJNA386696 as the source of its M. tuberculosis test data. Querying this </w:t>
      </w:r>
      <w:proofErr w:type="spellStart"/>
      <w:r>
        <w:t>BioProject</w:t>
      </w:r>
      <w:proofErr w:type="spellEnd"/>
      <w:r>
        <w:t xml:space="preserve"> via the European Nucleotide Archive (ENA) confirmed two Oxford Nanopore sequencing runs under this accession (SRR6117388, SRR6490088); however, only already-</w:t>
      </w:r>
      <w:proofErr w:type="spellStart"/>
      <w:r>
        <w:t>basecalled</w:t>
      </w:r>
      <w:proofErr w:type="spellEnd"/>
      <w:r>
        <w:t xml:space="preserve"> FASTQ output was available for either </w:t>
      </w:r>
      <w:proofErr w:type="gramStart"/>
      <w:r>
        <w:t>run  no</w:t>
      </w:r>
      <w:proofErr w:type="gramEnd"/>
      <w:r>
        <w:t xml:space="preserve"> raw signal (fast5) data was retrievable via ENA's mirror. An attempt to fetch the original submitted format directly from NCBI's SRA archive (which sometimes preserves raw fast5 data separately from the standard FASTQ conversion pipeline) did not yield usable raw signal data for these runs.</w:t>
      </w:r>
    </w:p>
    <w:p w14:paraId="1BB37E47" w14:textId="100EBF3D" w:rsidR="004036F9" w:rsidRDefault="00000000">
      <w:pPr>
        <w:spacing w:after="160"/>
      </w:pPr>
      <w:r>
        <w:t xml:space="preserve">Since Chiron requires raw electrical signal as </w:t>
      </w:r>
      <w:proofErr w:type="gramStart"/>
      <w:r>
        <w:t xml:space="preserve">input  </w:t>
      </w:r>
      <w:proofErr w:type="spellStart"/>
      <w:r>
        <w:t>basecalling</w:t>
      </w:r>
      <w:proofErr w:type="spellEnd"/>
      <w:proofErr w:type="gramEnd"/>
      <w:r>
        <w:t xml:space="preserve"> from already-</w:t>
      </w:r>
      <w:proofErr w:type="spellStart"/>
      <w:r>
        <w:t>basecalled</w:t>
      </w:r>
      <w:proofErr w:type="spellEnd"/>
      <w:r>
        <w:t xml:space="preserve"> FASTQ is not a meaningful operation -- this test organism could not be reproduced from what is publicly retrievable under the cited accession. This is a limitation of publicly archived data, not of the reproduction methodology; NCBI's storage policies have historically </w:t>
      </w:r>
      <w:proofErr w:type="spellStart"/>
      <w:r>
        <w:t>favored</w:t>
      </w:r>
      <w:proofErr w:type="spellEnd"/>
      <w:r>
        <w:t xml:space="preserve"> retaining FASTQ over the much larger raw fast5 format for many older submissions.</w:t>
      </w:r>
    </w:p>
    <w:p w14:paraId="50002510" w14:textId="77777777" w:rsidR="004036F9" w:rsidRDefault="00000000">
      <w:pPr>
        <w:pStyle w:val="Heading1"/>
        <w:spacing w:before="300" w:after="150"/>
      </w:pPr>
      <w:r>
        <w:t>5. Human Chromosome 21: Chemistry Mismatch</w:t>
      </w:r>
    </w:p>
    <w:p w14:paraId="309AA44A" w14:textId="77777777" w:rsidR="004036F9" w:rsidRDefault="00000000">
      <w:pPr>
        <w:spacing w:after="160"/>
      </w:pPr>
      <w:r>
        <w:t xml:space="preserve">Raw fast5 data for human chromosome 21 was obtained from the Nanopore WGS Consortium's public NA12878 dataset (s3://nanopore-human-wgs/na12878/r10_chr21/), which explicitly hosts this as "R10" chemistry data -- multi-read fast5 files were converted to Chiron's expected single-read format using Oxford Nanopore's official ont_fast5_api tool, and 200 reads were </w:t>
      </w:r>
      <w:proofErr w:type="spellStart"/>
      <w:r>
        <w:t>basecalled</w:t>
      </w:r>
      <w:proofErr w:type="spellEnd"/>
      <w:r>
        <w:t xml:space="preserve"> successfully (all files processed without error, per-base ground truth attributes present and correctly formatted).</w:t>
      </w:r>
    </w:p>
    <w:p w14:paraId="379D7DAE" w14:textId="4D9BD2E2" w:rsidR="004036F9" w:rsidRDefault="00000000">
      <w:pPr>
        <w:spacing w:after="160"/>
      </w:pPr>
      <w:r>
        <w:lastRenderedPageBreak/>
        <w:t xml:space="preserve">However, 0 of 20 sampled </w:t>
      </w:r>
      <w:proofErr w:type="spellStart"/>
      <w:r>
        <w:t>basecalled</w:t>
      </w:r>
      <w:proofErr w:type="spellEnd"/>
      <w:r>
        <w:t xml:space="preserve"> reads (tested across the full 200-read batch) aligned to the GRCh38 chromosome 21 reference genome (NC_000021.9). </w:t>
      </w:r>
      <w:proofErr w:type="spellStart"/>
      <w:r>
        <w:t>Basecall</w:t>
      </w:r>
      <w:proofErr w:type="spellEnd"/>
      <w:r>
        <w:t xml:space="preserve"> confidence was uniformly and unusually low across all sampled reads (mean Phred quality 4.26-4.76, compared to a healthy ~19-21 observed on the successfully-reproduced E. coli and Lambda data). This tight, uniform low-confidence clustering rather than the natural per-read variation expected of a well-functioning </w:t>
      </w:r>
      <w:proofErr w:type="spellStart"/>
      <w:proofErr w:type="gramStart"/>
      <w:r>
        <w:t>basecaller</w:t>
      </w:r>
      <w:proofErr w:type="spellEnd"/>
      <w:r>
        <w:t xml:space="preserve">  is</w:t>
      </w:r>
      <w:proofErr w:type="gramEnd"/>
      <w:r>
        <w:t xml:space="preserve"> consistent with the model being applied to signal data outside its trained distribution.</w:t>
      </w:r>
    </w:p>
    <w:p w14:paraId="2FEB4B09" w14:textId="77777777" w:rsidR="004036F9" w:rsidRDefault="00000000">
      <w:pPr>
        <w:spacing w:after="160"/>
      </w:pPr>
      <w:r>
        <w:t xml:space="preserve">The original paper's Methods section states that all training and test data, across all four organisms, was sequenced using R9.4 </w:t>
      </w:r>
      <w:proofErr w:type="spellStart"/>
      <w:r>
        <w:t>flowcells</w:t>
      </w:r>
      <w:proofErr w:type="spellEnd"/>
      <w:r>
        <w:t xml:space="preserve">. The publicly available NA12878 human chromosome 21 </w:t>
      </w:r>
      <w:proofErr w:type="gramStart"/>
      <w:r>
        <w:t>dataset</w:t>
      </w:r>
      <w:proofErr w:type="gramEnd"/>
      <w:r>
        <w:t xml:space="preserve"> used here is explicitly R10 chemistry -- a materially different nanopore generation with different electrical current characteristics for the same underlying DNA sequence. We conclude that the pretrained </w:t>
      </w:r>
      <w:proofErr w:type="spellStart"/>
      <w:r>
        <w:t>DNA_default</w:t>
      </w:r>
      <w:proofErr w:type="spellEnd"/>
      <w:r>
        <w:t xml:space="preserve"> model, trained exclusively on R9.4 data, does not generalize across nanopore chemistry generations. This finding does not contradict the paper's own generalization claims (which were demonstrated within R9.4 chemistry, across different organisms), but does clarify the boundary of that generalization: Chiron's demonstrated ability to generalize across species does not extend to generalizing across nanopore pore chemistry versions.</w:t>
      </w:r>
    </w:p>
    <w:p w14:paraId="2E11B99A" w14:textId="77777777" w:rsidR="00120B6A" w:rsidRDefault="00120B6A">
      <w:pPr>
        <w:spacing w:after="160"/>
      </w:pPr>
    </w:p>
    <w:p w14:paraId="1424B35C" w14:textId="5E0C88E0" w:rsidR="00120B6A" w:rsidRPr="00120B6A" w:rsidRDefault="00120B6A">
      <w:pPr>
        <w:spacing w:after="160"/>
        <w:rPr>
          <w:color w:val="156082" w:themeColor="accent1"/>
          <w:sz w:val="32"/>
          <w:szCs w:val="32"/>
        </w:rPr>
      </w:pPr>
      <w:r w:rsidRPr="00120B6A">
        <w:rPr>
          <w:color w:val="156082" w:themeColor="accent1"/>
          <w:sz w:val="32"/>
          <w:szCs w:val="32"/>
        </w:rPr>
        <w:t>6.Limitation</w:t>
      </w:r>
    </w:p>
    <w:p w14:paraId="1B70928F" w14:textId="7876811B" w:rsidR="00120B6A" w:rsidRDefault="00120B6A">
      <w:pPr>
        <w:spacing w:after="160"/>
      </w:pPr>
      <w:r>
        <w:t xml:space="preserve">The major limitation observed was that </w:t>
      </w:r>
      <w:proofErr w:type="spellStart"/>
      <w:r>
        <w:t>chiron</w:t>
      </w:r>
      <w:proofErr w:type="spellEnd"/>
      <w:r>
        <w:t xml:space="preserve"> failed to </w:t>
      </w:r>
      <w:proofErr w:type="spellStart"/>
      <w:r>
        <w:t>basecall</w:t>
      </w:r>
      <w:proofErr w:type="spellEnd"/>
      <w:r>
        <w:t xml:space="preserve"> genome sequenced using R10 chemistry </w:t>
      </w:r>
      <w:proofErr w:type="spellStart"/>
      <w:proofErr w:type="gramStart"/>
      <w:r>
        <w:t>flowcells</w:t>
      </w:r>
      <w:proofErr w:type="spellEnd"/>
      <w:r>
        <w:t xml:space="preserve"> ,</w:t>
      </w:r>
      <w:proofErr w:type="gramEnd"/>
      <w:r>
        <w:t xml:space="preserve"> since it was trained on R9.4 </w:t>
      </w:r>
      <w:proofErr w:type="spellStart"/>
      <w:proofErr w:type="gramStart"/>
      <w:r>
        <w:t>flowcells</w:t>
      </w:r>
      <w:proofErr w:type="spellEnd"/>
      <w:r>
        <w:t xml:space="preserve"> .</w:t>
      </w:r>
      <w:proofErr w:type="gramEnd"/>
    </w:p>
    <w:p w14:paraId="130A3818" w14:textId="208390E6" w:rsidR="00D92480" w:rsidRDefault="00120B6A">
      <w:pPr>
        <w:spacing w:after="160"/>
      </w:pPr>
      <w:r>
        <w:t xml:space="preserve">The solution could be to train it again using </w:t>
      </w:r>
      <w:r w:rsidR="00D92480">
        <w:t xml:space="preserve">R10 sequenced data and retry the human chr21 </w:t>
      </w:r>
      <w:proofErr w:type="gramStart"/>
      <w:r w:rsidR="00D92480">
        <w:t>genome .</w:t>
      </w:r>
      <w:proofErr w:type="gramEnd"/>
    </w:p>
    <w:p w14:paraId="70AA7567" w14:textId="7A184B9F" w:rsidR="004036F9" w:rsidRDefault="00120B6A">
      <w:pPr>
        <w:pStyle w:val="Heading1"/>
        <w:spacing w:before="300" w:after="150"/>
      </w:pPr>
      <w:r>
        <w:t>7</w:t>
      </w:r>
      <w:r w:rsidR="00000000">
        <w:t>. Conclusion</w:t>
      </w:r>
    </w:p>
    <w:p w14:paraId="5666E827" w14:textId="77777777" w:rsidR="004036F9" w:rsidRDefault="00000000" w:rsidP="00D92480">
      <w:pPr>
        <w:pStyle w:val="ListParagraph"/>
        <w:numPr>
          <w:ilvl w:val="0"/>
          <w:numId w:val="2"/>
        </w:numPr>
        <w:spacing w:after="80"/>
      </w:pPr>
      <w:r>
        <w:t>E. coli and Lambda phage: successfully reproduced, within ~1.5-3 percentage points of the paper's reported identity rates, using the same alignment-based methodology (minimap2 against the reference genome) on 2,000 held-out reads per organism.</w:t>
      </w:r>
    </w:p>
    <w:p w14:paraId="44E50432" w14:textId="099DAC64" w:rsidR="004036F9" w:rsidRDefault="00000000" w:rsidP="00D92480">
      <w:pPr>
        <w:pStyle w:val="ListParagraph"/>
        <w:numPr>
          <w:ilvl w:val="0"/>
          <w:numId w:val="2"/>
        </w:numPr>
        <w:spacing w:after="80"/>
      </w:pPr>
      <w:r>
        <w:t xml:space="preserve">M. tuberculosis: could not be </w:t>
      </w:r>
      <w:proofErr w:type="gramStart"/>
      <w:r>
        <w:t>reproduced  the</w:t>
      </w:r>
      <w:proofErr w:type="gramEnd"/>
      <w:r>
        <w:t xml:space="preserve"> cited public accession retains only </w:t>
      </w:r>
      <w:proofErr w:type="spellStart"/>
      <w:r>
        <w:t>basecalled</w:t>
      </w:r>
      <w:proofErr w:type="spellEnd"/>
      <w:r>
        <w:t xml:space="preserve"> FASTQ, not the raw signal data Chiron requires.</w:t>
      </w:r>
    </w:p>
    <w:p w14:paraId="20DEDED0" w14:textId="5758A263" w:rsidR="004036F9" w:rsidRDefault="00000000" w:rsidP="00D92480">
      <w:pPr>
        <w:pStyle w:val="ListParagraph"/>
        <w:numPr>
          <w:ilvl w:val="0"/>
          <w:numId w:val="2"/>
        </w:numPr>
        <w:spacing w:after="80"/>
      </w:pPr>
      <w:r>
        <w:t xml:space="preserve">Human chromosome 21: raw data was obtained and successfully </w:t>
      </w:r>
      <w:proofErr w:type="spellStart"/>
      <w:r>
        <w:t>basecalled</w:t>
      </w:r>
      <w:proofErr w:type="spellEnd"/>
      <w:r>
        <w:t xml:space="preserve"> end-to-end, but produced non-aligning, uniformly low-confidence </w:t>
      </w:r>
      <w:proofErr w:type="gramStart"/>
      <w:r>
        <w:t>output  attributable</w:t>
      </w:r>
      <w:proofErr w:type="gramEnd"/>
      <w:r>
        <w:t xml:space="preserve"> to a chemistry mismatch (R10 test data vs. an R9.4-trained model), not a pipeline failure.</w:t>
      </w:r>
    </w:p>
    <w:p w14:paraId="510B8A7C" w14:textId="77777777" w:rsidR="00D92480" w:rsidRDefault="00D92480" w:rsidP="00D92480">
      <w:pPr>
        <w:spacing w:after="80"/>
      </w:pPr>
    </w:p>
    <w:p w14:paraId="21169394" w14:textId="1D08CB98" w:rsidR="004036F9" w:rsidRDefault="00000000">
      <w:pPr>
        <w:spacing w:after="160"/>
      </w:pPr>
      <w:r>
        <w:t xml:space="preserve">Overall, this work confirms the core, reproducible claim of the original </w:t>
      </w:r>
      <w:proofErr w:type="gramStart"/>
      <w:r>
        <w:t>paper  that</w:t>
      </w:r>
      <w:proofErr w:type="gramEnd"/>
      <w:r>
        <w:t xml:space="preserve"> a CNN + </w:t>
      </w:r>
      <w:proofErr w:type="spellStart"/>
      <w:r>
        <w:t>biLSTM</w:t>
      </w:r>
      <w:proofErr w:type="spellEnd"/>
      <w:r>
        <w:t xml:space="preserve"> + CTC architecture can perform accurate, segmentation-free </w:t>
      </w:r>
      <w:proofErr w:type="spellStart"/>
      <w:r>
        <w:t>basecalling</w:t>
      </w:r>
      <w:proofErr w:type="spellEnd"/>
      <w:r>
        <w:t xml:space="preserve"> after training on a small </w:t>
      </w:r>
      <w:proofErr w:type="gramStart"/>
      <w:r>
        <w:t>dataset  while</w:t>
      </w:r>
      <w:proofErr w:type="gramEnd"/>
      <w:r>
        <w:t xml:space="preserve"> also surfacing two genuine, well-evidenced limitations of the publicly available model and data: incomplete public archival of the original M. tuberculosis test data, and lack of cross-chemistry generalization to newer (R10) nanopore hardware.</w:t>
      </w:r>
    </w:p>
    <w:p w14:paraId="7D822A14" w14:textId="77777777" w:rsidR="00120B6A" w:rsidRDefault="00120B6A">
      <w:pPr>
        <w:spacing w:after="160"/>
      </w:pPr>
    </w:p>
    <w:sectPr w:rsidR="00120B6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1B11C4"/>
    <w:multiLevelType w:val="hybridMultilevel"/>
    <w:tmpl w:val="B52277FA"/>
    <w:lvl w:ilvl="0" w:tplc="20861100">
      <w:start w:val="1"/>
      <w:numFmt w:val="bullet"/>
      <w:lvlText w:val="●"/>
      <w:lvlJc w:val="left"/>
      <w:pPr>
        <w:ind w:left="720" w:hanging="360"/>
      </w:pPr>
    </w:lvl>
    <w:lvl w:ilvl="1" w:tplc="9FDC24F4">
      <w:start w:val="1"/>
      <w:numFmt w:val="bullet"/>
      <w:lvlText w:val="○"/>
      <w:lvlJc w:val="left"/>
      <w:pPr>
        <w:ind w:left="1440" w:hanging="360"/>
      </w:pPr>
    </w:lvl>
    <w:lvl w:ilvl="2" w:tplc="27C4085C">
      <w:start w:val="1"/>
      <w:numFmt w:val="bullet"/>
      <w:lvlText w:val="■"/>
      <w:lvlJc w:val="left"/>
      <w:pPr>
        <w:ind w:left="2160" w:hanging="360"/>
      </w:pPr>
    </w:lvl>
    <w:lvl w:ilvl="3" w:tplc="234A4A12">
      <w:start w:val="1"/>
      <w:numFmt w:val="bullet"/>
      <w:lvlText w:val="●"/>
      <w:lvlJc w:val="left"/>
      <w:pPr>
        <w:ind w:left="2880" w:hanging="360"/>
      </w:pPr>
    </w:lvl>
    <w:lvl w:ilvl="4" w:tplc="E16C914A">
      <w:start w:val="1"/>
      <w:numFmt w:val="bullet"/>
      <w:lvlText w:val="○"/>
      <w:lvlJc w:val="left"/>
      <w:pPr>
        <w:ind w:left="3600" w:hanging="360"/>
      </w:pPr>
    </w:lvl>
    <w:lvl w:ilvl="5" w:tplc="45E6D732">
      <w:start w:val="1"/>
      <w:numFmt w:val="bullet"/>
      <w:lvlText w:val="■"/>
      <w:lvlJc w:val="left"/>
      <w:pPr>
        <w:ind w:left="4320" w:hanging="360"/>
      </w:pPr>
    </w:lvl>
    <w:lvl w:ilvl="6" w:tplc="20EA114A">
      <w:start w:val="1"/>
      <w:numFmt w:val="bullet"/>
      <w:lvlText w:val="●"/>
      <w:lvlJc w:val="left"/>
      <w:pPr>
        <w:ind w:left="5040" w:hanging="360"/>
      </w:pPr>
    </w:lvl>
    <w:lvl w:ilvl="7" w:tplc="A33227A4">
      <w:start w:val="1"/>
      <w:numFmt w:val="bullet"/>
      <w:lvlText w:val="●"/>
      <w:lvlJc w:val="left"/>
      <w:pPr>
        <w:ind w:left="5760" w:hanging="360"/>
      </w:pPr>
    </w:lvl>
    <w:lvl w:ilvl="8" w:tplc="41BAF6C6">
      <w:start w:val="1"/>
      <w:numFmt w:val="bullet"/>
      <w:lvlText w:val="●"/>
      <w:lvlJc w:val="left"/>
      <w:pPr>
        <w:ind w:left="6480" w:hanging="360"/>
      </w:pPr>
    </w:lvl>
  </w:abstractNum>
  <w:abstractNum w:abstractNumId="1" w15:restartNumberingAfterBreak="0">
    <w:nsid w:val="3BD754EE"/>
    <w:multiLevelType w:val="hybridMultilevel"/>
    <w:tmpl w:val="DD4AE7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13053025">
    <w:abstractNumId w:val="0"/>
    <w:lvlOverride w:ilvl="0">
      <w:startOverride w:val="1"/>
    </w:lvlOverride>
  </w:num>
  <w:num w:numId="2" w16cid:durableId="1105629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36F9"/>
    <w:rsid w:val="00120B6A"/>
    <w:rsid w:val="001E2A26"/>
    <w:rsid w:val="004036F9"/>
    <w:rsid w:val="005623AF"/>
    <w:rsid w:val="00712501"/>
    <w:rsid w:val="00D92480"/>
    <w:rsid w:val="00F53528"/>
    <w:rsid w:val="00F701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40764"/>
  <w15:docId w15:val="{A9B5D308-2A92-49F3-B866-17976F5D1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1474</Words>
  <Characters>8405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Utkarsh Gupta</cp:lastModifiedBy>
  <cp:revision>2</cp:revision>
  <dcterms:created xsi:type="dcterms:W3CDTF">2026-07-27T05:54:00Z</dcterms:created>
  <dcterms:modified xsi:type="dcterms:W3CDTF">2026-07-27T05:54:00Z</dcterms:modified>
</cp:coreProperties>
</file>