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1CDBA" w14:textId="77777777" w:rsidR="007E105A" w:rsidRPr="007E105A" w:rsidRDefault="007E105A" w:rsidP="007E105A">
      <w:pPr>
        <w:jc w:val="center"/>
        <w:rPr>
          <w:b/>
          <w:bCs/>
          <w:sz w:val="28"/>
          <w:szCs w:val="28"/>
        </w:rPr>
      </w:pPr>
      <w:r w:rsidRPr="007E105A">
        <w:rPr>
          <w:b/>
          <w:bCs/>
          <w:sz w:val="28"/>
          <w:szCs w:val="28"/>
        </w:rPr>
        <w:t>Executive AML Risk Summary</w:t>
      </w:r>
    </w:p>
    <w:p w14:paraId="37727A7C" w14:textId="77777777" w:rsidR="007E105A" w:rsidRDefault="007E105A" w:rsidP="007E105A">
      <w:pPr>
        <w:ind w:left="-1134"/>
        <w:rPr>
          <w:b/>
          <w:bCs/>
        </w:rPr>
      </w:pPr>
      <w:r w:rsidRPr="007E105A">
        <w:rPr>
          <w:b/>
          <w:bCs/>
        </w:rPr>
        <w:t>Institution:</w:t>
      </w:r>
      <w:r w:rsidRPr="007E105A">
        <w:t xml:space="preserve"> </w:t>
      </w:r>
      <w:proofErr w:type="spellStart"/>
      <w:r w:rsidRPr="007E105A">
        <w:t>EBizCharge</w:t>
      </w:r>
      <w:proofErr w:type="spellEnd"/>
      <w:r w:rsidRPr="007E105A">
        <w:br/>
      </w:r>
      <w:r w:rsidRPr="007E105A">
        <w:rPr>
          <w:b/>
          <w:bCs/>
        </w:rPr>
        <w:t>Framework:</w:t>
      </w:r>
      <w:r w:rsidRPr="007E105A">
        <w:t xml:space="preserve"> Risk-Based AML Approach aligned with </w:t>
      </w:r>
      <w:r w:rsidRPr="007E105A">
        <w:rPr>
          <w:b/>
          <w:bCs/>
        </w:rPr>
        <w:t>FATF</w:t>
      </w:r>
    </w:p>
    <w:p w14:paraId="4AA1E02D" w14:textId="663A41C7" w:rsidR="007E105A" w:rsidRPr="007E105A" w:rsidRDefault="007E105A" w:rsidP="00D3730E">
      <w:pPr>
        <w:pStyle w:val="ListParagraph"/>
        <w:numPr>
          <w:ilvl w:val="0"/>
          <w:numId w:val="6"/>
        </w:numPr>
        <w:ind w:hanging="219"/>
      </w:pPr>
      <w:r w:rsidRPr="00D3730E">
        <w:rPr>
          <w:b/>
          <w:bCs/>
        </w:rPr>
        <w:t>Purpose of the Executive Summary</w:t>
      </w:r>
    </w:p>
    <w:p w14:paraId="3F21F723" w14:textId="77777777" w:rsidR="007E105A" w:rsidRPr="007E105A" w:rsidRDefault="007E105A" w:rsidP="00D3730E">
      <w:pPr>
        <w:ind w:left="-709"/>
      </w:pPr>
      <w:r w:rsidRPr="007E105A">
        <w:t xml:space="preserve">This section provides </w:t>
      </w:r>
      <w:r w:rsidRPr="007E105A">
        <w:rPr>
          <w:b/>
          <w:bCs/>
        </w:rPr>
        <w:t>senior management and stakeholders</w:t>
      </w:r>
      <w:r w:rsidRPr="007E105A">
        <w:t xml:space="preserve"> with:</w:t>
      </w:r>
    </w:p>
    <w:p w14:paraId="1512DCEC" w14:textId="77777777" w:rsidR="007E105A" w:rsidRPr="007E105A" w:rsidRDefault="007E105A" w:rsidP="00D3730E">
      <w:pPr>
        <w:numPr>
          <w:ilvl w:val="0"/>
          <w:numId w:val="1"/>
        </w:numPr>
        <w:ind w:left="0"/>
      </w:pPr>
      <w:r w:rsidRPr="007E105A">
        <w:t xml:space="preserve">A </w:t>
      </w:r>
      <w:r w:rsidRPr="007E105A">
        <w:rPr>
          <w:b/>
          <w:bCs/>
        </w:rPr>
        <w:t>high-level view of AML risk exposure</w:t>
      </w:r>
    </w:p>
    <w:p w14:paraId="0FB21018" w14:textId="77777777" w:rsidR="007E105A" w:rsidRPr="007E105A" w:rsidRDefault="007E105A" w:rsidP="00D3730E">
      <w:pPr>
        <w:numPr>
          <w:ilvl w:val="0"/>
          <w:numId w:val="1"/>
        </w:numPr>
        <w:ind w:left="0"/>
      </w:pPr>
      <w:r w:rsidRPr="007E105A">
        <w:t xml:space="preserve">Key </w:t>
      </w:r>
      <w:r w:rsidRPr="007E105A">
        <w:rPr>
          <w:b/>
          <w:bCs/>
        </w:rPr>
        <w:t>risk drivers</w:t>
      </w:r>
    </w:p>
    <w:p w14:paraId="3D2031B3" w14:textId="77777777" w:rsidR="007E105A" w:rsidRPr="007E105A" w:rsidRDefault="007E105A" w:rsidP="00D3730E">
      <w:pPr>
        <w:numPr>
          <w:ilvl w:val="0"/>
          <w:numId w:val="1"/>
        </w:numPr>
        <w:ind w:left="0"/>
      </w:pPr>
      <w:r w:rsidRPr="007E105A">
        <w:t xml:space="preserve">Effectiveness of </w:t>
      </w:r>
      <w:r w:rsidRPr="007E105A">
        <w:rPr>
          <w:b/>
          <w:bCs/>
        </w:rPr>
        <w:t>mitigation controls</w:t>
      </w:r>
    </w:p>
    <w:p w14:paraId="171F76B9" w14:textId="77777777" w:rsidR="007E105A" w:rsidRPr="007E105A" w:rsidRDefault="007E105A" w:rsidP="00D3730E">
      <w:pPr>
        <w:numPr>
          <w:ilvl w:val="0"/>
          <w:numId w:val="1"/>
        </w:numPr>
        <w:ind w:left="0"/>
      </w:pPr>
      <w:r w:rsidRPr="007E105A">
        <w:t xml:space="preserve">Overall </w:t>
      </w:r>
      <w:r w:rsidRPr="007E105A">
        <w:rPr>
          <w:b/>
          <w:bCs/>
        </w:rPr>
        <w:t>residual risk position</w:t>
      </w:r>
    </w:p>
    <w:p w14:paraId="2D1A50C1" w14:textId="77777777" w:rsidR="007E105A" w:rsidRPr="007E105A" w:rsidRDefault="007E105A" w:rsidP="00D3730E">
      <w:pPr>
        <w:numPr>
          <w:ilvl w:val="0"/>
          <w:numId w:val="1"/>
        </w:numPr>
        <w:ind w:left="0"/>
      </w:pPr>
      <w:r w:rsidRPr="007E105A">
        <w:t xml:space="preserve">Clear </w:t>
      </w:r>
      <w:r w:rsidRPr="007E105A">
        <w:rPr>
          <w:b/>
          <w:bCs/>
        </w:rPr>
        <w:t>management conclusions</w:t>
      </w:r>
    </w:p>
    <w:p w14:paraId="1B521FEA" w14:textId="67A9534A" w:rsidR="00D3730E" w:rsidRDefault="007E105A" w:rsidP="00D3730E">
      <w:pPr>
        <w:ind w:left="-709"/>
      </w:pPr>
      <w:r w:rsidRPr="007E105A">
        <w:t xml:space="preserve">This summary is designed for readers who do </w:t>
      </w:r>
      <w:r w:rsidRPr="007E105A">
        <w:rPr>
          <w:b/>
          <w:bCs/>
        </w:rPr>
        <w:t>not</w:t>
      </w:r>
      <w:r w:rsidRPr="007E105A">
        <w:t xml:space="preserve"> </w:t>
      </w:r>
      <w:r w:rsidR="007B3513">
        <w:t>require operational details but need to</w:t>
      </w:r>
      <w:r w:rsidRPr="007E105A">
        <w:t xml:space="preserve"> understand </w:t>
      </w:r>
      <w:r w:rsidRPr="007E105A">
        <w:rPr>
          <w:b/>
          <w:bCs/>
        </w:rPr>
        <w:t>risk posture and governance</w:t>
      </w:r>
      <w:r w:rsidRPr="007E105A">
        <w:t>.</w:t>
      </w:r>
    </w:p>
    <w:p w14:paraId="0F6BC972" w14:textId="0903ADAC" w:rsidR="007E105A" w:rsidRPr="007E105A" w:rsidRDefault="007E105A" w:rsidP="00D3730E">
      <w:pPr>
        <w:pStyle w:val="ListParagraph"/>
        <w:numPr>
          <w:ilvl w:val="0"/>
          <w:numId w:val="6"/>
        </w:numPr>
      </w:pPr>
      <w:r w:rsidRPr="00D3730E">
        <w:rPr>
          <w:b/>
          <w:bCs/>
        </w:rPr>
        <w:t>Scope of the Assessment (One-Paragraph Recap)</w:t>
      </w:r>
    </w:p>
    <w:p w14:paraId="06278BEE" w14:textId="7A5063A6" w:rsidR="00D3730E" w:rsidRDefault="007E105A" w:rsidP="00D3730E">
      <w:pPr>
        <w:ind w:left="-709"/>
      </w:pPr>
      <w:r w:rsidRPr="007E105A">
        <w:t xml:space="preserve">This AML risk assessment evaluated money-laundering and terrorist-financing risks associated with </w:t>
      </w:r>
      <w:proofErr w:type="spellStart"/>
      <w:r w:rsidRPr="007E105A">
        <w:t>EBizCharge’s</w:t>
      </w:r>
      <w:proofErr w:type="spellEnd"/>
      <w:r w:rsidRPr="007E105A">
        <w:t xml:space="preserve"> payment processing and </w:t>
      </w:r>
      <w:r w:rsidR="007B3513">
        <w:t>accounts receivable</w:t>
      </w:r>
      <w:r w:rsidRPr="007E105A">
        <w:t xml:space="preserve"> automation services. The assessment covered customer/merchant profiles, products and services, delivery channels, and geographic exposure, and applied a risk-based methodology consistent with FATF guidance.</w:t>
      </w:r>
    </w:p>
    <w:p w14:paraId="1EA31BC7" w14:textId="77777777" w:rsidR="00D3730E" w:rsidRDefault="00D3730E" w:rsidP="00D3730E">
      <w:pPr>
        <w:ind w:left="-709"/>
      </w:pPr>
    </w:p>
    <w:p w14:paraId="228E4FD9" w14:textId="1F9B842E" w:rsidR="007E105A" w:rsidRPr="007E105A" w:rsidRDefault="007E105A" w:rsidP="00D3730E">
      <w:pPr>
        <w:pStyle w:val="ListParagraph"/>
        <w:numPr>
          <w:ilvl w:val="0"/>
          <w:numId w:val="6"/>
        </w:numPr>
      </w:pPr>
      <w:r w:rsidRPr="00D3730E">
        <w:rPr>
          <w:b/>
          <w:bCs/>
        </w:rPr>
        <w:t>Key Inherent AML Risk Drivers</w:t>
      </w:r>
    </w:p>
    <w:p w14:paraId="489A0588" w14:textId="77777777" w:rsidR="007E105A" w:rsidRPr="007E105A" w:rsidRDefault="007E105A" w:rsidP="00D3730E">
      <w:pPr>
        <w:ind w:left="-709"/>
      </w:pPr>
      <w:r w:rsidRPr="007E105A">
        <w:t xml:space="preserve">Before controls, the assessment identified the following </w:t>
      </w:r>
      <w:r w:rsidRPr="007E105A">
        <w:rPr>
          <w:b/>
          <w:bCs/>
        </w:rPr>
        <w:t>primary inherent risk drivers</w:t>
      </w:r>
      <w:r w:rsidRPr="007E105A">
        <w:t>:</w:t>
      </w:r>
    </w:p>
    <w:p w14:paraId="57D31A1B" w14:textId="77777777" w:rsidR="007E105A" w:rsidRPr="007E105A" w:rsidRDefault="007E105A" w:rsidP="00D3730E">
      <w:pPr>
        <w:numPr>
          <w:ilvl w:val="0"/>
          <w:numId w:val="2"/>
        </w:numPr>
        <w:ind w:left="-142"/>
      </w:pPr>
      <w:r w:rsidRPr="007E105A">
        <w:rPr>
          <w:b/>
          <w:bCs/>
        </w:rPr>
        <w:t>Non-face-to-face onboarding</w:t>
      </w:r>
      <w:r w:rsidRPr="007E105A">
        <w:t>, increasing impersonation and identity misuse risk</w:t>
      </w:r>
    </w:p>
    <w:p w14:paraId="589D66A2" w14:textId="77777777" w:rsidR="007E105A" w:rsidRPr="007E105A" w:rsidRDefault="007E105A" w:rsidP="00D3730E">
      <w:pPr>
        <w:numPr>
          <w:ilvl w:val="0"/>
          <w:numId w:val="2"/>
        </w:numPr>
        <w:ind w:left="-142"/>
      </w:pPr>
      <w:r w:rsidRPr="007E105A">
        <w:rPr>
          <w:b/>
          <w:bCs/>
        </w:rPr>
        <w:t>ACH/</w:t>
      </w:r>
      <w:proofErr w:type="spellStart"/>
      <w:r w:rsidRPr="007E105A">
        <w:rPr>
          <w:b/>
          <w:bCs/>
        </w:rPr>
        <w:t>eCheck</w:t>
      </w:r>
      <w:proofErr w:type="spellEnd"/>
      <w:r w:rsidRPr="007E105A">
        <w:rPr>
          <w:b/>
          <w:bCs/>
        </w:rPr>
        <w:t xml:space="preserve"> and card-not-present transactions</w:t>
      </w:r>
      <w:r w:rsidRPr="007E105A">
        <w:t>, which can be exploited for layering</w:t>
      </w:r>
    </w:p>
    <w:p w14:paraId="2977331D" w14:textId="2E6AAFDD" w:rsidR="007E105A" w:rsidRPr="007E105A" w:rsidRDefault="007E105A" w:rsidP="00D3730E">
      <w:pPr>
        <w:numPr>
          <w:ilvl w:val="0"/>
          <w:numId w:val="2"/>
        </w:numPr>
        <w:ind w:left="-142"/>
      </w:pPr>
      <w:r w:rsidRPr="007E105A">
        <w:rPr>
          <w:b/>
          <w:bCs/>
        </w:rPr>
        <w:t>Cross-border transaction activity</w:t>
      </w:r>
      <w:r w:rsidRPr="007E105A">
        <w:t xml:space="preserve">, reducing </w:t>
      </w:r>
      <w:r w:rsidR="007B3513">
        <w:t xml:space="preserve">the </w:t>
      </w:r>
      <w:r w:rsidRPr="007E105A">
        <w:t xml:space="preserve">transparency of </w:t>
      </w:r>
      <w:r w:rsidR="007B3513">
        <w:t xml:space="preserve">the </w:t>
      </w:r>
      <w:r w:rsidRPr="007E105A">
        <w:t>source of funds</w:t>
      </w:r>
    </w:p>
    <w:p w14:paraId="5CF0A657" w14:textId="77777777" w:rsidR="007E105A" w:rsidRPr="007E105A" w:rsidRDefault="007E105A" w:rsidP="00D3730E">
      <w:pPr>
        <w:numPr>
          <w:ilvl w:val="0"/>
          <w:numId w:val="2"/>
        </w:numPr>
        <w:ind w:left="-142"/>
      </w:pPr>
      <w:r w:rsidRPr="007E105A">
        <w:rPr>
          <w:b/>
          <w:bCs/>
        </w:rPr>
        <w:t>Merchant complexity</w:t>
      </w:r>
      <w:r w:rsidRPr="007E105A">
        <w:t>, including ownership structures and industry-specific exposure</w:t>
      </w:r>
    </w:p>
    <w:p w14:paraId="1C55C998" w14:textId="77777777" w:rsidR="00D3730E" w:rsidRDefault="007E105A" w:rsidP="00D3730E">
      <w:pPr>
        <w:ind w:left="-709"/>
      </w:pPr>
      <w:r w:rsidRPr="007E105A">
        <w:t xml:space="preserve">These risks are </w:t>
      </w:r>
      <w:r w:rsidRPr="007E105A">
        <w:rPr>
          <w:b/>
          <w:bCs/>
        </w:rPr>
        <w:t>inherent to payment processing platforms</w:t>
      </w:r>
      <w:r w:rsidRPr="007E105A">
        <w:t xml:space="preserve"> and are not indicative of control failures.</w:t>
      </w:r>
    </w:p>
    <w:p w14:paraId="4BD1A8B1" w14:textId="77777777" w:rsidR="00D3730E" w:rsidRDefault="00D3730E" w:rsidP="00D3730E">
      <w:pPr>
        <w:ind w:left="-709"/>
        <w:rPr>
          <w:b/>
          <w:bCs/>
        </w:rPr>
      </w:pPr>
    </w:p>
    <w:p w14:paraId="78E902E3" w14:textId="77777777" w:rsidR="00D3730E" w:rsidRDefault="00D3730E" w:rsidP="00D3730E">
      <w:pPr>
        <w:ind w:left="-709"/>
        <w:rPr>
          <w:b/>
          <w:bCs/>
        </w:rPr>
      </w:pPr>
    </w:p>
    <w:p w14:paraId="3C1C46F9" w14:textId="5159DB37" w:rsidR="007E105A" w:rsidRPr="007E105A" w:rsidRDefault="007E105A" w:rsidP="00D3730E">
      <w:pPr>
        <w:pStyle w:val="ListParagraph"/>
        <w:numPr>
          <w:ilvl w:val="0"/>
          <w:numId w:val="6"/>
        </w:numPr>
      </w:pPr>
      <w:r w:rsidRPr="00D3730E">
        <w:rPr>
          <w:b/>
          <w:bCs/>
        </w:rPr>
        <w:lastRenderedPageBreak/>
        <w:t>Inherent Risk Profile (Pre-Mitigation)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5"/>
        <w:gridCol w:w="2165"/>
      </w:tblGrid>
      <w:tr w:rsidR="007E105A" w:rsidRPr="007E105A" w14:paraId="063C7B64" w14:textId="77777777" w:rsidTr="00D3730E">
        <w:trPr>
          <w:tblHeader/>
          <w:tblCellSpacing w:w="15" w:type="dxa"/>
        </w:trPr>
        <w:tc>
          <w:tcPr>
            <w:tcW w:w="0" w:type="auto"/>
            <w:vAlign w:val="center"/>
            <w:hideMark/>
          </w:tcPr>
          <w:p w14:paraId="23DB965A" w14:textId="77777777" w:rsidR="007E105A" w:rsidRPr="007E105A" w:rsidRDefault="007E105A" w:rsidP="007E105A">
            <w:pPr>
              <w:rPr>
                <w:b/>
                <w:bCs/>
              </w:rPr>
            </w:pPr>
            <w:r w:rsidRPr="007E105A">
              <w:rPr>
                <w:b/>
                <w:bCs/>
              </w:rPr>
              <w:t>Risk Category</w:t>
            </w:r>
          </w:p>
        </w:tc>
        <w:tc>
          <w:tcPr>
            <w:tcW w:w="0" w:type="auto"/>
            <w:vAlign w:val="center"/>
            <w:hideMark/>
          </w:tcPr>
          <w:p w14:paraId="3A23B0A5" w14:textId="77777777" w:rsidR="007E105A" w:rsidRPr="007E105A" w:rsidRDefault="007E105A" w:rsidP="007E105A">
            <w:pPr>
              <w:rPr>
                <w:b/>
                <w:bCs/>
              </w:rPr>
            </w:pPr>
            <w:r w:rsidRPr="007E105A">
              <w:rPr>
                <w:b/>
                <w:bCs/>
              </w:rPr>
              <w:t>Inherent Risk Level</w:t>
            </w:r>
          </w:p>
        </w:tc>
      </w:tr>
      <w:tr w:rsidR="007E105A" w:rsidRPr="007E105A" w14:paraId="48C4F7CC" w14:textId="77777777" w:rsidTr="00D3730E">
        <w:trPr>
          <w:tblCellSpacing w:w="15" w:type="dxa"/>
        </w:trPr>
        <w:tc>
          <w:tcPr>
            <w:tcW w:w="0" w:type="auto"/>
            <w:vAlign w:val="center"/>
            <w:hideMark/>
          </w:tcPr>
          <w:p w14:paraId="59566FD0" w14:textId="77777777" w:rsidR="007E105A" w:rsidRPr="007E105A" w:rsidRDefault="007E105A" w:rsidP="007E105A">
            <w:r w:rsidRPr="007E105A">
              <w:t>Customer Risk</w:t>
            </w:r>
          </w:p>
        </w:tc>
        <w:tc>
          <w:tcPr>
            <w:tcW w:w="0" w:type="auto"/>
            <w:vAlign w:val="center"/>
            <w:hideMark/>
          </w:tcPr>
          <w:p w14:paraId="640C5926" w14:textId="77777777" w:rsidR="007E105A" w:rsidRPr="007E105A" w:rsidRDefault="007E105A" w:rsidP="007E105A">
            <w:r w:rsidRPr="007E105A">
              <w:t>Medium to High</w:t>
            </w:r>
          </w:p>
        </w:tc>
      </w:tr>
      <w:tr w:rsidR="007E105A" w:rsidRPr="007E105A" w14:paraId="70A2557A" w14:textId="77777777" w:rsidTr="00D3730E">
        <w:trPr>
          <w:tblCellSpacing w:w="15" w:type="dxa"/>
        </w:trPr>
        <w:tc>
          <w:tcPr>
            <w:tcW w:w="0" w:type="auto"/>
            <w:vAlign w:val="center"/>
            <w:hideMark/>
          </w:tcPr>
          <w:p w14:paraId="476323A7" w14:textId="77777777" w:rsidR="007E105A" w:rsidRPr="007E105A" w:rsidRDefault="007E105A" w:rsidP="007E105A">
            <w:r w:rsidRPr="007E105A">
              <w:t>Product / Service Risk</w:t>
            </w:r>
          </w:p>
        </w:tc>
        <w:tc>
          <w:tcPr>
            <w:tcW w:w="0" w:type="auto"/>
            <w:vAlign w:val="center"/>
            <w:hideMark/>
          </w:tcPr>
          <w:p w14:paraId="415B8FA4" w14:textId="77777777" w:rsidR="007E105A" w:rsidRPr="007E105A" w:rsidRDefault="007E105A" w:rsidP="007E105A">
            <w:r w:rsidRPr="007E105A">
              <w:t>High</w:t>
            </w:r>
          </w:p>
        </w:tc>
      </w:tr>
      <w:tr w:rsidR="007E105A" w:rsidRPr="007E105A" w14:paraId="7F57F815" w14:textId="77777777" w:rsidTr="00D3730E">
        <w:trPr>
          <w:tblCellSpacing w:w="15" w:type="dxa"/>
        </w:trPr>
        <w:tc>
          <w:tcPr>
            <w:tcW w:w="0" w:type="auto"/>
            <w:vAlign w:val="center"/>
            <w:hideMark/>
          </w:tcPr>
          <w:p w14:paraId="1EB60D6D" w14:textId="77777777" w:rsidR="007E105A" w:rsidRPr="007E105A" w:rsidRDefault="007E105A" w:rsidP="007E105A">
            <w:r w:rsidRPr="007E105A">
              <w:t>Delivery Channel Risk</w:t>
            </w:r>
          </w:p>
        </w:tc>
        <w:tc>
          <w:tcPr>
            <w:tcW w:w="0" w:type="auto"/>
            <w:vAlign w:val="center"/>
            <w:hideMark/>
          </w:tcPr>
          <w:p w14:paraId="492DDBD9" w14:textId="77777777" w:rsidR="007E105A" w:rsidRPr="007E105A" w:rsidRDefault="007E105A" w:rsidP="007E105A">
            <w:r w:rsidRPr="007E105A">
              <w:t>High</w:t>
            </w:r>
          </w:p>
        </w:tc>
      </w:tr>
      <w:tr w:rsidR="007E105A" w:rsidRPr="007E105A" w14:paraId="43C9AC17" w14:textId="77777777" w:rsidTr="00D3730E">
        <w:trPr>
          <w:tblCellSpacing w:w="15" w:type="dxa"/>
        </w:trPr>
        <w:tc>
          <w:tcPr>
            <w:tcW w:w="0" w:type="auto"/>
            <w:vAlign w:val="center"/>
            <w:hideMark/>
          </w:tcPr>
          <w:p w14:paraId="6CD53F2D" w14:textId="77777777" w:rsidR="007E105A" w:rsidRPr="007E105A" w:rsidRDefault="007E105A" w:rsidP="007E105A">
            <w:r w:rsidRPr="007E105A">
              <w:t>Geographic Risk</w:t>
            </w:r>
          </w:p>
        </w:tc>
        <w:tc>
          <w:tcPr>
            <w:tcW w:w="0" w:type="auto"/>
            <w:vAlign w:val="center"/>
            <w:hideMark/>
          </w:tcPr>
          <w:p w14:paraId="4BE5A3CC" w14:textId="77777777" w:rsidR="007E105A" w:rsidRPr="007E105A" w:rsidRDefault="007E105A" w:rsidP="007E105A">
            <w:r w:rsidRPr="007E105A">
              <w:t>Medium</w:t>
            </w:r>
          </w:p>
        </w:tc>
      </w:tr>
    </w:tbl>
    <w:p w14:paraId="2ADBC62C" w14:textId="77777777" w:rsidR="007E105A" w:rsidRPr="007E105A" w:rsidRDefault="007E105A" w:rsidP="00D3730E">
      <w:pPr>
        <w:ind w:left="-709"/>
      </w:pPr>
      <w:r w:rsidRPr="007E105A">
        <w:rPr>
          <w:b/>
          <w:bCs/>
        </w:rPr>
        <w:t>Overall Inherent Risk Rating:</w:t>
      </w:r>
      <w:r w:rsidRPr="007E105A">
        <w:t xml:space="preserve"> </w:t>
      </w:r>
      <w:r w:rsidRPr="007E105A">
        <w:rPr>
          <w:b/>
          <w:bCs/>
        </w:rPr>
        <w:t>High</w:t>
      </w:r>
    </w:p>
    <w:p w14:paraId="73577E48" w14:textId="77777777" w:rsidR="00D3730E" w:rsidRDefault="007E105A" w:rsidP="00D3730E">
      <w:pPr>
        <w:ind w:left="-709"/>
      </w:pPr>
      <w:r w:rsidRPr="007E105A">
        <w:t>This rating reflects the nature of digital payments and global transaction exposure.</w:t>
      </w:r>
    </w:p>
    <w:p w14:paraId="6108BF1A" w14:textId="06ECC557" w:rsidR="007E105A" w:rsidRPr="007E105A" w:rsidRDefault="007E105A" w:rsidP="00D3730E">
      <w:pPr>
        <w:pStyle w:val="ListParagraph"/>
        <w:numPr>
          <w:ilvl w:val="0"/>
          <w:numId w:val="6"/>
        </w:numPr>
      </w:pPr>
      <w:r w:rsidRPr="00D3730E">
        <w:rPr>
          <w:b/>
          <w:bCs/>
        </w:rPr>
        <w:t xml:space="preserve">Mitigation &amp; Control Effectiveness </w:t>
      </w:r>
    </w:p>
    <w:p w14:paraId="279826A2" w14:textId="77777777" w:rsidR="007E105A" w:rsidRPr="007E105A" w:rsidRDefault="007E105A" w:rsidP="00D3730E">
      <w:pPr>
        <w:ind w:left="-709"/>
      </w:pPr>
      <w:r w:rsidRPr="007E105A">
        <w:t xml:space="preserve">The assessment identified and evaluated </w:t>
      </w:r>
      <w:r w:rsidRPr="007E105A">
        <w:rPr>
          <w:b/>
          <w:bCs/>
        </w:rPr>
        <w:t>preventive and detective controls</w:t>
      </w:r>
      <w:r w:rsidRPr="007E105A">
        <w:t>, including:</w:t>
      </w:r>
    </w:p>
    <w:p w14:paraId="130ED4B2" w14:textId="77777777" w:rsidR="007E105A" w:rsidRPr="007E105A" w:rsidRDefault="007E105A" w:rsidP="00D3730E">
      <w:pPr>
        <w:numPr>
          <w:ilvl w:val="0"/>
          <w:numId w:val="3"/>
        </w:numPr>
        <w:ind w:left="0"/>
      </w:pPr>
      <w:r w:rsidRPr="007E105A">
        <w:t>Customer Due Diligence (CDD) and Enhanced Due Diligence (EDD)</w:t>
      </w:r>
    </w:p>
    <w:p w14:paraId="3B025AD9" w14:textId="77777777" w:rsidR="007E105A" w:rsidRPr="007E105A" w:rsidRDefault="007E105A" w:rsidP="00D3730E">
      <w:pPr>
        <w:numPr>
          <w:ilvl w:val="0"/>
          <w:numId w:val="3"/>
        </w:numPr>
        <w:ind w:left="0"/>
      </w:pPr>
      <w:r w:rsidRPr="007E105A">
        <w:t>Beneficial ownership identification</w:t>
      </w:r>
    </w:p>
    <w:p w14:paraId="64641AC9" w14:textId="77777777" w:rsidR="007E105A" w:rsidRPr="007E105A" w:rsidRDefault="007E105A" w:rsidP="00D3730E">
      <w:pPr>
        <w:numPr>
          <w:ilvl w:val="0"/>
          <w:numId w:val="3"/>
        </w:numPr>
        <w:ind w:left="0"/>
      </w:pPr>
      <w:r w:rsidRPr="007E105A">
        <w:t>Transaction monitoring and alert review</w:t>
      </w:r>
    </w:p>
    <w:p w14:paraId="6F6476B2" w14:textId="77777777" w:rsidR="007E105A" w:rsidRPr="007E105A" w:rsidRDefault="007E105A" w:rsidP="00D3730E">
      <w:pPr>
        <w:numPr>
          <w:ilvl w:val="0"/>
          <w:numId w:val="3"/>
        </w:numPr>
        <w:ind w:left="0"/>
      </w:pPr>
      <w:r w:rsidRPr="007E105A">
        <w:t>Sanctions and country-risk screening</w:t>
      </w:r>
    </w:p>
    <w:p w14:paraId="7C2A7728" w14:textId="77777777" w:rsidR="007E105A" w:rsidRPr="007E105A" w:rsidRDefault="007E105A" w:rsidP="00D3730E">
      <w:pPr>
        <w:numPr>
          <w:ilvl w:val="0"/>
          <w:numId w:val="3"/>
        </w:numPr>
        <w:ind w:left="0"/>
      </w:pPr>
      <w:r w:rsidRPr="007E105A">
        <w:t>Access controls and audit logging</w:t>
      </w:r>
    </w:p>
    <w:p w14:paraId="042A3A56" w14:textId="77777777" w:rsidR="007E105A" w:rsidRPr="007E105A" w:rsidRDefault="007E105A" w:rsidP="00D3730E">
      <w:pPr>
        <w:numPr>
          <w:ilvl w:val="0"/>
          <w:numId w:val="3"/>
        </w:numPr>
        <w:ind w:left="0"/>
      </w:pPr>
      <w:r w:rsidRPr="007E105A">
        <w:t>Governance oversight under the Three Lines of Defense model</w:t>
      </w:r>
    </w:p>
    <w:p w14:paraId="25A28261" w14:textId="6805372C" w:rsidR="00D3730E" w:rsidRPr="007E105A" w:rsidRDefault="007E105A" w:rsidP="00D3730E">
      <w:pPr>
        <w:ind w:left="-709"/>
      </w:pPr>
      <w:r w:rsidRPr="007E105A">
        <w:t xml:space="preserve">Controls were assessed as </w:t>
      </w:r>
      <w:r w:rsidRPr="007E105A">
        <w:rPr>
          <w:b/>
          <w:bCs/>
        </w:rPr>
        <w:t>appropriately designed and proportionate</w:t>
      </w:r>
      <w:r w:rsidRPr="007E105A">
        <w:t xml:space="preserve"> to the identified risk</w:t>
      </w:r>
      <w:r w:rsidR="007B3513">
        <w:t>.</w:t>
      </w:r>
    </w:p>
    <w:p w14:paraId="0EE2B67F" w14:textId="77777777" w:rsidR="00D3730E" w:rsidRDefault="007E105A" w:rsidP="007E105A">
      <w:pPr>
        <w:pStyle w:val="ListParagraph"/>
        <w:numPr>
          <w:ilvl w:val="0"/>
          <w:numId w:val="6"/>
        </w:numPr>
        <w:rPr>
          <w:b/>
          <w:bCs/>
        </w:rPr>
      </w:pPr>
      <w:r w:rsidRPr="00D3730E">
        <w:rPr>
          <w:b/>
          <w:bCs/>
        </w:rPr>
        <w:t>Residual Risk Profile (Post-Mitigation)</w:t>
      </w:r>
    </w:p>
    <w:p w14:paraId="71DB2069" w14:textId="04032246" w:rsidR="007E105A" w:rsidRPr="00D3730E" w:rsidRDefault="00D3730E" w:rsidP="00D3730E">
      <w:pPr>
        <w:pStyle w:val="ListParagraph"/>
        <w:ind w:left="-774"/>
        <w:rPr>
          <w:b/>
          <w:bCs/>
        </w:rPr>
      </w:pPr>
      <w:r>
        <w:t xml:space="preserve">  </w:t>
      </w:r>
      <w:r w:rsidR="007E105A" w:rsidRPr="007E105A">
        <w:t>After applying mitigation controls: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5"/>
        <w:gridCol w:w="2194"/>
      </w:tblGrid>
      <w:tr w:rsidR="007E105A" w:rsidRPr="007E105A" w14:paraId="0A1665A6" w14:textId="77777777" w:rsidTr="00D3730E">
        <w:trPr>
          <w:tblHeader/>
          <w:tblCellSpacing w:w="15" w:type="dxa"/>
        </w:trPr>
        <w:tc>
          <w:tcPr>
            <w:tcW w:w="0" w:type="auto"/>
            <w:vAlign w:val="center"/>
            <w:hideMark/>
          </w:tcPr>
          <w:p w14:paraId="7E77468A" w14:textId="77777777" w:rsidR="007E105A" w:rsidRPr="007E105A" w:rsidRDefault="007E105A" w:rsidP="007E105A">
            <w:pPr>
              <w:rPr>
                <w:b/>
                <w:bCs/>
              </w:rPr>
            </w:pPr>
            <w:r w:rsidRPr="007E105A">
              <w:rPr>
                <w:b/>
                <w:bCs/>
              </w:rPr>
              <w:t>Risk Category</w:t>
            </w:r>
          </w:p>
        </w:tc>
        <w:tc>
          <w:tcPr>
            <w:tcW w:w="0" w:type="auto"/>
            <w:vAlign w:val="center"/>
            <w:hideMark/>
          </w:tcPr>
          <w:p w14:paraId="40DA19A3" w14:textId="77777777" w:rsidR="007E105A" w:rsidRPr="007E105A" w:rsidRDefault="007E105A" w:rsidP="007E105A">
            <w:pPr>
              <w:rPr>
                <w:b/>
                <w:bCs/>
              </w:rPr>
            </w:pPr>
            <w:r w:rsidRPr="007E105A">
              <w:rPr>
                <w:b/>
                <w:bCs/>
              </w:rPr>
              <w:t>Residual Risk Level</w:t>
            </w:r>
          </w:p>
        </w:tc>
      </w:tr>
      <w:tr w:rsidR="007E105A" w:rsidRPr="007E105A" w14:paraId="2E3A11D4" w14:textId="77777777" w:rsidTr="00D3730E">
        <w:trPr>
          <w:tblCellSpacing w:w="15" w:type="dxa"/>
        </w:trPr>
        <w:tc>
          <w:tcPr>
            <w:tcW w:w="0" w:type="auto"/>
            <w:vAlign w:val="center"/>
            <w:hideMark/>
          </w:tcPr>
          <w:p w14:paraId="18464635" w14:textId="77777777" w:rsidR="007E105A" w:rsidRPr="007E105A" w:rsidRDefault="007E105A" w:rsidP="007E105A">
            <w:r w:rsidRPr="007E105A">
              <w:t>Customer Risk</w:t>
            </w:r>
          </w:p>
        </w:tc>
        <w:tc>
          <w:tcPr>
            <w:tcW w:w="0" w:type="auto"/>
            <w:vAlign w:val="center"/>
            <w:hideMark/>
          </w:tcPr>
          <w:p w14:paraId="5B001BDF" w14:textId="77777777" w:rsidR="007E105A" w:rsidRPr="007E105A" w:rsidRDefault="007E105A" w:rsidP="007E105A">
            <w:r w:rsidRPr="007E105A">
              <w:t>Medium</w:t>
            </w:r>
          </w:p>
        </w:tc>
      </w:tr>
      <w:tr w:rsidR="007E105A" w:rsidRPr="007E105A" w14:paraId="58737962" w14:textId="77777777" w:rsidTr="00D3730E">
        <w:trPr>
          <w:tblCellSpacing w:w="15" w:type="dxa"/>
        </w:trPr>
        <w:tc>
          <w:tcPr>
            <w:tcW w:w="0" w:type="auto"/>
            <w:vAlign w:val="center"/>
            <w:hideMark/>
          </w:tcPr>
          <w:p w14:paraId="04CAC75D" w14:textId="77777777" w:rsidR="007E105A" w:rsidRPr="007E105A" w:rsidRDefault="007E105A" w:rsidP="007E105A">
            <w:r w:rsidRPr="007E105A">
              <w:t>Product / Service Risk</w:t>
            </w:r>
          </w:p>
        </w:tc>
        <w:tc>
          <w:tcPr>
            <w:tcW w:w="0" w:type="auto"/>
            <w:vAlign w:val="center"/>
            <w:hideMark/>
          </w:tcPr>
          <w:p w14:paraId="724EE9FD" w14:textId="77777777" w:rsidR="007E105A" w:rsidRPr="007E105A" w:rsidRDefault="007E105A" w:rsidP="007E105A">
            <w:r w:rsidRPr="007E105A">
              <w:t>Medium</w:t>
            </w:r>
          </w:p>
        </w:tc>
      </w:tr>
      <w:tr w:rsidR="007E105A" w:rsidRPr="007E105A" w14:paraId="5AF83E41" w14:textId="77777777" w:rsidTr="00D3730E">
        <w:trPr>
          <w:tblCellSpacing w:w="15" w:type="dxa"/>
        </w:trPr>
        <w:tc>
          <w:tcPr>
            <w:tcW w:w="0" w:type="auto"/>
            <w:vAlign w:val="center"/>
            <w:hideMark/>
          </w:tcPr>
          <w:p w14:paraId="610482C9" w14:textId="77777777" w:rsidR="007E105A" w:rsidRPr="007E105A" w:rsidRDefault="007E105A" w:rsidP="007E105A">
            <w:r w:rsidRPr="007E105A">
              <w:t>Delivery Channel Risk</w:t>
            </w:r>
          </w:p>
        </w:tc>
        <w:tc>
          <w:tcPr>
            <w:tcW w:w="0" w:type="auto"/>
            <w:vAlign w:val="center"/>
            <w:hideMark/>
          </w:tcPr>
          <w:p w14:paraId="051A3F3A" w14:textId="77777777" w:rsidR="007E105A" w:rsidRPr="007E105A" w:rsidRDefault="007E105A" w:rsidP="007E105A">
            <w:r w:rsidRPr="007E105A">
              <w:t>Medium</w:t>
            </w:r>
          </w:p>
        </w:tc>
      </w:tr>
      <w:tr w:rsidR="007E105A" w:rsidRPr="007E105A" w14:paraId="04592832" w14:textId="77777777" w:rsidTr="00D3730E">
        <w:trPr>
          <w:tblCellSpacing w:w="15" w:type="dxa"/>
        </w:trPr>
        <w:tc>
          <w:tcPr>
            <w:tcW w:w="0" w:type="auto"/>
            <w:vAlign w:val="center"/>
            <w:hideMark/>
          </w:tcPr>
          <w:p w14:paraId="00792792" w14:textId="77777777" w:rsidR="007E105A" w:rsidRPr="007E105A" w:rsidRDefault="007E105A" w:rsidP="007E105A">
            <w:r w:rsidRPr="007E105A">
              <w:t>Geographic Risk</w:t>
            </w:r>
          </w:p>
        </w:tc>
        <w:tc>
          <w:tcPr>
            <w:tcW w:w="0" w:type="auto"/>
            <w:vAlign w:val="center"/>
            <w:hideMark/>
          </w:tcPr>
          <w:p w14:paraId="42EFCB5B" w14:textId="77777777" w:rsidR="007E105A" w:rsidRPr="007E105A" w:rsidRDefault="007E105A" w:rsidP="007E105A">
            <w:r w:rsidRPr="007E105A">
              <w:t>Low to Medium</w:t>
            </w:r>
          </w:p>
        </w:tc>
      </w:tr>
    </w:tbl>
    <w:p w14:paraId="6B67C5B3" w14:textId="77777777" w:rsidR="007E105A" w:rsidRPr="007E105A" w:rsidRDefault="007E105A" w:rsidP="00D3730E">
      <w:pPr>
        <w:ind w:left="-709"/>
      </w:pPr>
      <w:r w:rsidRPr="007E105A">
        <w:rPr>
          <w:b/>
          <w:bCs/>
        </w:rPr>
        <w:lastRenderedPageBreak/>
        <w:t>Overall Residual Risk Rating:</w:t>
      </w:r>
      <w:r w:rsidRPr="007E105A">
        <w:t xml:space="preserve"> </w:t>
      </w:r>
      <w:r w:rsidRPr="007E105A">
        <w:rPr>
          <w:b/>
          <w:bCs/>
        </w:rPr>
        <w:t>Medium</w:t>
      </w:r>
    </w:p>
    <w:p w14:paraId="4DCC3123" w14:textId="77777777" w:rsidR="00D3730E" w:rsidRDefault="007E105A" w:rsidP="00D3730E">
      <w:pPr>
        <w:ind w:left="-709"/>
      </w:pPr>
      <w:r w:rsidRPr="007E105A">
        <w:t xml:space="preserve">Residual risks are considered </w:t>
      </w:r>
      <w:r w:rsidRPr="007E105A">
        <w:rPr>
          <w:b/>
          <w:bCs/>
        </w:rPr>
        <w:t>manageable and within acceptable risk tolerance</w:t>
      </w:r>
      <w:r w:rsidRPr="007E105A">
        <w:t>, subject to ongoing monitoring.</w:t>
      </w:r>
    </w:p>
    <w:p w14:paraId="03ECBE4C" w14:textId="77777777" w:rsidR="00D3730E" w:rsidRDefault="00D3730E" w:rsidP="00D3730E">
      <w:pPr>
        <w:ind w:left="-709"/>
      </w:pPr>
    </w:p>
    <w:p w14:paraId="3D694C52" w14:textId="14484620" w:rsidR="007E105A" w:rsidRPr="007E105A" w:rsidRDefault="007E105A" w:rsidP="00D3730E">
      <w:pPr>
        <w:pStyle w:val="ListParagraph"/>
        <w:numPr>
          <w:ilvl w:val="0"/>
          <w:numId w:val="6"/>
        </w:numPr>
      </w:pPr>
      <w:r w:rsidRPr="00D3730E">
        <w:rPr>
          <w:b/>
          <w:bCs/>
        </w:rPr>
        <w:t>Risk Acceptance &amp; Management Conclusion</w:t>
      </w:r>
    </w:p>
    <w:p w14:paraId="0BA1B5E4" w14:textId="77777777" w:rsidR="007E105A" w:rsidRPr="007E105A" w:rsidRDefault="007E105A" w:rsidP="00D3730E">
      <w:pPr>
        <w:ind w:left="-567"/>
      </w:pPr>
      <w:r w:rsidRPr="007E105A">
        <w:t>Based on the assessment results, residual AML risks are assessed to be within acceptable tolerance levels. Risks rated as Medium are subject to continuous monitoring and periodic review, while Low residual risks are managed through standard controls.</w:t>
      </w:r>
    </w:p>
    <w:p w14:paraId="55CBA5F9" w14:textId="77777777" w:rsidR="007E105A" w:rsidRPr="007E105A" w:rsidRDefault="007E105A" w:rsidP="00D3730E">
      <w:pPr>
        <w:ind w:left="-567"/>
      </w:pPr>
      <w:r w:rsidRPr="007E105A">
        <w:t>No Critical residual risks were identified requiring immediate remediation.</w:t>
      </w:r>
    </w:p>
    <w:p w14:paraId="3EFE0763" w14:textId="33381FD4" w:rsidR="007E105A" w:rsidRPr="00D3730E" w:rsidRDefault="007E105A" w:rsidP="00D3730E">
      <w:pPr>
        <w:pStyle w:val="ListParagraph"/>
        <w:numPr>
          <w:ilvl w:val="0"/>
          <w:numId w:val="6"/>
        </w:numPr>
        <w:rPr>
          <w:b/>
          <w:bCs/>
        </w:rPr>
      </w:pPr>
      <w:r w:rsidRPr="00D3730E">
        <w:rPr>
          <w:b/>
          <w:bCs/>
        </w:rPr>
        <w:t>Governance &amp; Oversight Assurance</w:t>
      </w:r>
    </w:p>
    <w:p w14:paraId="326E2A2C" w14:textId="77777777" w:rsidR="007E105A" w:rsidRPr="007E105A" w:rsidRDefault="007E105A" w:rsidP="00D3730E">
      <w:pPr>
        <w:ind w:left="-709"/>
      </w:pPr>
      <w:r w:rsidRPr="007E105A">
        <w:t>AML risk management is supported by:</w:t>
      </w:r>
    </w:p>
    <w:p w14:paraId="4754AAAF" w14:textId="77777777" w:rsidR="007E105A" w:rsidRPr="007E105A" w:rsidRDefault="007E105A" w:rsidP="00D3730E">
      <w:pPr>
        <w:numPr>
          <w:ilvl w:val="0"/>
          <w:numId w:val="4"/>
        </w:numPr>
        <w:ind w:left="-142"/>
      </w:pPr>
      <w:r w:rsidRPr="007E105A">
        <w:t xml:space="preserve">Clear accountability under the </w:t>
      </w:r>
      <w:r w:rsidRPr="007E105A">
        <w:rPr>
          <w:b/>
          <w:bCs/>
        </w:rPr>
        <w:t>Three Lines of Defense</w:t>
      </w:r>
    </w:p>
    <w:p w14:paraId="1624C71B" w14:textId="77777777" w:rsidR="007E105A" w:rsidRPr="007E105A" w:rsidRDefault="007E105A" w:rsidP="00D3730E">
      <w:pPr>
        <w:numPr>
          <w:ilvl w:val="0"/>
          <w:numId w:val="4"/>
        </w:numPr>
        <w:ind w:left="-142"/>
      </w:pPr>
      <w:r w:rsidRPr="007E105A">
        <w:t>Ongoing compliance oversight</w:t>
      </w:r>
    </w:p>
    <w:p w14:paraId="1BF70DE2" w14:textId="77777777" w:rsidR="007E105A" w:rsidRPr="007E105A" w:rsidRDefault="007E105A" w:rsidP="00D3730E">
      <w:pPr>
        <w:numPr>
          <w:ilvl w:val="0"/>
          <w:numId w:val="4"/>
        </w:numPr>
        <w:ind w:left="-142"/>
      </w:pPr>
      <w:r w:rsidRPr="007E105A">
        <w:t>Independent assurance through audit and review mechanisms</w:t>
      </w:r>
    </w:p>
    <w:p w14:paraId="6FDC5DFB" w14:textId="77777777" w:rsidR="007E105A" w:rsidRPr="007E105A" w:rsidRDefault="007E105A" w:rsidP="00D3730E">
      <w:pPr>
        <w:numPr>
          <w:ilvl w:val="0"/>
          <w:numId w:val="4"/>
        </w:numPr>
        <w:ind w:left="-142"/>
      </w:pPr>
      <w:r w:rsidRPr="007E105A">
        <w:t>Senior management oversight and reporting</w:t>
      </w:r>
    </w:p>
    <w:p w14:paraId="740E5FF0" w14:textId="77777777" w:rsidR="007E105A" w:rsidRPr="007E105A" w:rsidRDefault="007E105A" w:rsidP="00D3730E">
      <w:pPr>
        <w:ind w:left="-709"/>
      </w:pPr>
      <w:r w:rsidRPr="007E105A">
        <w:t xml:space="preserve">This governance structure supports </w:t>
      </w:r>
      <w:r w:rsidRPr="007E105A">
        <w:rPr>
          <w:b/>
          <w:bCs/>
        </w:rPr>
        <w:t>effective AML risk management and regulatory alignment</w:t>
      </w:r>
      <w:r w:rsidRPr="007E105A">
        <w:t>.</w:t>
      </w:r>
    </w:p>
    <w:p w14:paraId="668380D5" w14:textId="7901B98D" w:rsidR="007E105A" w:rsidRDefault="007E105A" w:rsidP="007E105A"/>
    <w:p w14:paraId="3912301C" w14:textId="77777777" w:rsidR="00D3730E" w:rsidRDefault="00D3730E" w:rsidP="007E105A"/>
    <w:p w14:paraId="048D72F7" w14:textId="77777777" w:rsidR="00D3730E" w:rsidRPr="007E105A" w:rsidRDefault="00D3730E" w:rsidP="007E105A"/>
    <w:p w14:paraId="5DF254F4" w14:textId="2BF6FCE6" w:rsidR="007E105A" w:rsidRPr="00D3730E" w:rsidRDefault="007E105A" w:rsidP="00D3730E">
      <w:pPr>
        <w:pStyle w:val="ListParagraph"/>
        <w:numPr>
          <w:ilvl w:val="0"/>
          <w:numId w:val="6"/>
        </w:numPr>
        <w:rPr>
          <w:b/>
          <w:bCs/>
        </w:rPr>
      </w:pPr>
      <w:r w:rsidRPr="00D3730E">
        <w:rPr>
          <w:b/>
          <w:bCs/>
        </w:rPr>
        <w:t>Key Management Takeaways</w:t>
      </w:r>
    </w:p>
    <w:p w14:paraId="34B1EBDC" w14:textId="77777777" w:rsidR="007E105A" w:rsidRPr="007E105A" w:rsidRDefault="007E105A" w:rsidP="00D3730E">
      <w:pPr>
        <w:numPr>
          <w:ilvl w:val="0"/>
          <w:numId w:val="5"/>
        </w:numPr>
        <w:tabs>
          <w:tab w:val="clear" w:pos="720"/>
          <w:tab w:val="num" w:pos="426"/>
        </w:tabs>
        <w:ind w:left="-284"/>
      </w:pPr>
      <w:r w:rsidRPr="007E105A">
        <w:t xml:space="preserve">AML risks are </w:t>
      </w:r>
      <w:r w:rsidRPr="007E105A">
        <w:rPr>
          <w:b/>
          <w:bCs/>
        </w:rPr>
        <w:t>inherent to digital payment platforms</w:t>
      </w:r>
      <w:r w:rsidRPr="007E105A">
        <w:t xml:space="preserve"> but are </w:t>
      </w:r>
      <w:r w:rsidRPr="007E105A">
        <w:rPr>
          <w:b/>
          <w:bCs/>
        </w:rPr>
        <w:t>well understood</w:t>
      </w:r>
    </w:p>
    <w:p w14:paraId="28B21AE2" w14:textId="77777777" w:rsidR="007E105A" w:rsidRPr="007E105A" w:rsidRDefault="007E105A" w:rsidP="00D3730E">
      <w:pPr>
        <w:numPr>
          <w:ilvl w:val="0"/>
          <w:numId w:val="5"/>
        </w:numPr>
        <w:tabs>
          <w:tab w:val="clear" w:pos="720"/>
          <w:tab w:val="num" w:pos="426"/>
        </w:tabs>
        <w:ind w:left="-284"/>
      </w:pPr>
      <w:r w:rsidRPr="007E105A">
        <w:t xml:space="preserve">Controls are </w:t>
      </w:r>
      <w:r w:rsidRPr="007E105A">
        <w:rPr>
          <w:b/>
          <w:bCs/>
        </w:rPr>
        <w:t>risk-based, proportionate, and effective</w:t>
      </w:r>
    </w:p>
    <w:p w14:paraId="53BE2046" w14:textId="77777777" w:rsidR="007E105A" w:rsidRPr="007E105A" w:rsidRDefault="007E105A" w:rsidP="00D3730E">
      <w:pPr>
        <w:numPr>
          <w:ilvl w:val="0"/>
          <w:numId w:val="5"/>
        </w:numPr>
        <w:tabs>
          <w:tab w:val="clear" w:pos="720"/>
          <w:tab w:val="num" w:pos="426"/>
        </w:tabs>
        <w:ind w:left="-284"/>
      </w:pPr>
      <w:r w:rsidRPr="007E105A">
        <w:t xml:space="preserve">Residual risk is </w:t>
      </w:r>
      <w:r w:rsidRPr="007E105A">
        <w:rPr>
          <w:b/>
          <w:bCs/>
        </w:rPr>
        <w:t>moderate and manageable</w:t>
      </w:r>
    </w:p>
    <w:p w14:paraId="3FE904E8" w14:textId="77777777" w:rsidR="007E105A" w:rsidRPr="007E105A" w:rsidRDefault="007E105A" w:rsidP="00D3730E">
      <w:pPr>
        <w:numPr>
          <w:ilvl w:val="0"/>
          <w:numId w:val="5"/>
        </w:numPr>
        <w:tabs>
          <w:tab w:val="clear" w:pos="720"/>
          <w:tab w:val="num" w:pos="426"/>
        </w:tabs>
        <w:ind w:left="-284"/>
      </w:pPr>
      <w:r w:rsidRPr="007E105A">
        <w:t xml:space="preserve">Governance and oversight arrangements are </w:t>
      </w:r>
      <w:r w:rsidRPr="007E105A">
        <w:rPr>
          <w:b/>
          <w:bCs/>
        </w:rPr>
        <w:t>appropriately structured</w:t>
      </w:r>
    </w:p>
    <w:p w14:paraId="696E0C33" w14:textId="77777777" w:rsidR="007E105A" w:rsidRDefault="007E105A" w:rsidP="00D3730E">
      <w:pPr>
        <w:numPr>
          <w:ilvl w:val="0"/>
          <w:numId w:val="5"/>
        </w:numPr>
        <w:tabs>
          <w:tab w:val="clear" w:pos="720"/>
          <w:tab w:val="num" w:pos="426"/>
        </w:tabs>
        <w:ind w:left="-284"/>
      </w:pPr>
      <w:r w:rsidRPr="007E105A">
        <w:t>Continued focus on monitoring and periodic reassessment is recommended</w:t>
      </w:r>
    </w:p>
    <w:p w14:paraId="480A089B" w14:textId="77777777" w:rsidR="00F21FAD" w:rsidRDefault="00F21FAD" w:rsidP="00F21FAD"/>
    <w:p w14:paraId="4072A08C" w14:textId="77777777" w:rsidR="00F21FAD" w:rsidRDefault="00F21FAD" w:rsidP="00F21FAD"/>
    <w:p w14:paraId="7DCE6FA8" w14:textId="77777777" w:rsidR="00F21FAD" w:rsidRPr="00F21FAD" w:rsidRDefault="00F21FAD" w:rsidP="00F21FAD">
      <w:pPr>
        <w:ind w:left="-1276"/>
        <w:rPr>
          <w:b/>
          <w:bCs/>
        </w:rPr>
      </w:pPr>
      <w:r w:rsidRPr="00F21FAD">
        <w:rPr>
          <w:b/>
          <w:bCs/>
        </w:rPr>
        <w:lastRenderedPageBreak/>
        <w:t>References (APA 7th Edition)</w:t>
      </w:r>
    </w:p>
    <w:p w14:paraId="739E7B10" w14:textId="77777777" w:rsidR="00F21FAD" w:rsidRPr="00F21FAD" w:rsidRDefault="00F21FAD" w:rsidP="00F21FAD">
      <w:pPr>
        <w:ind w:left="-1134"/>
        <w:rPr>
          <w:b/>
          <w:bCs/>
        </w:rPr>
      </w:pPr>
      <w:r w:rsidRPr="00F21FAD">
        <w:rPr>
          <w:b/>
          <w:bCs/>
        </w:rPr>
        <w:t>Institutional &amp; Company Information</w:t>
      </w:r>
    </w:p>
    <w:p w14:paraId="21E3F88B" w14:textId="59C00EBB" w:rsidR="00F21FAD" w:rsidRPr="00F21FAD" w:rsidRDefault="00F21FAD" w:rsidP="00F21FAD">
      <w:pPr>
        <w:ind w:left="-1134"/>
      </w:pPr>
      <w:proofErr w:type="spellStart"/>
      <w:r w:rsidRPr="00F21FAD">
        <w:t>EBizCharge</w:t>
      </w:r>
      <w:proofErr w:type="spellEnd"/>
      <w:r w:rsidRPr="00F21FAD">
        <w:t xml:space="preserve">. (n.d.). </w:t>
      </w:r>
      <w:r w:rsidRPr="00F21FAD">
        <w:rPr>
          <w:i/>
          <w:iCs/>
        </w:rPr>
        <w:t xml:space="preserve">About </w:t>
      </w:r>
      <w:proofErr w:type="spellStart"/>
      <w:r w:rsidRPr="00F21FAD">
        <w:rPr>
          <w:i/>
          <w:iCs/>
        </w:rPr>
        <w:t>EBizCharge</w:t>
      </w:r>
      <w:proofErr w:type="spellEnd"/>
      <w:r w:rsidRPr="00F21FAD">
        <w:t xml:space="preserve">. Retrieved from </w:t>
      </w:r>
      <w:hyperlink r:id="rId5" w:history="1">
        <w:r w:rsidRPr="00F21FAD">
          <w:rPr>
            <w:rStyle w:val="Hyperlink"/>
          </w:rPr>
          <w:t>https://www.ebizcharge.com</w:t>
        </w:r>
      </w:hyperlink>
    </w:p>
    <w:p w14:paraId="41C2BD58" w14:textId="73B4FB6F" w:rsidR="00F21FAD" w:rsidRPr="00F21FAD" w:rsidRDefault="00F21FAD" w:rsidP="00F21FAD">
      <w:pPr>
        <w:ind w:left="-1134"/>
      </w:pPr>
      <w:proofErr w:type="spellStart"/>
      <w:r w:rsidRPr="00F21FAD">
        <w:t>EBizCharge</w:t>
      </w:r>
      <w:proofErr w:type="spellEnd"/>
      <w:r w:rsidRPr="00F21FAD">
        <w:t xml:space="preserve">. (n.d.). </w:t>
      </w:r>
      <w:r w:rsidRPr="00F21FAD">
        <w:rPr>
          <w:i/>
          <w:iCs/>
        </w:rPr>
        <w:t>Products and payment solutions</w:t>
      </w:r>
      <w:r w:rsidRPr="00F21FAD">
        <w:t xml:space="preserve">. Retrieved from </w:t>
      </w:r>
      <w:hyperlink r:id="rId6" w:history="1">
        <w:r w:rsidRPr="00F21FAD">
          <w:rPr>
            <w:rStyle w:val="Hyperlink"/>
          </w:rPr>
          <w:t>https://www.ebizcharge.com</w:t>
        </w:r>
      </w:hyperlink>
    </w:p>
    <w:p w14:paraId="3B582185" w14:textId="3EA38A4C" w:rsidR="00F21FAD" w:rsidRPr="00F21FAD" w:rsidRDefault="00F21FAD" w:rsidP="00F21FAD">
      <w:pPr>
        <w:ind w:left="-1134"/>
      </w:pPr>
      <w:proofErr w:type="spellStart"/>
      <w:r w:rsidRPr="00F21FAD">
        <w:t>EBizCharge</w:t>
      </w:r>
      <w:proofErr w:type="spellEnd"/>
      <w:r w:rsidRPr="00F21FAD">
        <w:t xml:space="preserve">. (n.d.). </w:t>
      </w:r>
      <w:r w:rsidRPr="00F21FAD">
        <w:rPr>
          <w:i/>
          <w:iCs/>
        </w:rPr>
        <w:t>Security and compliance</w:t>
      </w:r>
      <w:r w:rsidRPr="00F21FAD">
        <w:t xml:space="preserve">. Retrieved from </w:t>
      </w:r>
      <w:hyperlink r:id="rId7" w:history="1">
        <w:r w:rsidRPr="00F21FAD">
          <w:rPr>
            <w:rStyle w:val="Hyperlink"/>
          </w:rPr>
          <w:t>https://www.ebizcharge.com</w:t>
        </w:r>
      </w:hyperlink>
    </w:p>
    <w:p w14:paraId="3F0AB2F3" w14:textId="77777777" w:rsidR="00F21FAD" w:rsidRPr="00F21FAD" w:rsidRDefault="00F21FAD" w:rsidP="00F21FAD">
      <w:pPr>
        <w:ind w:left="-1134"/>
        <w:rPr>
          <w:b/>
          <w:bCs/>
        </w:rPr>
      </w:pPr>
      <w:r w:rsidRPr="00F21FAD">
        <w:rPr>
          <w:b/>
          <w:bCs/>
        </w:rPr>
        <w:t>International AML Standards &amp; Risk-Based Frameworks</w:t>
      </w:r>
    </w:p>
    <w:p w14:paraId="187FE0A2" w14:textId="77777777" w:rsidR="00F21FAD" w:rsidRPr="00F21FAD" w:rsidRDefault="00F21FAD" w:rsidP="00F21FAD">
      <w:pPr>
        <w:ind w:left="-1134"/>
      </w:pPr>
      <w:r w:rsidRPr="00F21FAD">
        <w:t xml:space="preserve">Financial Action Task Force. (2014). </w:t>
      </w:r>
      <w:r w:rsidRPr="00F21FAD">
        <w:rPr>
          <w:i/>
          <w:iCs/>
        </w:rPr>
        <w:t>Guidance on the risk-based approach for the banking sector</w:t>
      </w:r>
      <w:r w:rsidRPr="00F21FAD">
        <w:t xml:space="preserve">. </w:t>
      </w:r>
      <w:hyperlink r:id="rId8" w:tgtFrame="_new" w:history="1">
        <w:r w:rsidRPr="00F21FAD">
          <w:rPr>
            <w:rStyle w:val="Hyperlink"/>
          </w:rPr>
          <w:t>https://www.fatf-gafi.org</w:t>
        </w:r>
      </w:hyperlink>
    </w:p>
    <w:p w14:paraId="7CD95DD8" w14:textId="77777777" w:rsidR="00F21FAD" w:rsidRPr="00F21FAD" w:rsidRDefault="00F21FAD" w:rsidP="00F21FAD">
      <w:pPr>
        <w:ind w:left="-1134"/>
      </w:pPr>
      <w:r w:rsidRPr="00F21FAD">
        <w:t xml:space="preserve">Financial Action Task Force. (2019). </w:t>
      </w:r>
      <w:r w:rsidRPr="00F21FAD">
        <w:rPr>
          <w:i/>
          <w:iCs/>
        </w:rPr>
        <w:t>Risk-based approach guidance for AML/CFT</w:t>
      </w:r>
      <w:r w:rsidRPr="00F21FAD">
        <w:t xml:space="preserve">. </w:t>
      </w:r>
      <w:hyperlink r:id="rId9" w:tgtFrame="_new" w:history="1">
        <w:r w:rsidRPr="00F21FAD">
          <w:rPr>
            <w:rStyle w:val="Hyperlink"/>
          </w:rPr>
          <w:t>https://www.fatf-gafi.org</w:t>
        </w:r>
      </w:hyperlink>
    </w:p>
    <w:p w14:paraId="1BC5EDC4" w14:textId="402C7C47" w:rsidR="00F21FAD" w:rsidRPr="00F21FAD" w:rsidRDefault="00F21FAD" w:rsidP="00F21FAD">
      <w:pPr>
        <w:ind w:left="-1134"/>
      </w:pPr>
      <w:r w:rsidRPr="00F21FAD">
        <w:t xml:space="preserve">Financial Action Task Force. (2021). </w:t>
      </w:r>
      <w:r w:rsidRPr="00F21FAD">
        <w:rPr>
          <w:i/>
          <w:iCs/>
        </w:rPr>
        <w:t>Guidance on AML/CFT and digital payments</w:t>
      </w:r>
      <w:r w:rsidRPr="00F21FAD">
        <w:t xml:space="preserve">. </w:t>
      </w:r>
      <w:hyperlink r:id="rId10" w:tgtFrame="_new" w:history="1">
        <w:r w:rsidRPr="00F21FAD">
          <w:rPr>
            <w:rStyle w:val="Hyperlink"/>
          </w:rPr>
          <w:t>https://www.fatf-gafi.org</w:t>
        </w:r>
      </w:hyperlink>
    </w:p>
    <w:p w14:paraId="133F38A5" w14:textId="77777777" w:rsidR="00F21FAD" w:rsidRPr="00F21FAD" w:rsidRDefault="00F21FAD" w:rsidP="00F21FAD">
      <w:pPr>
        <w:ind w:left="-1134"/>
        <w:rPr>
          <w:b/>
          <w:bCs/>
        </w:rPr>
      </w:pPr>
      <w:r w:rsidRPr="00F21FAD">
        <w:rPr>
          <w:b/>
          <w:bCs/>
        </w:rPr>
        <w:t>Financial Crime Typologies &amp; Regulatory Guidance</w:t>
      </w:r>
    </w:p>
    <w:p w14:paraId="7B6CCD82" w14:textId="77777777" w:rsidR="00F21FAD" w:rsidRPr="00F21FAD" w:rsidRDefault="00F21FAD" w:rsidP="00F21FAD">
      <w:pPr>
        <w:ind w:left="-1134"/>
      </w:pPr>
      <w:r w:rsidRPr="00F21FAD">
        <w:t xml:space="preserve">Financial Crimes Enforcement Network. (n.d.). </w:t>
      </w:r>
      <w:r w:rsidRPr="00F21FAD">
        <w:rPr>
          <w:i/>
          <w:iCs/>
        </w:rPr>
        <w:t>Advisories and guidance on money laundering typologies</w:t>
      </w:r>
      <w:r w:rsidRPr="00F21FAD">
        <w:t xml:space="preserve">. </w:t>
      </w:r>
      <w:hyperlink r:id="rId11" w:tgtFrame="_new" w:history="1">
        <w:r w:rsidRPr="00F21FAD">
          <w:rPr>
            <w:rStyle w:val="Hyperlink"/>
          </w:rPr>
          <w:t>https://www.fincen.gov</w:t>
        </w:r>
      </w:hyperlink>
    </w:p>
    <w:p w14:paraId="1814DD94" w14:textId="77777777" w:rsidR="00F21FAD" w:rsidRPr="00F21FAD" w:rsidRDefault="00F21FAD" w:rsidP="00F21FAD">
      <w:pPr>
        <w:ind w:left="-1134"/>
      </w:pPr>
      <w:r w:rsidRPr="00F21FAD">
        <w:t xml:space="preserve">Office of Foreign Assets Control. (n.d.). </w:t>
      </w:r>
      <w:r w:rsidRPr="00F21FAD">
        <w:rPr>
          <w:i/>
          <w:iCs/>
        </w:rPr>
        <w:t>Sanctions programs and country information</w:t>
      </w:r>
      <w:r w:rsidRPr="00F21FAD">
        <w:t xml:space="preserve">. </w:t>
      </w:r>
      <w:hyperlink r:id="rId12" w:tgtFrame="_new" w:history="1">
        <w:r w:rsidRPr="00F21FAD">
          <w:rPr>
            <w:rStyle w:val="Hyperlink"/>
          </w:rPr>
          <w:t>https://ofac.treasury.gov</w:t>
        </w:r>
      </w:hyperlink>
    </w:p>
    <w:p w14:paraId="58F14454" w14:textId="55AFD771" w:rsidR="00F21FAD" w:rsidRPr="00F21FAD" w:rsidRDefault="00F21FAD" w:rsidP="00F21FAD">
      <w:pPr>
        <w:ind w:left="-1134"/>
      </w:pPr>
      <w:r w:rsidRPr="00F21FAD">
        <w:t xml:space="preserve">United Nations Security Council. (n.d.). </w:t>
      </w:r>
      <w:r w:rsidRPr="00F21FAD">
        <w:rPr>
          <w:i/>
          <w:iCs/>
        </w:rPr>
        <w:t>Security Council sanctions regimes</w:t>
      </w:r>
      <w:r w:rsidRPr="00F21FAD">
        <w:t xml:space="preserve">. </w:t>
      </w:r>
      <w:hyperlink r:id="rId13" w:history="1">
        <w:r w:rsidRPr="00F21FAD">
          <w:rPr>
            <w:rStyle w:val="Hyperlink"/>
          </w:rPr>
          <w:t>https://www.un.org/securitycouncil/sanctions</w:t>
        </w:r>
      </w:hyperlink>
    </w:p>
    <w:p w14:paraId="3AD737D6" w14:textId="77777777" w:rsidR="00F21FAD" w:rsidRPr="00F21FAD" w:rsidRDefault="00F21FAD" w:rsidP="00F21FAD">
      <w:pPr>
        <w:ind w:left="-1134"/>
        <w:rPr>
          <w:b/>
          <w:bCs/>
        </w:rPr>
      </w:pPr>
      <w:r w:rsidRPr="00F21FAD">
        <w:rPr>
          <w:b/>
          <w:bCs/>
        </w:rPr>
        <w:t>Risk Management, Payments &amp; Governance</w:t>
      </w:r>
    </w:p>
    <w:p w14:paraId="6D85E71A" w14:textId="77777777" w:rsidR="00F21FAD" w:rsidRPr="00F21FAD" w:rsidRDefault="00F21FAD" w:rsidP="00F21FAD">
      <w:pPr>
        <w:ind w:left="-1134"/>
      </w:pPr>
      <w:r w:rsidRPr="00F21FAD">
        <w:t xml:space="preserve">Bank for International Settlements. (2018). </w:t>
      </w:r>
      <w:r w:rsidRPr="00F21FAD">
        <w:rPr>
          <w:i/>
          <w:iCs/>
        </w:rPr>
        <w:t>Sound management of risks related to money laundering and financing of terrorism</w:t>
      </w:r>
      <w:r w:rsidRPr="00F21FAD">
        <w:t xml:space="preserve">. </w:t>
      </w:r>
      <w:hyperlink r:id="rId14" w:tgtFrame="_new" w:history="1">
        <w:r w:rsidRPr="00F21FAD">
          <w:rPr>
            <w:rStyle w:val="Hyperlink"/>
          </w:rPr>
          <w:t>https://www.bis.org</w:t>
        </w:r>
      </w:hyperlink>
    </w:p>
    <w:p w14:paraId="44FFD2E5" w14:textId="77777777" w:rsidR="00F21FAD" w:rsidRPr="00F21FAD" w:rsidRDefault="00F21FAD" w:rsidP="00F21FAD">
      <w:pPr>
        <w:ind w:left="-1134"/>
      </w:pPr>
      <w:r w:rsidRPr="00F21FAD">
        <w:t xml:space="preserve">Basel Committee on Banking Supervision. (2015). </w:t>
      </w:r>
      <w:r w:rsidRPr="00F21FAD">
        <w:rPr>
          <w:i/>
          <w:iCs/>
        </w:rPr>
        <w:t>Guidelines on corporate governance principles for banks</w:t>
      </w:r>
      <w:r w:rsidRPr="00F21FAD">
        <w:t xml:space="preserve">. </w:t>
      </w:r>
      <w:hyperlink r:id="rId15" w:tgtFrame="_new" w:history="1">
        <w:r w:rsidRPr="00F21FAD">
          <w:rPr>
            <w:rStyle w:val="Hyperlink"/>
          </w:rPr>
          <w:t>https://www.bis.org</w:t>
        </w:r>
      </w:hyperlink>
    </w:p>
    <w:p w14:paraId="35D735CD" w14:textId="4BE3344E" w:rsidR="00F21FAD" w:rsidRPr="00F21FAD" w:rsidRDefault="00F21FAD" w:rsidP="00F21FAD">
      <w:pPr>
        <w:ind w:left="-1134"/>
      </w:pPr>
      <w:r w:rsidRPr="00F21FAD">
        <w:t xml:space="preserve">Institute of Internal Auditors. (2020). </w:t>
      </w:r>
      <w:r w:rsidRPr="00F21FAD">
        <w:rPr>
          <w:i/>
          <w:iCs/>
        </w:rPr>
        <w:t>The three lines model: An update of the three lines of defense</w:t>
      </w:r>
      <w:r w:rsidRPr="00F21FAD">
        <w:t xml:space="preserve">. </w:t>
      </w:r>
      <w:hyperlink r:id="rId16" w:tgtFrame="_new" w:history="1">
        <w:r w:rsidRPr="00F21FAD">
          <w:rPr>
            <w:rStyle w:val="Hyperlink"/>
          </w:rPr>
          <w:t>https://www.theiia.org</w:t>
        </w:r>
      </w:hyperlink>
    </w:p>
    <w:p w14:paraId="1C37CED2" w14:textId="77777777" w:rsidR="00F21FAD" w:rsidRPr="00F21FAD" w:rsidRDefault="00F21FAD" w:rsidP="00F21FAD">
      <w:pPr>
        <w:ind w:left="-1134"/>
        <w:rPr>
          <w:b/>
          <w:bCs/>
        </w:rPr>
      </w:pPr>
      <w:r w:rsidRPr="00F21FAD">
        <w:rPr>
          <w:b/>
          <w:bCs/>
        </w:rPr>
        <w:t>Risk Assessment &amp; Methodology References</w:t>
      </w:r>
    </w:p>
    <w:p w14:paraId="2405FD7F" w14:textId="77777777" w:rsidR="00F21FAD" w:rsidRPr="00F21FAD" w:rsidRDefault="00F21FAD" w:rsidP="00F21FAD">
      <w:pPr>
        <w:ind w:left="-1134"/>
      </w:pPr>
      <w:r w:rsidRPr="00F21FAD">
        <w:t xml:space="preserve">Committee of Sponsoring Organizations of the Treadway Commission. (2017). </w:t>
      </w:r>
      <w:r w:rsidRPr="00F21FAD">
        <w:rPr>
          <w:i/>
          <w:iCs/>
        </w:rPr>
        <w:t>Enterprise risk management—Integrating with strategy and performance</w:t>
      </w:r>
      <w:r w:rsidRPr="00F21FAD">
        <w:t xml:space="preserve">. </w:t>
      </w:r>
      <w:hyperlink r:id="rId17" w:tgtFrame="_new" w:history="1">
        <w:r w:rsidRPr="00F21FAD">
          <w:rPr>
            <w:rStyle w:val="Hyperlink"/>
          </w:rPr>
          <w:t>https://www.coso.org</w:t>
        </w:r>
      </w:hyperlink>
    </w:p>
    <w:p w14:paraId="38176CAD" w14:textId="77777777" w:rsidR="00F21FAD" w:rsidRPr="007E105A" w:rsidRDefault="00F21FAD" w:rsidP="00F21FAD"/>
    <w:p w14:paraId="1F3F8FE3" w14:textId="77777777" w:rsidR="00272B46" w:rsidRDefault="00272B46"/>
    <w:sectPr w:rsidR="00272B46" w:rsidSect="00D3730E">
      <w:pgSz w:w="12240" w:h="15840"/>
      <w:pgMar w:top="1440" w:right="333"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B578B"/>
    <w:multiLevelType w:val="multilevel"/>
    <w:tmpl w:val="6A56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31395"/>
    <w:multiLevelType w:val="multilevel"/>
    <w:tmpl w:val="B902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C170C"/>
    <w:multiLevelType w:val="multilevel"/>
    <w:tmpl w:val="CB78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541D12"/>
    <w:multiLevelType w:val="hybridMultilevel"/>
    <w:tmpl w:val="A0E64A66"/>
    <w:lvl w:ilvl="0" w:tplc="16229D72">
      <w:start w:val="1"/>
      <w:numFmt w:val="decimal"/>
      <w:lvlText w:val="%1."/>
      <w:lvlJc w:val="left"/>
      <w:pPr>
        <w:ind w:left="-774" w:hanging="360"/>
      </w:pPr>
      <w:rPr>
        <w:rFonts w:hint="default"/>
        <w:b/>
      </w:rPr>
    </w:lvl>
    <w:lvl w:ilvl="1" w:tplc="10090019" w:tentative="1">
      <w:start w:val="1"/>
      <w:numFmt w:val="lowerLetter"/>
      <w:lvlText w:val="%2."/>
      <w:lvlJc w:val="left"/>
      <w:pPr>
        <w:ind w:left="-54" w:hanging="360"/>
      </w:pPr>
    </w:lvl>
    <w:lvl w:ilvl="2" w:tplc="1009001B" w:tentative="1">
      <w:start w:val="1"/>
      <w:numFmt w:val="lowerRoman"/>
      <w:lvlText w:val="%3."/>
      <w:lvlJc w:val="right"/>
      <w:pPr>
        <w:ind w:left="666" w:hanging="180"/>
      </w:pPr>
    </w:lvl>
    <w:lvl w:ilvl="3" w:tplc="1009000F" w:tentative="1">
      <w:start w:val="1"/>
      <w:numFmt w:val="decimal"/>
      <w:lvlText w:val="%4."/>
      <w:lvlJc w:val="left"/>
      <w:pPr>
        <w:ind w:left="1386" w:hanging="360"/>
      </w:pPr>
    </w:lvl>
    <w:lvl w:ilvl="4" w:tplc="10090019" w:tentative="1">
      <w:start w:val="1"/>
      <w:numFmt w:val="lowerLetter"/>
      <w:lvlText w:val="%5."/>
      <w:lvlJc w:val="left"/>
      <w:pPr>
        <w:ind w:left="2106" w:hanging="360"/>
      </w:pPr>
    </w:lvl>
    <w:lvl w:ilvl="5" w:tplc="1009001B" w:tentative="1">
      <w:start w:val="1"/>
      <w:numFmt w:val="lowerRoman"/>
      <w:lvlText w:val="%6."/>
      <w:lvlJc w:val="right"/>
      <w:pPr>
        <w:ind w:left="2826" w:hanging="180"/>
      </w:pPr>
    </w:lvl>
    <w:lvl w:ilvl="6" w:tplc="1009000F" w:tentative="1">
      <w:start w:val="1"/>
      <w:numFmt w:val="decimal"/>
      <w:lvlText w:val="%7."/>
      <w:lvlJc w:val="left"/>
      <w:pPr>
        <w:ind w:left="3546" w:hanging="360"/>
      </w:pPr>
    </w:lvl>
    <w:lvl w:ilvl="7" w:tplc="10090019" w:tentative="1">
      <w:start w:val="1"/>
      <w:numFmt w:val="lowerLetter"/>
      <w:lvlText w:val="%8."/>
      <w:lvlJc w:val="left"/>
      <w:pPr>
        <w:ind w:left="4266" w:hanging="360"/>
      </w:pPr>
    </w:lvl>
    <w:lvl w:ilvl="8" w:tplc="1009001B" w:tentative="1">
      <w:start w:val="1"/>
      <w:numFmt w:val="lowerRoman"/>
      <w:lvlText w:val="%9."/>
      <w:lvlJc w:val="right"/>
      <w:pPr>
        <w:ind w:left="4986" w:hanging="180"/>
      </w:pPr>
    </w:lvl>
  </w:abstractNum>
  <w:abstractNum w:abstractNumId="4" w15:restartNumberingAfterBreak="0">
    <w:nsid w:val="5AFD64DB"/>
    <w:multiLevelType w:val="multilevel"/>
    <w:tmpl w:val="F2FA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4F1E2F"/>
    <w:multiLevelType w:val="multilevel"/>
    <w:tmpl w:val="6F1A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3302061">
    <w:abstractNumId w:val="1"/>
  </w:num>
  <w:num w:numId="2" w16cid:durableId="2135362363">
    <w:abstractNumId w:val="5"/>
  </w:num>
  <w:num w:numId="3" w16cid:durableId="1825852836">
    <w:abstractNumId w:val="2"/>
  </w:num>
  <w:num w:numId="4" w16cid:durableId="507907275">
    <w:abstractNumId w:val="4"/>
  </w:num>
  <w:num w:numId="5" w16cid:durableId="309942679">
    <w:abstractNumId w:val="0"/>
  </w:num>
  <w:num w:numId="6" w16cid:durableId="19604055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B46"/>
    <w:rsid w:val="00272B46"/>
    <w:rsid w:val="007465E6"/>
    <w:rsid w:val="007B3513"/>
    <w:rsid w:val="007E105A"/>
    <w:rsid w:val="00D3730E"/>
    <w:rsid w:val="00F21FA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42579"/>
  <w15:chartTrackingRefBased/>
  <w15:docId w15:val="{811B5C02-12D1-4507-8B63-C81A179C3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B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2B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2B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2B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2B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B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B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B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B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B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2B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2B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2B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2B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B46"/>
    <w:rPr>
      <w:rFonts w:eastAsiaTheme="majorEastAsia" w:cstheme="majorBidi"/>
      <w:color w:val="272727" w:themeColor="text1" w:themeTint="D8"/>
    </w:rPr>
  </w:style>
  <w:style w:type="paragraph" w:styleId="Title">
    <w:name w:val="Title"/>
    <w:basedOn w:val="Normal"/>
    <w:next w:val="Normal"/>
    <w:link w:val="TitleChar"/>
    <w:uiPriority w:val="10"/>
    <w:qFormat/>
    <w:rsid w:val="00272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B46"/>
    <w:pPr>
      <w:spacing w:before="160"/>
      <w:jc w:val="center"/>
    </w:pPr>
    <w:rPr>
      <w:i/>
      <w:iCs/>
      <w:color w:val="404040" w:themeColor="text1" w:themeTint="BF"/>
    </w:rPr>
  </w:style>
  <w:style w:type="character" w:customStyle="1" w:styleId="QuoteChar">
    <w:name w:val="Quote Char"/>
    <w:basedOn w:val="DefaultParagraphFont"/>
    <w:link w:val="Quote"/>
    <w:uiPriority w:val="29"/>
    <w:rsid w:val="00272B46"/>
    <w:rPr>
      <w:i/>
      <w:iCs/>
      <w:color w:val="404040" w:themeColor="text1" w:themeTint="BF"/>
    </w:rPr>
  </w:style>
  <w:style w:type="paragraph" w:styleId="ListParagraph">
    <w:name w:val="List Paragraph"/>
    <w:basedOn w:val="Normal"/>
    <w:uiPriority w:val="34"/>
    <w:qFormat/>
    <w:rsid w:val="00272B46"/>
    <w:pPr>
      <w:ind w:left="720"/>
      <w:contextualSpacing/>
    </w:pPr>
  </w:style>
  <w:style w:type="character" w:styleId="IntenseEmphasis">
    <w:name w:val="Intense Emphasis"/>
    <w:basedOn w:val="DefaultParagraphFont"/>
    <w:uiPriority w:val="21"/>
    <w:qFormat/>
    <w:rsid w:val="00272B46"/>
    <w:rPr>
      <w:i/>
      <w:iCs/>
      <w:color w:val="0F4761" w:themeColor="accent1" w:themeShade="BF"/>
    </w:rPr>
  </w:style>
  <w:style w:type="paragraph" w:styleId="IntenseQuote">
    <w:name w:val="Intense Quote"/>
    <w:basedOn w:val="Normal"/>
    <w:next w:val="Normal"/>
    <w:link w:val="IntenseQuoteChar"/>
    <w:uiPriority w:val="30"/>
    <w:qFormat/>
    <w:rsid w:val="00272B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B46"/>
    <w:rPr>
      <w:i/>
      <w:iCs/>
      <w:color w:val="0F4761" w:themeColor="accent1" w:themeShade="BF"/>
    </w:rPr>
  </w:style>
  <w:style w:type="character" w:styleId="IntenseReference">
    <w:name w:val="Intense Reference"/>
    <w:basedOn w:val="DefaultParagraphFont"/>
    <w:uiPriority w:val="32"/>
    <w:qFormat/>
    <w:rsid w:val="00272B46"/>
    <w:rPr>
      <w:b/>
      <w:bCs/>
      <w:smallCaps/>
      <w:color w:val="0F4761" w:themeColor="accent1" w:themeShade="BF"/>
      <w:spacing w:val="5"/>
    </w:rPr>
  </w:style>
  <w:style w:type="character" w:styleId="Hyperlink">
    <w:name w:val="Hyperlink"/>
    <w:basedOn w:val="DefaultParagraphFont"/>
    <w:uiPriority w:val="99"/>
    <w:unhideWhenUsed/>
    <w:rsid w:val="00F21FAD"/>
    <w:rPr>
      <w:color w:val="467886" w:themeColor="hyperlink"/>
      <w:u w:val="single"/>
    </w:rPr>
  </w:style>
  <w:style w:type="character" w:styleId="UnresolvedMention">
    <w:name w:val="Unresolved Mention"/>
    <w:basedOn w:val="DefaultParagraphFont"/>
    <w:uiPriority w:val="99"/>
    <w:semiHidden/>
    <w:unhideWhenUsed/>
    <w:rsid w:val="00F21F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tf-gafi.org" TargetMode="External"/><Relationship Id="rId13" Type="http://schemas.openxmlformats.org/officeDocument/2006/relationships/hyperlink" Target="https://www.un.org/securitycouncil/sanction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bizcharge.com" TargetMode="External"/><Relationship Id="rId12" Type="http://schemas.openxmlformats.org/officeDocument/2006/relationships/hyperlink" Target="https://ofac.treasury.gov" TargetMode="External"/><Relationship Id="rId17" Type="http://schemas.openxmlformats.org/officeDocument/2006/relationships/hyperlink" Target="https://www.coso.org" TargetMode="External"/><Relationship Id="rId2" Type="http://schemas.openxmlformats.org/officeDocument/2006/relationships/styles" Target="styles.xml"/><Relationship Id="rId16" Type="http://schemas.openxmlformats.org/officeDocument/2006/relationships/hyperlink" Target="https://www.theiia.org" TargetMode="External"/><Relationship Id="rId1" Type="http://schemas.openxmlformats.org/officeDocument/2006/relationships/numbering" Target="numbering.xml"/><Relationship Id="rId6" Type="http://schemas.openxmlformats.org/officeDocument/2006/relationships/hyperlink" Target="https://www.ebizcharge.com" TargetMode="External"/><Relationship Id="rId11" Type="http://schemas.openxmlformats.org/officeDocument/2006/relationships/hyperlink" Target="https://www.fincen.gov" TargetMode="External"/><Relationship Id="rId5" Type="http://schemas.openxmlformats.org/officeDocument/2006/relationships/hyperlink" Target="https://www.ebizcharge.com" TargetMode="External"/><Relationship Id="rId15" Type="http://schemas.openxmlformats.org/officeDocument/2006/relationships/hyperlink" Target="https://www.bis.org" TargetMode="External"/><Relationship Id="rId10" Type="http://schemas.openxmlformats.org/officeDocument/2006/relationships/hyperlink" Target="https://www.fatf-gafi.or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fatf-gafi.org" TargetMode="External"/><Relationship Id="rId14" Type="http://schemas.openxmlformats.org/officeDocument/2006/relationships/hyperlink" Target="https://www.bi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900</Words>
  <Characters>5136</Characters>
  <Application>Microsoft Office Word</Application>
  <DocSecurity>0</DocSecurity>
  <Lines>42</Lines>
  <Paragraphs>12</Paragraphs>
  <ScaleCrop>false</ScaleCrop>
  <Company/>
  <LinksUpToDate>false</LinksUpToDate>
  <CharactersWithSpaces>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Utkal Pandey</dc:creator>
  <cp:keywords/>
  <dc:description/>
  <cp:lastModifiedBy>Utkal Pandey</cp:lastModifiedBy>
  <cp:revision>5</cp:revision>
  <dcterms:created xsi:type="dcterms:W3CDTF">2025-12-28T15:45:00Z</dcterms:created>
  <dcterms:modified xsi:type="dcterms:W3CDTF">2025-12-28T15:54:00Z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f92aa2be-2ca2-4652-81a7-a70c412215d7</vt:lpwstr>
  </property>
</Properties>
</file>