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SIP Implementation Guide v1</w:t>
      </w:r>
    </w:p>
    <w:p>
      <w:pPr>
        <w:jc w:val="center"/>
      </w:pPr>
      <w:r>
        <w:rPr>
          <w:i/>
          <w:sz w:val="26"/>
        </w:rPr>
        <w:t>Engineering Guide for Cursor / Claude Code Implementation</w:t>
      </w:r>
    </w:p>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Field</w:t>
            </w:r>
          </w:p>
        </w:tc>
        <w:tc>
          <w:tcPr>
            <w:tcW w:type="dxa" w:w="5040"/>
            <w:vAlign w:val="top"/>
            <w:shd w:fill="D9EAF7"/>
          </w:tcPr>
          <w:p>
            <w:r/>
            <w:r>
              <w:rPr>
                <w:b/>
                <w:sz w:val="18"/>
              </w:rPr>
              <w:t>Value</w:t>
            </w:r>
          </w:p>
        </w:tc>
      </w:tr>
      <w:tr>
        <w:tc>
          <w:tcPr>
            <w:tcW w:type="dxa" w:w="5040"/>
            <w:vAlign w:val="top"/>
          </w:tcPr>
          <w:p>
            <w:r/>
            <w:r>
              <w:rPr>
                <w:b w:val="0"/>
                <w:sz w:val="18"/>
              </w:rPr>
              <w:t>Product</w:t>
            </w:r>
          </w:p>
        </w:tc>
        <w:tc>
          <w:tcPr>
            <w:tcW w:type="dxa" w:w="5040"/>
            <w:vAlign w:val="top"/>
          </w:tcPr>
          <w:p>
            <w:r/>
            <w:r>
              <w:rPr>
                <w:b w:val="0"/>
                <w:sz w:val="18"/>
              </w:rPr>
              <w:t>Semantic Intelligence Platform (SIP)</w:t>
            </w:r>
          </w:p>
        </w:tc>
      </w:tr>
      <w:tr>
        <w:tc>
          <w:tcPr>
            <w:tcW w:type="dxa" w:w="5040"/>
            <w:vAlign w:val="top"/>
          </w:tcPr>
          <w:p>
            <w:r/>
            <w:r>
              <w:rPr>
                <w:b w:val="0"/>
                <w:sz w:val="18"/>
              </w:rPr>
              <w:t>Version</w:t>
            </w:r>
          </w:p>
        </w:tc>
        <w:tc>
          <w:tcPr>
            <w:tcW w:type="dxa" w:w="5040"/>
            <w:vAlign w:val="top"/>
          </w:tcPr>
          <w:p>
            <w:r/>
            <w:r>
              <w:rPr>
                <w:b w:val="0"/>
                <w:sz w:val="18"/>
              </w:rPr>
              <w:t>v1</w:t>
            </w:r>
          </w:p>
        </w:tc>
      </w:tr>
      <w:tr>
        <w:tc>
          <w:tcPr>
            <w:tcW w:type="dxa" w:w="5040"/>
            <w:vAlign w:val="top"/>
          </w:tcPr>
          <w:p>
            <w:r/>
            <w:r>
              <w:rPr>
                <w:b w:val="0"/>
                <w:sz w:val="18"/>
              </w:rPr>
              <w:t>Primary MVP Domain</w:t>
            </w:r>
          </w:p>
        </w:tc>
        <w:tc>
          <w:tcPr>
            <w:tcW w:type="dxa" w:w="5040"/>
            <w:vAlign w:val="top"/>
          </w:tcPr>
          <w:p>
            <w:r/>
            <w:r>
              <w:rPr>
                <w:b w:val="0"/>
                <w:sz w:val="18"/>
              </w:rPr>
              <w:t>Assessment Application</w:t>
            </w:r>
          </w:p>
        </w:tc>
      </w:tr>
      <w:tr>
        <w:tc>
          <w:tcPr>
            <w:tcW w:type="dxa" w:w="5040"/>
            <w:vAlign w:val="top"/>
          </w:tcPr>
          <w:p>
            <w:r/>
            <w:r>
              <w:rPr>
                <w:b w:val="0"/>
                <w:sz w:val="18"/>
              </w:rPr>
              <w:t>Backend Stack</w:t>
            </w:r>
          </w:p>
        </w:tc>
        <w:tc>
          <w:tcPr>
            <w:tcW w:type="dxa" w:w="5040"/>
            <w:vAlign w:val="top"/>
          </w:tcPr>
          <w:p>
            <w:r/>
            <w:r>
              <w:rPr>
                <w:b w:val="0"/>
                <w:sz w:val="18"/>
              </w:rPr>
              <w:t>Python + FastAPI</w:t>
            </w:r>
          </w:p>
        </w:tc>
      </w:tr>
      <w:tr>
        <w:tc>
          <w:tcPr>
            <w:tcW w:type="dxa" w:w="5040"/>
            <w:vAlign w:val="top"/>
          </w:tcPr>
          <w:p>
            <w:r/>
            <w:r>
              <w:rPr>
                <w:b w:val="0"/>
                <w:sz w:val="18"/>
              </w:rPr>
              <w:t>Architecture Style</w:t>
            </w:r>
          </w:p>
        </w:tc>
        <w:tc>
          <w:tcPr>
            <w:tcW w:type="dxa" w:w="5040"/>
            <w:vAlign w:val="top"/>
          </w:tcPr>
          <w:p>
            <w:r/>
            <w:r>
              <w:rPr>
                <w:b w:val="0"/>
                <w:sz w:val="18"/>
              </w:rPr>
              <w:t>Modular Monolith + Ports &amp; Adapters</w:t>
            </w:r>
          </w:p>
        </w:tc>
      </w:tr>
      <w:tr>
        <w:tc>
          <w:tcPr>
            <w:tcW w:type="dxa" w:w="5040"/>
            <w:vAlign w:val="top"/>
          </w:tcPr>
          <w:p>
            <w:r/>
            <w:r>
              <w:rPr>
                <w:b w:val="0"/>
                <w:sz w:val="18"/>
              </w:rPr>
              <w:t>Generated From</w:t>
            </w:r>
          </w:p>
        </w:tc>
        <w:tc>
          <w:tcPr>
            <w:tcW w:type="dxa" w:w="5040"/>
            <w:vAlign w:val="top"/>
          </w:tcPr>
          <w:p>
            <w:r/>
            <w:r>
              <w:rPr>
                <w:b w:val="0"/>
                <w:sz w:val="18"/>
              </w:rPr>
              <w:t>Uploaded SIP architecture, UX, domain, event, API, runtime and MVP documents</w:t>
            </w:r>
          </w:p>
        </w:tc>
      </w:tr>
    </w:tbl>
    <w:p/>
    <w:p>
      <w:r>
        <w:br w:type="page"/>
      </w:r>
    </w:p>
    <w:p>
      <w:pPr>
        <w:pStyle w:val="Heading1"/>
      </w:pPr>
      <w:r>
        <w:t>1. Purpose</w:t>
      </w:r>
    </w:p>
    <w:p>
      <w:r>
        <w:t>This guide translates the SIP architecture documents into concrete engineering rules for implementation. It is intended to be the first document read by Cursor, Claude Code or any developer before writing code.</w:t>
      </w:r>
    </w:p>
    <w:p>
      <w:r>
        <w:t>The goal is to keep implementation aligned with the product architecture, instead of letting the codebase mutate into a charming landfill of disconnected FastAPI endpoints.</w:t>
      </w:r>
    </w:p>
    <w:p>
      <w:pPr>
        <w:pStyle w:val="Heading1"/>
      </w:pPr>
      <w:r>
        <w:t>2. Source Documents and Canonical Naming</w:t>
      </w:r>
    </w:p>
    <w:p>
      <w:r>
        <w:t>The uploaded SIP document set is valid and forms a coherent architecture baseline. Some file names and decision prefixes should be normalized before implementation work begins.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Current / Observed Document</w:t>
            </w:r>
          </w:p>
        </w:tc>
        <w:tc>
          <w:tcPr>
            <w:tcW w:type="dxa" w:w="5040"/>
            <w:vAlign w:val="top"/>
            <w:shd w:fill="D9EAF7"/>
          </w:tcPr>
          <w:p>
            <w:r/>
            <w:r>
              <w:rPr>
                <w:b/>
                <w:sz w:val="18"/>
              </w:rPr>
              <w:t>Canonical Name</w:t>
            </w:r>
          </w:p>
        </w:tc>
      </w:tr>
      <w:tr>
        <w:tc>
          <w:tcPr>
            <w:tcW w:type="dxa" w:w="5040"/>
            <w:vAlign w:val="top"/>
          </w:tcPr>
          <w:p>
            <w:r/>
            <w:r>
              <w:rPr>
                <w:b w:val="0"/>
                <w:sz w:val="18"/>
              </w:rPr>
              <w:t>SIP Architecture Specification</w:t>
            </w:r>
          </w:p>
        </w:tc>
        <w:tc>
          <w:tcPr>
            <w:tcW w:type="dxa" w:w="5040"/>
            <w:vAlign w:val="top"/>
          </w:tcPr>
          <w:p>
            <w:r/>
            <w:r>
              <w:rPr>
                <w:b w:val="0"/>
                <w:sz w:val="18"/>
              </w:rPr>
              <w:t>SIP_Architecture_Specification_v1</w:t>
            </w:r>
          </w:p>
        </w:tc>
      </w:tr>
      <w:tr>
        <w:tc>
          <w:tcPr>
            <w:tcW w:type="dxa" w:w="5040"/>
            <w:vAlign w:val="top"/>
          </w:tcPr>
          <w:p>
            <w:r/>
            <w:r>
              <w:rPr>
                <w:b w:val="0"/>
                <w:sz w:val="18"/>
              </w:rPr>
              <w:t>SIP Application Discovery Workflow v1</w:t>
            </w:r>
          </w:p>
        </w:tc>
        <w:tc>
          <w:tcPr>
            <w:tcW w:type="dxa" w:w="5040"/>
            <w:vAlign w:val="top"/>
          </w:tcPr>
          <w:p>
            <w:r/>
            <w:r>
              <w:rPr>
                <w:b w:val="0"/>
                <w:sz w:val="18"/>
              </w:rPr>
              <w:t>SIP_Application_Discovery_Workflow_v1</w:t>
            </w:r>
          </w:p>
        </w:tc>
      </w:tr>
      <w:tr>
        <w:tc>
          <w:tcPr>
            <w:tcW w:type="dxa" w:w="5040"/>
            <w:vAlign w:val="top"/>
          </w:tcPr>
          <w:p>
            <w:r/>
            <w:r>
              <w:rPr>
                <w:b w:val="0"/>
                <w:sz w:val="18"/>
              </w:rPr>
              <w:t>SIP Architecture Decision Log</w:t>
            </w:r>
          </w:p>
        </w:tc>
        <w:tc>
          <w:tcPr>
            <w:tcW w:type="dxa" w:w="5040"/>
            <w:vAlign w:val="top"/>
          </w:tcPr>
          <w:p>
            <w:r/>
            <w:r>
              <w:rPr>
                <w:b w:val="0"/>
                <w:sz w:val="18"/>
              </w:rPr>
              <w:t>SIP_Architecture_Decision_Log_v1</w:t>
            </w:r>
          </w:p>
        </w:tc>
      </w:tr>
      <w:tr>
        <w:tc>
          <w:tcPr>
            <w:tcW w:type="dxa" w:w="5040"/>
            <w:vAlign w:val="top"/>
          </w:tcPr>
          <w:p>
            <w:r/>
            <w:r>
              <w:rPr>
                <w:b w:val="0"/>
                <w:sz w:val="18"/>
              </w:rPr>
              <w:t>SIP Core User Journeys v1</w:t>
            </w:r>
          </w:p>
        </w:tc>
        <w:tc>
          <w:tcPr>
            <w:tcW w:type="dxa" w:w="5040"/>
            <w:vAlign w:val="top"/>
          </w:tcPr>
          <w:p>
            <w:r/>
            <w:r>
              <w:rPr>
                <w:b w:val="0"/>
                <w:sz w:val="18"/>
              </w:rPr>
              <w:t>SIP_Core_User_Journeys_v1</w:t>
            </w:r>
          </w:p>
        </w:tc>
      </w:tr>
      <w:tr>
        <w:tc>
          <w:tcPr>
            <w:tcW w:type="dxa" w:w="5040"/>
            <w:vAlign w:val="top"/>
          </w:tcPr>
          <w:p>
            <w:r/>
            <w:r>
              <w:rPr>
                <w:b w:val="0"/>
                <w:sz w:val="18"/>
              </w:rPr>
              <w:t>SIP_CAPABILITY_CATALOG_V1</w:t>
            </w:r>
          </w:p>
        </w:tc>
        <w:tc>
          <w:tcPr>
            <w:tcW w:type="dxa" w:w="5040"/>
            <w:vAlign w:val="top"/>
          </w:tcPr>
          <w:p>
            <w:r/>
            <w:r>
              <w:rPr>
                <w:b w:val="0"/>
                <w:sz w:val="18"/>
              </w:rPr>
              <w:t>SIP_Capability_Catalog_v1</w:t>
            </w:r>
          </w:p>
        </w:tc>
      </w:tr>
      <w:tr>
        <w:tc>
          <w:tcPr>
            <w:tcW w:type="dxa" w:w="5040"/>
            <w:vAlign w:val="top"/>
          </w:tcPr>
          <w:p>
            <w:r/>
            <w:r>
              <w:rPr>
                <w:b w:val="0"/>
                <w:sz w:val="18"/>
              </w:rPr>
              <w:t>SIP_TECHNOLOGY_CATALOG_V1</w:t>
            </w:r>
          </w:p>
        </w:tc>
        <w:tc>
          <w:tcPr>
            <w:tcW w:type="dxa" w:w="5040"/>
            <w:vAlign w:val="top"/>
          </w:tcPr>
          <w:p>
            <w:r/>
            <w:r>
              <w:rPr>
                <w:b w:val="0"/>
                <w:sz w:val="18"/>
              </w:rPr>
              <w:t>SIP_Technology_Catalog_v1</w:t>
            </w:r>
          </w:p>
        </w:tc>
      </w:tr>
      <w:tr>
        <w:tc>
          <w:tcPr>
            <w:tcW w:type="dxa" w:w="5040"/>
            <w:vAlign w:val="top"/>
          </w:tcPr>
          <w:p>
            <w:r/>
            <w:r>
              <w:rPr>
                <w:b w:val="0"/>
                <w:sz w:val="18"/>
              </w:rPr>
              <w:t>SIP Asset Catalog v1</w:t>
            </w:r>
          </w:p>
        </w:tc>
        <w:tc>
          <w:tcPr>
            <w:tcW w:type="dxa" w:w="5040"/>
            <w:vAlign w:val="top"/>
          </w:tcPr>
          <w:p>
            <w:r/>
            <w:r>
              <w:rPr>
                <w:b w:val="0"/>
                <w:sz w:val="18"/>
              </w:rPr>
              <w:t>SIP_Asset_Catalog_v1</w:t>
            </w:r>
          </w:p>
        </w:tc>
      </w:tr>
      <w:tr>
        <w:tc>
          <w:tcPr>
            <w:tcW w:type="dxa" w:w="5040"/>
            <w:vAlign w:val="top"/>
          </w:tcPr>
          <w:p>
            <w:r/>
            <w:r>
              <w:rPr>
                <w:b w:val="0"/>
                <w:sz w:val="18"/>
              </w:rPr>
              <w:t>SIP Governance</w:t>
            </w:r>
          </w:p>
        </w:tc>
        <w:tc>
          <w:tcPr>
            <w:tcW w:type="dxa" w:w="5040"/>
            <w:vAlign w:val="top"/>
          </w:tcPr>
          <w:p>
            <w:r/>
            <w:r>
              <w:rPr>
                <w:b w:val="0"/>
                <w:sz w:val="18"/>
              </w:rPr>
              <w:t>SIP_Governance_Model_v1</w:t>
            </w:r>
          </w:p>
        </w:tc>
      </w:tr>
      <w:tr>
        <w:tc>
          <w:tcPr>
            <w:tcW w:type="dxa" w:w="5040"/>
            <w:vAlign w:val="top"/>
          </w:tcPr>
          <w:p>
            <w:r/>
            <w:r>
              <w:rPr>
                <w:b w:val="0"/>
                <w:sz w:val="18"/>
              </w:rPr>
              <w:t>sip_platform_console_ux_v1</w:t>
            </w:r>
          </w:p>
        </w:tc>
        <w:tc>
          <w:tcPr>
            <w:tcW w:type="dxa" w:w="5040"/>
            <w:vAlign w:val="top"/>
          </w:tcPr>
          <w:p>
            <w:r/>
            <w:r>
              <w:rPr>
                <w:b w:val="0"/>
                <w:sz w:val="18"/>
              </w:rPr>
              <w:t>SIP_Platform_Console_UX_v1</w:t>
            </w:r>
          </w:p>
        </w:tc>
      </w:tr>
      <w:tr>
        <w:tc>
          <w:tcPr>
            <w:tcW w:type="dxa" w:w="5040"/>
            <w:vAlign w:val="top"/>
          </w:tcPr>
          <w:p>
            <w:r/>
            <w:r>
              <w:rPr>
                <w:b w:val="0"/>
                <w:sz w:val="18"/>
              </w:rPr>
              <w:t>SIP Platform Console Screen Map v1</w:t>
            </w:r>
          </w:p>
        </w:tc>
        <w:tc>
          <w:tcPr>
            <w:tcW w:type="dxa" w:w="5040"/>
            <w:vAlign w:val="top"/>
          </w:tcPr>
          <w:p>
            <w:r/>
            <w:r>
              <w:rPr>
                <w:b w:val="0"/>
                <w:sz w:val="18"/>
              </w:rPr>
              <w:t>SIP_Platform_Console_Screen_Map_v1</w:t>
            </w:r>
          </w:p>
        </w:tc>
      </w:tr>
      <w:tr>
        <w:tc>
          <w:tcPr>
            <w:tcW w:type="dxa" w:w="5040"/>
            <w:vAlign w:val="top"/>
          </w:tcPr>
          <w:p>
            <w:r/>
            <w:r>
              <w:rPr>
                <w:b w:val="0"/>
                <w:sz w:val="18"/>
              </w:rPr>
              <w:t>SIP Domain Model v1</w:t>
            </w:r>
          </w:p>
        </w:tc>
        <w:tc>
          <w:tcPr>
            <w:tcW w:type="dxa" w:w="5040"/>
            <w:vAlign w:val="top"/>
          </w:tcPr>
          <w:p>
            <w:r/>
            <w:r>
              <w:rPr>
                <w:b w:val="0"/>
                <w:sz w:val="18"/>
              </w:rPr>
              <w:t>SIP_Domain_Model_v1</w:t>
            </w:r>
          </w:p>
        </w:tc>
      </w:tr>
      <w:tr>
        <w:tc>
          <w:tcPr>
            <w:tcW w:type="dxa" w:w="5040"/>
            <w:vAlign w:val="top"/>
          </w:tcPr>
          <w:p>
            <w:r/>
            <w:r>
              <w:rPr>
                <w:b w:val="0"/>
                <w:sz w:val="18"/>
              </w:rPr>
              <w:t>SIP Domain Events v1</w:t>
            </w:r>
          </w:p>
        </w:tc>
        <w:tc>
          <w:tcPr>
            <w:tcW w:type="dxa" w:w="5040"/>
            <w:vAlign w:val="top"/>
          </w:tcPr>
          <w:p>
            <w:r/>
            <w:r>
              <w:rPr>
                <w:b w:val="0"/>
                <w:sz w:val="18"/>
              </w:rPr>
              <w:t>SIP_Domain_Events_v1</w:t>
            </w:r>
          </w:p>
        </w:tc>
      </w:tr>
      <w:tr>
        <w:tc>
          <w:tcPr>
            <w:tcW w:type="dxa" w:w="5040"/>
            <w:vAlign w:val="top"/>
          </w:tcPr>
          <w:p>
            <w:r/>
            <w:r>
              <w:rPr>
                <w:b w:val="0"/>
                <w:sz w:val="18"/>
              </w:rPr>
              <w:t>SIP API Boundary v1</w:t>
            </w:r>
          </w:p>
        </w:tc>
        <w:tc>
          <w:tcPr>
            <w:tcW w:type="dxa" w:w="5040"/>
            <w:vAlign w:val="top"/>
          </w:tcPr>
          <w:p>
            <w:r/>
            <w:r>
              <w:rPr>
                <w:b w:val="0"/>
                <w:sz w:val="18"/>
              </w:rPr>
              <w:t>SIP_API_Boundary_v1</w:t>
            </w:r>
          </w:p>
        </w:tc>
      </w:tr>
      <w:tr>
        <w:tc>
          <w:tcPr>
            <w:tcW w:type="dxa" w:w="5040"/>
            <w:vAlign w:val="top"/>
          </w:tcPr>
          <w:p>
            <w:r/>
            <w:r>
              <w:rPr>
                <w:b w:val="0"/>
                <w:sz w:val="18"/>
              </w:rPr>
              <w:t>sip_runtime_architecture_decisions_v1</w:t>
            </w:r>
          </w:p>
        </w:tc>
        <w:tc>
          <w:tcPr>
            <w:tcW w:type="dxa" w:w="5040"/>
            <w:vAlign w:val="top"/>
          </w:tcPr>
          <w:p>
            <w:r/>
            <w:r>
              <w:rPr>
                <w:b w:val="0"/>
                <w:sz w:val="18"/>
              </w:rPr>
              <w:t>SIP_Runtime_Architecture_Decisions_v1</w:t>
            </w:r>
          </w:p>
        </w:tc>
      </w:tr>
      <w:tr>
        <w:tc>
          <w:tcPr>
            <w:tcW w:type="dxa" w:w="5040"/>
            <w:vAlign w:val="top"/>
          </w:tcPr>
          <w:p>
            <w:r/>
            <w:r>
              <w:rPr>
                <w:b w:val="0"/>
                <w:sz w:val="18"/>
              </w:rPr>
              <w:t>SIP MVP Scope v0</w:t>
            </w:r>
          </w:p>
        </w:tc>
        <w:tc>
          <w:tcPr>
            <w:tcW w:type="dxa" w:w="5040"/>
            <w:vAlign w:val="top"/>
          </w:tcPr>
          <w:p>
            <w:r/>
            <w:r>
              <w:rPr>
                <w:b w:val="0"/>
                <w:sz w:val="18"/>
              </w:rPr>
              <w:t>SIP_MVP_Scope_v0_1</w:t>
            </w:r>
          </w:p>
        </w:tc>
      </w:tr>
    </w:tbl>
    <w:p/>
    <w:p>
      <w:pPr>
        <w:pStyle w:val="Heading2"/>
      </w:pPr>
      <w:r>
        <w:t>2.1 Decision Prefix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Prefix</w:t>
            </w:r>
          </w:p>
        </w:tc>
        <w:tc>
          <w:tcPr>
            <w:tcW w:type="dxa" w:w="3360"/>
            <w:vAlign w:val="top"/>
            <w:shd w:fill="D9EAF7"/>
          </w:tcPr>
          <w:p>
            <w:r/>
            <w:r>
              <w:rPr>
                <w:b/>
                <w:sz w:val="18"/>
              </w:rPr>
              <w:t>Used For</w:t>
            </w:r>
          </w:p>
        </w:tc>
        <w:tc>
          <w:tcPr>
            <w:tcW w:type="dxa" w:w="3360"/>
            <w:vAlign w:val="top"/>
            <w:shd w:fill="D9EAF7"/>
          </w:tcPr>
          <w:p>
            <w:r/>
            <w:r>
              <w:rPr>
                <w:b/>
                <w:sz w:val="18"/>
              </w:rPr>
              <w:t>Example</w:t>
            </w:r>
          </w:p>
        </w:tc>
      </w:tr>
      <w:tr>
        <w:tc>
          <w:tcPr>
            <w:tcW w:type="dxa" w:w="3360"/>
            <w:vAlign w:val="top"/>
          </w:tcPr>
          <w:p>
            <w:r/>
            <w:r>
              <w:rPr>
                <w:b w:val="0"/>
                <w:sz w:val="18"/>
              </w:rPr>
              <w:t>D-*</w:t>
            </w:r>
          </w:p>
        </w:tc>
        <w:tc>
          <w:tcPr>
            <w:tcW w:type="dxa" w:w="3360"/>
            <w:vAlign w:val="top"/>
          </w:tcPr>
          <w:p>
            <w:r/>
            <w:r>
              <w:rPr>
                <w:b w:val="0"/>
                <w:sz w:val="18"/>
              </w:rPr>
              <w:t>Architecture, product and UX decisions</w:t>
            </w:r>
          </w:p>
        </w:tc>
        <w:tc>
          <w:tcPr>
            <w:tcW w:type="dxa" w:w="3360"/>
            <w:vAlign w:val="top"/>
          </w:tcPr>
          <w:p>
            <w:r/>
            <w:r>
              <w:rPr>
                <w:b w:val="0"/>
                <w:sz w:val="18"/>
              </w:rPr>
              <w:t>D-036 — Application-Centric UX</w:t>
            </w:r>
          </w:p>
        </w:tc>
      </w:tr>
      <w:tr>
        <w:tc>
          <w:tcPr>
            <w:tcW w:type="dxa" w:w="3360"/>
            <w:vAlign w:val="top"/>
          </w:tcPr>
          <w:p>
            <w:r/>
            <w:r>
              <w:rPr>
                <w:b w:val="0"/>
                <w:sz w:val="18"/>
              </w:rPr>
              <w:t>R-*</w:t>
            </w:r>
          </w:p>
        </w:tc>
        <w:tc>
          <w:tcPr>
            <w:tcW w:type="dxa" w:w="3360"/>
            <w:vAlign w:val="top"/>
          </w:tcPr>
          <w:p>
            <w:r/>
            <w:r>
              <w:rPr>
                <w:b w:val="0"/>
                <w:sz w:val="18"/>
              </w:rPr>
              <w:t>Runtime architecture decisions</w:t>
            </w:r>
          </w:p>
        </w:tc>
        <w:tc>
          <w:tcPr>
            <w:tcW w:type="dxa" w:w="3360"/>
            <w:vAlign w:val="top"/>
          </w:tcPr>
          <w:p>
            <w:r/>
            <w:r>
              <w:rPr>
                <w:b w:val="0"/>
                <w:sz w:val="18"/>
              </w:rPr>
              <w:t>R-018 — Ports &amp; Adapters</w:t>
            </w:r>
          </w:p>
        </w:tc>
      </w:tr>
      <w:tr>
        <w:tc>
          <w:tcPr>
            <w:tcW w:type="dxa" w:w="3360"/>
            <w:vAlign w:val="top"/>
          </w:tcPr>
          <w:p>
            <w:r/>
            <w:r>
              <w:rPr>
                <w:b w:val="0"/>
                <w:sz w:val="18"/>
              </w:rPr>
              <w:t>DM-*</w:t>
            </w:r>
          </w:p>
        </w:tc>
        <w:tc>
          <w:tcPr>
            <w:tcW w:type="dxa" w:w="3360"/>
            <w:vAlign w:val="top"/>
          </w:tcPr>
          <w:p>
            <w:r/>
            <w:r>
              <w:rPr>
                <w:b w:val="0"/>
                <w:sz w:val="18"/>
              </w:rPr>
              <w:t>Domain model decisions</w:t>
            </w:r>
          </w:p>
        </w:tc>
        <w:tc>
          <w:tcPr>
            <w:tcW w:type="dxa" w:w="3360"/>
            <w:vAlign w:val="top"/>
          </w:tcPr>
          <w:p>
            <w:r/>
            <w:r>
              <w:rPr>
                <w:b w:val="0"/>
                <w:sz w:val="18"/>
              </w:rPr>
              <w:t>DM-006 — SemanticTransaction</w:t>
            </w:r>
          </w:p>
        </w:tc>
      </w:tr>
      <w:tr>
        <w:tc>
          <w:tcPr>
            <w:tcW w:type="dxa" w:w="3360"/>
            <w:vAlign w:val="top"/>
          </w:tcPr>
          <w:p>
            <w:r/>
            <w:r>
              <w:rPr>
                <w:b w:val="0"/>
                <w:sz w:val="18"/>
              </w:rPr>
              <w:t>API-*</w:t>
            </w:r>
          </w:p>
        </w:tc>
        <w:tc>
          <w:tcPr>
            <w:tcW w:type="dxa" w:w="3360"/>
            <w:vAlign w:val="top"/>
          </w:tcPr>
          <w:p>
            <w:r/>
            <w:r>
              <w:rPr>
                <w:b w:val="0"/>
                <w:sz w:val="18"/>
              </w:rPr>
              <w:t>API boundary decisions</w:t>
            </w:r>
          </w:p>
        </w:tc>
        <w:tc>
          <w:tcPr>
            <w:tcW w:type="dxa" w:w="3360"/>
            <w:vAlign w:val="top"/>
          </w:tcPr>
          <w:p>
            <w:r/>
            <w:r>
              <w:rPr>
                <w:b w:val="0"/>
                <w:sz w:val="18"/>
              </w:rPr>
              <w:t>API-001 — REST Internal, MCP External</w:t>
            </w:r>
          </w:p>
        </w:tc>
      </w:tr>
      <w:tr>
        <w:tc>
          <w:tcPr>
            <w:tcW w:type="dxa" w:w="3360"/>
            <w:vAlign w:val="top"/>
          </w:tcPr>
          <w:p>
            <w:r/>
            <w:r>
              <w:rPr>
                <w:b w:val="0"/>
                <w:sz w:val="18"/>
              </w:rPr>
              <w:t>EVT-*</w:t>
            </w:r>
          </w:p>
        </w:tc>
        <w:tc>
          <w:tcPr>
            <w:tcW w:type="dxa" w:w="3360"/>
            <w:vAlign w:val="top"/>
          </w:tcPr>
          <w:p>
            <w:r/>
            <w:r>
              <w:rPr>
                <w:b w:val="0"/>
                <w:sz w:val="18"/>
              </w:rPr>
              <w:t>Domain event catalog items, if later numbered</w:t>
            </w:r>
          </w:p>
        </w:tc>
        <w:tc>
          <w:tcPr>
            <w:tcW w:type="dxa" w:w="3360"/>
            <w:vAlign w:val="top"/>
          </w:tcPr>
          <w:p>
            <w:r/>
            <w:r>
              <w:rPr>
                <w:b w:val="0"/>
                <w:sz w:val="18"/>
              </w:rPr>
              <w:t>EVT-001 — ApplicationCreated</w:t>
            </w:r>
          </w:p>
        </w:tc>
      </w:tr>
    </w:tbl>
    <w:p/>
    <w:p>
      <w:r>
        <w:t>Do not rename R-* runtime decisions as D-* decisions or vice versa. It is acceptable for D-010 and R-010 to both exist because their prefixes represent different decision spaces. The prefix is part of the identifier, because apparently even decision numbers need passports now.</w:t>
      </w:r>
    </w:p>
    <w:p>
      <w:pPr>
        <w:pStyle w:val="Heading1"/>
      </w:pPr>
      <w:r>
        <w:t>3. Non-Negotiable Architecture Principles</w:t>
      </w:r>
    </w:p>
    <w:p>
      <w:pPr>
        <w:pStyle w:val="ListBullet"/>
      </w:pPr>
      <w:r>
        <w:t>SIP starts as a modular monolith, not microservices.</w:t>
      </w:r>
    </w:p>
    <w:p>
      <w:pPr>
        <w:pStyle w:val="ListBullet"/>
      </w:pPr>
      <w:r>
        <w:t>The backend stack is Python + FastAPI.</w:t>
      </w:r>
    </w:p>
    <w:p>
      <w:pPr>
        <w:pStyle w:val="ListBullet"/>
      </w:pPr>
      <w:r>
        <w:t>The API is REST-first for the SIP Console and platform management.</w:t>
      </w:r>
    </w:p>
    <w:p>
      <w:pPr>
        <w:pStyle w:val="ListBullet"/>
      </w:pPr>
      <w:r>
        <w:t>MCP is used for external agent and tool consumption, not internal platform communication.</w:t>
      </w:r>
    </w:p>
    <w:p>
      <w:pPr>
        <w:pStyle w:val="ListBullet"/>
      </w:pPr>
      <w:r>
        <w:t>Applications are logically isolated over shared infrastructure.</w:t>
      </w:r>
    </w:p>
    <w:p>
      <w:pPr>
        <w:pStyle w:val="ListBullet"/>
      </w:pPr>
      <w:r>
        <w:t>Business modules depend on ports/interfaces, not concrete technologies.</w:t>
      </w:r>
    </w:p>
    <w:p>
      <w:pPr>
        <w:pStyle w:val="ListBullet"/>
      </w:pPr>
      <w:r>
        <w:t>Technology-specific behavior lives behind Technology Adapters.</w:t>
      </w:r>
    </w:p>
    <w:p>
      <w:pPr>
        <w:pStyle w:val="ListBullet"/>
      </w:pPr>
      <w:r>
        <w:t>Agents consume Published Data Products, not raw tables or files.</w:t>
      </w:r>
    </w:p>
    <w:p>
      <w:pPr>
        <w:pStyle w:val="ListBullet"/>
      </w:pPr>
      <w:r>
        <w:t>Every significant action creates a Semantic Transaction and Trace Steps.</w:t>
      </w:r>
    </w:p>
    <w:p>
      <w:pPr>
        <w:pStyle w:val="ListBullet"/>
      </w:pPr>
      <w:r>
        <w:t>Blueprint precedes provisioning.</w:t>
      </w:r>
    </w:p>
    <w:p>
      <w:pPr>
        <w:pStyle w:val="ListBullet"/>
      </w:pPr>
      <w:r>
        <w:t>Discovery history is persisted and becomes part of application memory.</w:t>
      </w:r>
    </w:p>
    <w:p>
      <w:pPr>
        <w:pStyle w:val="Heading1"/>
      </w:pPr>
      <w:r>
        <w:t>4. Repository Structure</w:t>
      </w:r>
    </w:p>
    <w:p>
      <w:r>
        <w:t>SIP uses a monorepo. The structure below is mandatory for the first implementation.</w:t>
      </w:r>
    </w:p>
    <w:p>
      <w:pPr/>
      <w:r>
        <w:rPr>
          <w:rFonts w:ascii="Consolas" w:hAnsi="Consolas" w:eastAsia="Consolas"/>
          <w:sz w:val="17"/>
        </w:rPr>
        <w:t>sip-platform/</w:t>
        <w:br/>
      </w:r>
      <w:r>
        <w:rPr>
          <w:rFonts w:ascii="Consolas" w:hAnsi="Consolas" w:eastAsia="Consolas"/>
          <w:sz w:val="17"/>
        </w:rPr>
        <w:t>├── backend/</w:t>
        <w:br/>
      </w:r>
      <w:r>
        <w:rPr>
          <w:rFonts w:ascii="Consolas" w:hAnsi="Consolas" w:eastAsia="Consolas"/>
          <w:sz w:val="17"/>
        </w:rPr>
        <w:t>│   ├── app/</w:t>
        <w:br/>
      </w:r>
      <w:r>
        <w:rPr>
          <w:rFonts w:ascii="Consolas" w:hAnsi="Consolas" w:eastAsia="Consolas"/>
          <w:sz w:val="17"/>
        </w:rPr>
        <w:t>│   │   ├── main.py</w:t>
        <w:br/>
      </w:r>
      <w:r>
        <w:rPr>
          <w:rFonts w:ascii="Consolas" w:hAnsi="Consolas" w:eastAsia="Consolas"/>
          <w:sz w:val="17"/>
        </w:rPr>
        <w:t>│   │   ├── core/</w:t>
        <w:br/>
      </w:r>
      <w:r>
        <w:rPr>
          <w:rFonts w:ascii="Consolas" w:hAnsi="Consolas" w:eastAsia="Consolas"/>
          <w:sz w:val="17"/>
        </w:rPr>
        <w:t>│   │   ├── modules/</w:t>
        <w:br/>
      </w:r>
      <w:r>
        <w:rPr>
          <w:rFonts w:ascii="Consolas" w:hAnsi="Consolas" w:eastAsia="Consolas"/>
          <w:sz w:val="17"/>
        </w:rPr>
        <w:t>│   │   ├── shared/</w:t>
        <w:br/>
      </w:r>
      <w:r>
        <w:rPr>
          <w:rFonts w:ascii="Consolas" w:hAnsi="Consolas" w:eastAsia="Consolas"/>
          <w:sz w:val="17"/>
        </w:rPr>
        <w:t>│   │   └── infrastructure/</w:t>
        <w:br/>
      </w:r>
      <w:r>
        <w:rPr>
          <w:rFonts w:ascii="Consolas" w:hAnsi="Consolas" w:eastAsia="Consolas"/>
          <w:sz w:val="17"/>
        </w:rPr>
        <w:t>│   ├── tests/</w:t>
        <w:br/>
      </w:r>
      <w:r>
        <w:rPr>
          <w:rFonts w:ascii="Consolas" w:hAnsi="Consolas" w:eastAsia="Consolas"/>
          <w:sz w:val="17"/>
        </w:rPr>
        <w:t>│   ├── alembic/</w:t>
        <w:br/>
      </w:r>
      <w:r>
        <w:rPr>
          <w:rFonts w:ascii="Consolas" w:hAnsi="Consolas" w:eastAsia="Consolas"/>
          <w:sz w:val="17"/>
        </w:rPr>
        <w:t>│   └── pyproject.toml</w:t>
        <w:br/>
      </w:r>
      <w:r>
        <w:rPr>
          <w:rFonts w:ascii="Consolas" w:hAnsi="Consolas" w:eastAsia="Consolas"/>
          <w:sz w:val="17"/>
        </w:rPr>
        <w:t>│</w:t>
        <w:br/>
      </w:r>
      <w:r>
        <w:rPr>
          <w:rFonts w:ascii="Consolas" w:hAnsi="Consolas" w:eastAsia="Consolas"/>
          <w:sz w:val="17"/>
        </w:rPr>
        <w:t>├── frontend/</w:t>
        <w:br/>
      </w:r>
      <w:r>
        <w:rPr>
          <w:rFonts w:ascii="Consolas" w:hAnsi="Consolas" w:eastAsia="Consolas"/>
          <w:sz w:val="17"/>
        </w:rPr>
        <w:t>│   ├── src/</w:t>
        <w:br/>
      </w:r>
      <w:r>
        <w:rPr>
          <w:rFonts w:ascii="Consolas" w:hAnsi="Consolas" w:eastAsia="Consolas"/>
          <w:sz w:val="17"/>
        </w:rPr>
        <w:t>│   └── package.json</w:t>
        <w:br/>
      </w:r>
      <w:r>
        <w:rPr>
          <w:rFonts w:ascii="Consolas" w:hAnsi="Consolas" w:eastAsia="Consolas"/>
          <w:sz w:val="17"/>
        </w:rPr>
        <w:t>│</w:t>
        <w:br/>
      </w:r>
      <w:r>
        <w:rPr>
          <w:rFonts w:ascii="Consolas" w:hAnsi="Consolas" w:eastAsia="Consolas"/>
          <w:sz w:val="17"/>
        </w:rPr>
        <w:t>├── infra/</w:t>
        <w:br/>
      </w:r>
      <w:r>
        <w:rPr>
          <w:rFonts w:ascii="Consolas" w:hAnsi="Consolas" w:eastAsia="Consolas"/>
          <w:sz w:val="17"/>
        </w:rPr>
        <w:t>│   ├── compose/</w:t>
        <w:br/>
      </w:r>
      <w:r>
        <w:rPr>
          <w:rFonts w:ascii="Consolas" w:hAnsi="Consolas" w:eastAsia="Consolas"/>
          <w:sz w:val="17"/>
        </w:rPr>
        <w:t>│   ├── docker/</w:t>
        <w:br/>
      </w:r>
      <w:r>
        <w:rPr>
          <w:rFonts w:ascii="Consolas" w:hAnsi="Consolas" w:eastAsia="Consolas"/>
          <w:sz w:val="17"/>
        </w:rPr>
        <w:t>│   └── helm/</w:t>
        <w:br/>
      </w:r>
      <w:r>
        <w:rPr>
          <w:rFonts w:ascii="Consolas" w:hAnsi="Consolas" w:eastAsia="Consolas"/>
          <w:sz w:val="17"/>
        </w:rPr>
        <w:t>│</w:t>
        <w:br/>
      </w:r>
      <w:r>
        <w:rPr>
          <w:rFonts w:ascii="Consolas" w:hAnsi="Consolas" w:eastAsia="Consolas"/>
          <w:sz w:val="17"/>
        </w:rPr>
        <w:t>├── docs/</w:t>
        <w:br/>
      </w:r>
      <w:r>
        <w:rPr>
          <w:rFonts w:ascii="Consolas" w:hAnsi="Consolas" w:eastAsia="Consolas"/>
          <w:sz w:val="17"/>
        </w:rPr>
        <w:t>│   ├── architecture/</w:t>
        <w:br/>
      </w:r>
      <w:r>
        <w:rPr>
          <w:rFonts w:ascii="Consolas" w:hAnsi="Consolas" w:eastAsia="Consolas"/>
          <w:sz w:val="17"/>
        </w:rPr>
        <w:t>│   ├── ux/</w:t>
        <w:br/>
      </w:r>
      <w:r>
        <w:rPr>
          <w:rFonts w:ascii="Consolas" w:hAnsi="Consolas" w:eastAsia="Consolas"/>
          <w:sz w:val="17"/>
        </w:rPr>
        <w:t>│   ├── domain/</w:t>
        <w:br/>
      </w:r>
      <w:r>
        <w:rPr>
          <w:rFonts w:ascii="Consolas" w:hAnsi="Consolas" w:eastAsia="Consolas"/>
          <w:sz w:val="17"/>
        </w:rPr>
        <w:t>│   ├── api/</w:t>
        <w:br/>
      </w:r>
      <w:r>
        <w:rPr>
          <w:rFonts w:ascii="Consolas" w:hAnsi="Consolas" w:eastAsia="Consolas"/>
          <w:sz w:val="17"/>
        </w:rPr>
        <w:t>│   ├── adr/</w:t>
        <w:br/>
      </w:r>
      <w:r>
        <w:rPr>
          <w:rFonts w:ascii="Consolas" w:hAnsi="Consolas" w:eastAsia="Consolas"/>
          <w:sz w:val="17"/>
        </w:rPr>
        <w:t>│   └── implementation/</w:t>
        <w:br/>
      </w:r>
      <w:r>
        <w:rPr>
          <w:rFonts w:ascii="Consolas" w:hAnsi="Consolas" w:eastAsia="Consolas"/>
          <w:sz w:val="17"/>
        </w:rPr>
        <w:t>│</w:t>
        <w:br/>
      </w:r>
      <w:r>
        <w:rPr>
          <w:rFonts w:ascii="Consolas" w:hAnsi="Consolas" w:eastAsia="Consolas"/>
          <w:sz w:val="17"/>
        </w:rPr>
        <w:t>└── examples/</w:t>
        <w:br/>
      </w:r>
    </w:p>
    <w:p>
      <w:pPr>
        <w:pStyle w:val="Heading1"/>
      </w:pPr>
      <w:r>
        <w:t>5. Backend Modular Monolith Structure</w:t>
      </w:r>
    </w:p>
    <w:p>
      <w:r>
        <w:t>Each backend module must be internally consistent. The same folder template should be used across modules unless there is a strong reason not to.</w:t>
      </w:r>
    </w:p>
    <w:p>
      <w:pPr/>
      <w:r>
        <w:rPr>
          <w:rFonts w:ascii="Consolas" w:hAnsi="Consolas" w:eastAsia="Consolas"/>
          <w:sz w:val="17"/>
        </w:rPr>
        <w:t>backend/app/modules/&lt;module_name&gt;/</w:t>
        <w:br/>
      </w:r>
      <w:r>
        <w:rPr>
          <w:rFonts w:ascii="Consolas" w:hAnsi="Consolas" w:eastAsia="Consolas"/>
          <w:sz w:val="17"/>
        </w:rPr>
        <w:t>├── api/</w:t>
        <w:br/>
      </w:r>
      <w:r>
        <w:rPr>
          <w:rFonts w:ascii="Consolas" w:hAnsi="Consolas" w:eastAsia="Consolas"/>
          <w:sz w:val="17"/>
        </w:rPr>
        <w:t>│   ├── routes.py</w:t>
        <w:br/>
      </w:r>
      <w:r>
        <w:rPr>
          <w:rFonts w:ascii="Consolas" w:hAnsi="Consolas" w:eastAsia="Consolas"/>
          <w:sz w:val="17"/>
        </w:rPr>
        <w:t>│   └── schemas.py</w:t>
        <w:br/>
      </w:r>
      <w:r>
        <w:rPr>
          <w:rFonts w:ascii="Consolas" w:hAnsi="Consolas" w:eastAsia="Consolas"/>
          <w:sz w:val="17"/>
        </w:rPr>
        <w:t>├── domain/</w:t>
        <w:br/>
      </w:r>
      <w:r>
        <w:rPr>
          <w:rFonts w:ascii="Consolas" w:hAnsi="Consolas" w:eastAsia="Consolas"/>
          <w:sz w:val="17"/>
        </w:rPr>
        <w:t>│   ├── models.py</w:t>
        <w:br/>
      </w:r>
      <w:r>
        <w:rPr>
          <w:rFonts w:ascii="Consolas" w:hAnsi="Consolas" w:eastAsia="Consolas"/>
          <w:sz w:val="17"/>
        </w:rPr>
        <w:t>│   ├── enums.py</w:t>
        <w:br/>
      </w:r>
      <w:r>
        <w:rPr>
          <w:rFonts w:ascii="Consolas" w:hAnsi="Consolas" w:eastAsia="Consolas"/>
          <w:sz w:val="17"/>
        </w:rPr>
        <w:t>│   └── events.py</w:t>
        <w:br/>
      </w:r>
      <w:r>
        <w:rPr>
          <w:rFonts w:ascii="Consolas" w:hAnsi="Consolas" w:eastAsia="Consolas"/>
          <w:sz w:val="17"/>
        </w:rPr>
        <w:t>├── services/</w:t>
        <w:br/>
      </w:r>
      <w:r>
        <w:rPr>
          <w:rFonts w:ascii="Consolas" w:hAnsi="Consolas" w:eastAsia="Consolas"/>
          <w:sz w:val="17"/>
        </w:rPr>
        <w:t>│   └── &lt;module_name&gt;_service.py</w:t>
        <w:br/>
      </w:r>
      <w:r>
        <w:rPr>
          <w:rFonts w:ascii="Consolas" w:hAnsi="Consolas" w:eastAsia="Consolas"/>
          <w:sz w:val="17"/>
        </w:rPr>
        <w:t>├── repositories/</w:t>
        <w:br/>
      </w:r>
      <w:r>
        <w:rPr>
          <w:rFonts w:ascii="Consolas" w:hAnsi="Consolas" w:eastAsia="Consolas"/>
          <w:sz w:val="17"/>
        </w:rPr>
        <w:t>│   ├── interfaces.py</w:t>
        <w:br/>
      </w:r>
      <w:r>
        <w:rPr>
          <w:rFonts w:ascii="Consolas" w:hAnsi="Consolas" w:eastAsia="Consolas"/>
          <w:sz w:val="17"/>
        </w:rPr>
        <w:t>│   └── sqlalchemy_repository.py</w:t>
        <w:br/>
      </w:r>
      <w:r>
        <w:rPr>
          <w:rFonts w:ascii="Consolas" w:hAnsi="Consolas" w:eastAsia="Consolas"/>
          <w:sz w:val="17"/>
        </w:rPr>
        <w:t>├── ports/</w:t>
        <w:br/>
      </w:r>
      <w:r>
        <w:rPr>
          <w:rFonts w:ascii="Consolas" w:hAnsi="Consolas" w:eastAsia="Consolas"/>
          <w:sz w:val="17"/>
        </w:rPr>
        <w:t>│   └── interfaces.py</w:t>
        <w:br/>
      </w:r>
      <w:r>
        <w:rPr>
          <w:rFonts w:ascii="Consolas" w:hAnsi="Consolas" w:eastAsia="Consolas"/>
          <w:sz w:val="17"/>
        </w:rPr>
        <w:t>└── __init__.py</w:t>
        <w:br/>
      </w:r>
    </w:p>
    <w:p>
      <w:pPr>
        <w:pStyle w:val="Heading2"/>
      </w:pPr>
      <w:r>
        <w:t>5.1 Core Modules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Module</w:t>
            </w:r>
          </w:p>
        </w:tc>
        <w:tc>
          <w:tcPr>
            <w:tcW w:type="dxa" w:w="3360"/>
            <w:vAlign w:val="top"/>
            <w:shd w:fill="D9EAF7"/>
          </w:tcPr>
          <w:p>
            <w:r/>
            <w:r>
              <w:rPr>
                <w:b/>
                <w:sz w:val="18"/>
              </w:rPr>
              <w:t>Owns</w:t>
            </w:r>
          </w:p>
        </w:tc>
        <w:tc>
          <w:tcPr>
            <w:tcW w:type="dxa" w:w="3360"/>
            <w:vAlign w:val="top"/>
            <w:shd w:fill="D9EAF7"/>
          </w:tcPr>
          <w:p>
            <w:r/>
            <w:r>
              <w:rPr>
                <w:b/>
                <w:sz w:val="18"/>
              </w:rPr>
              <w:t>Does Not Own</w:t>
            </w:r>
          </w:p>
        </w:tc>
      </w:tr>
      <w:tr>
        <w:tc>
          <w:tcPr>
            <w:tcW w:type="dxa" w:w="3360"/>
            <w:vAlign w:val="top"/>
          </w:tcPr>
          <w:p>
            <w:r/>
            <w:r>
              <w:rPr>
                <w:b w:val="0"/>
                <w:sz w:val="18"/>
              </w:rPr>
              <w:t>applications</w:t>
            </w:r>
          </w:p>
        </w:tc>
        <w:tc>
          <w:tcPr>
            <w:tcW w:type="dxa" w:w="3360"/>
            <w:vAlign w:val="top"/>
          </w:tcPr>
          <w:p>
            <w:r/>
            <w:r>
              <w:rPr>
                <w:b w:val="0"/>
                <w:sz w:val="18"/>
              </w:rPr>
              <w:t>Application, ApplicationWorkspace, lifecycle, namespace metadata</w:t>
            </w:r>
          </w:p>
        </w:tc>
        <w:tc>
          <w:tcPr>
            <w:tcW w:type="dxa" w:w="3360"/>
            <w:vAlign w:val="top"/>
          </w:tcPr>
          <w:p>
            <w:r/>
            <w:r>
              <w:rPr>
                <w:b w:val="0"/>
                <w:sz w:val="18"/>
              </w:rPr>
              <w:t>Ontology, KG, Product, Agent, Blueprint content</w:t>
            </w:r>
          </w:p>
        </w:tc>
      </w:tr>
      <w:tr>
        <w:tc>
          <w:tcPr>
            <w:tcW w:type="dxa" w:w="3360"/>
            <w:vAlign w:val="top"/>
          </w:tcPr>
          <w:p>
            <w:r/>
            <w:r>
              <w:rPr>
                <w:b w:val="0"/>
                <w:sz w:val="18"/>
              </w:rPr>
              <w:t>discovery</w:t>
            </w:r>
          </w:p>
        </w:tc>
        <w:tc>
          <w:tcPr>
            <w:tcW w:type="dxa" w:w="3360"/>
            <w:vAlign w:val="top"/>
          </w:tcPr>
          <w:p>
            <w:r/>
            <w:r>
              <w:rPr>
                <w:b w:val="0"/>
                <w:sz w:val="18"/>
              </w:rPr>
              <w:t>DiscoverySession, intent capture, recommendations, discovery history</w:t>
            </w:r>
          </w:p>
        </w:tc>
        <w:tc>
          <w:tcPr>
            <w:tcW w:type="dxa" w:w="3360"/>
            <w:vAlign w:val="top"/>
          </w:tcPr>
          <w:p>
            <w:r/>
            <w:r>
              <w:rPr>
                <w:b w:val="0"/>
                <w:sz w:val="18"/>
              </w:rPr>
              <w:t>Final Blueprint, Application, runtime assets</w:t>
            </w:r>
          </w:p>
        </w:tc>
      </w:tr>
      <w:tr>
        <w:tc>
          <w:tcPr>
            <w:tcW w:type="dxa" w:w="3360"/>
            <w:vAlign w:val="top"/>
          </w:tcPr>
          <w:p>
            <w:r/>
            <w:r>
              <w:rPr>
                <w:b w:val="0"/>
                <w:sz w:val="18"/>
              </w:rPr>
              <w:t>blueprints</w:t>
            </w:r>
          </w:p>
        </w:tc>
        <w:tc>
          <w:tcPr>
            <w:tcW w:type="dxa" w:w="3360"/>
            <w:vAlign w:val="top"/>
          </w:tcPr>
          <w:p>
            <w:r/>
            <w:r>
              <w:rPr>
                <w:b w:val="0"/>
                <w:sz w:val="18"/>
              </w:rPr>
              <w:t>Blueprint, versions, review, approval, impact analysis</w:t>
            </w:r>
          </w:p>
        </w:tc>
        <w:tc>
          <w:tcPr>
            <w:tcW w:type="dxa" w:w="3360"/>
            <w:vAlign w:val="top"/>
          </w:tcPr>
          <w:p>
            <w:r/>
            <w:r>
              <w:rPr>
                <w:b w:val="0"/>
                <w:sz w:val="18"/>
              </w:rPr>
              <w:t>Ontology, Agent, Product lifecycle</w:t>
            </w:r>
          </w:p>
        </w:tc>
      </w:tr>
      <w:tr>
        <w:tc>
          <w:tcPr>
            <w:tcW w:type="dxa" w:w="3360"/>
            <w:vAlign w:val="top"/>
          </w:tcPr>
          <w:p>
            <w:r/>
            <w:r>
              <w:rPr>
                <w:b w:val="0"/>
                <w:sz w:val="18"/>
              </w:rPr>
              <w:t>assets</w:t>
            </w:r>
          </w:p>
        </w:tc>
        <w:tc>
          <w:tcPr>
            <w:tcW w:type="dxa" w:w="3360"/>
            <w:vAlign w:val="top"/>
          </w:tcPr>
          <w:p>
            <w:r/>
            <w:r>
              <w:rPr>
                <w:b w:val="0"/>
                <w:sz w:val="18"/>
              </w:rPr>
              <w:t>AssetRecord registry, metadata index, relationships, search</w:t>
            </w:r>
          </w:p>
        </w:tc>
        <w:tc>
          <w:tcPr>
            <w:tcW w:type="dxa" w:w="3360"/>
            <w:vAlign w:val="top"/>
          </w:tcPr>
          <w:p>
            <w:r/>
            <w:r>
              <w:rPr>
                <w:b w:val="0"/>
                <w:sz w:val="18"/>
              </w:rPr>
              <w:t>Actual specialized asset contents</w:t>
            </w:r>
          </w:p>
        </w:tc>
      </w:tr>
      <w:tr>
        <w:tc>
          <w:tcPr>
            <w:tcW w:type="dxa" w:w="3360"/>
            <w:vAlign w:val="top"/>
          </w:tcPr>
          <w:p>
            <w:r/>
            <w:r>
              <w:rPr>
                <w:b w:val="0"/>
                <w:sz w:val="18"/>
              </w:rPr>
              <w:t>ontology</w:t>
            </w:r>
          </w:p>
        </w:tc>
        <w:tc>
          <w:tcPr>
            <w:tcW w:type="dxa" w:w="3360"/>
            <w:vAlign w:val="top"/>
          </w:tcPr>
          <w:p>
            <w:r/>
            <w:r>
              <w:rPr>
                <w:b w:val="0"/>
                <w:sz w:val="18"/>
              </w:rPr>
              <w:t>Ontology lifecycle, versions, import/export, validation</w:t>
            </w:r>
          </w:p>
        </w:tc>
        <w:tc>
          <w:tcPr>
            <w:tcW w:type="dxa" w:w="3360"/>
            <w:vAlign w:val="top"/>
          </w:tcPr>
          <w:p>
            <w:r/>
            <w:r>
              <w:rPr>
                <w:b w:val="0"/>
                <w:sz w:val="18"/>
              </w:rPr>
              <w:t>Knowledge Graph runtime contents</w:t>
            </w:r>
          </w:p>
        </w:tc>
      </w:tr>
      <w:tr>
        <w:tc>
          <w:tcPr>
            <w:tcW w:type="dxa" w:w="3360"/>
            <w:vAlign w:val="top"/>
          </w:tcPr>
          <w:p>
            <w:r/>
            <w:r>
              <w:rPr>
                <w:b w:val="0"/>
                <w:sz w:val="18"/>
              </w:rPr>
              <w:t>knowledge_graph</w:t>
            </w:r>
          </w:p>
        </w:tc>
        <w:tc>
          <w:tcPr>
            <w:tcW w:type="dxa" w:w="3360"/>
            <w:vAlign w:val="top"/>
          </w:tcPr>
          <w:p>
            <w:r/>
            <w:r>
              <w:rPr>
                <w:b w:val="0"/>
                <w:sz w:val="18"/>
              </w:rPr>
              <w:t>KG population, query, traversal, refresh</w:t>
            </w:r>
          </w:p>
        </w:tc>
        <w:tc>
          <w:tcPr>
            <w:tcW w:type="dxa" w:w="3360"/>
            <w:vAlign w:val="top"/>
          </w:tcPr>
          <w:p>
            <w:r/>
            <w:r>
              <w:rPr>
                <w:b w:val="0"/>
                <w:sz w:val="18"/>
              </w:rPr>
              <w:t>Ontology definition lifecycle</w:t>
            </w:r>
          </w:p>
        </w:tc>
      </w:tr>
      <w:tr>
        <w:tc>
          <w:tcPr>
            <w:tcW w:type="dxa" w:w="3360"/>
            <w:vAlign w:val="top"/>
          </w:tcPr>
          <w:p>
            <w:r/>
            <w:r>
              <w:rPr>
                <w:b w:val="0"/>
                <w:sz w:val="18"/>
              </w:rPr>
              <w:t>products</w:t>
            </w:r>
          </w:p>
        </w:tc>
        <w:tc>
          <w:tcPr>
            <w:tcW w:type="dxa" w:w="3360"/>
            <w:vAlign w:val="top"/>
          </w:tcPr>
          <w:p>
            <w:r/>
            <w:r>
              <w:rPr>
                <w:b w:val="0"/>
                <w:sz w:val="18"/>
              </w:rPr>
              <w:t>PublishedDataProduct registration, discovery, consumption metadata</w:t>
            </w:r>
          </w:p>
        </w:tc>
        <w:tc>
          <w:tcPr>
            <w:tcW w:type="dxa" w:w="3360"/>
            <w:vAlign w:val="top"/>
          </w:tcPr>
          <w:p>
            <w:r/>
            <w:r>
              <w:rPr>
                <w:b w:val="0"/>
                <w:sz w:val="18"/>
              </w:rPr>
              <w:t>Data product engineering internals</w:t>
            </w:r>
          </w:p>
        </w:tc>
      </w:tr>
      <w:tr>
        <w:tc>
          <w:tcPr>
            <w:tcW w:type="dxa" w:w="3360"/>
            <w:vAlign w:val="top"/>
          </w:tcPr>
          <w:p>
            <w:r/>
            <w:r>
              <w:rPr>
                <w:b w:val="0"/>
                <w:sz w:val="18"/>
              </w:rPr>
              <w:t>agents</w:t>
            </w:r>
          </w:p>
        </w:tc>
        <w:tc>
          <w:tcPr>
            <w:tcW w:type="dxa" w:w="3360"/>
            <w:vAlign w:val="top"/>
          </w:tcPr>
          <w:p>
            <w:r/>
            <w:r>
              <w:rPr>
                <w:b w:val="0"/>
                <w:sz w:val="18"/>
              </w:rPr>
              <w:t>AgentDefinition, purpose, policies, product references</w:t>
            </w:r>
          </w:p>
        </w:tc>
        <w:tc>
          <w:tcPr>
            <w:tcW w:type="dxa" w:w="3360"/>
            <w:vAlign w:val="top"/>
          </w:tcPr>
          <w:p>
            <w:r/>
            <w:r>
              <w:rPr>
                <w:b w:val="0"/>
                <w:sz w:val="18"/>
              </w:rPr>
              <w:t>Runtime execution state and LLM sessions</w:t>
            </w:r>
          </w:p>
        </w:tc>
      </w:tr>
      <w:tr>
        <w:tc>
          <w:tcPr>
            <w:tcW w:type="dxa" w:w="3360"/>
            <w:vAlign w:val="top"/>
          </w:tcPr>
          <w:p>
            <w:r/>
            <w:r>
              <w:rPr>
                <w:b w:val="0"/>
                <w:sz w:val="18"/>
              </w:rPr>
              <w:t>agent_runtime</w:t>
            </w:r>
          </w:p>
        </w:tc>
        <w:tc>
          <w:tcPr>
            <w:tcW w:type="dxa" w:w="3360"/>
            <w:vAlign w:val="top"/>
          </w:tcPr>
          <w:p>
            <w:r/>
            <w:r>
              <w:rPr>
                <w:b w:val="0"/>
                <w:sz w:val="18"/>
              </w:rPr>
              <w:t>Agent execution, tool invocation, runtime context</w:t>
            </w:r>
          </w:p>
        </w:tc>
        <w:tc>
          <w:tcPr>
            <w:tcW w:type="dxa" w:w="3360"/>
            <w:vAlign w:val="top"/>
          </w:tcPr>
          <w:p>
            <w:r/>
            <w:r>
              <w:rPr>
                <w:b w:val="0"/>
                <w:sz w:val="18"/>
              </w:rPr>
              <w:t>Persistent AgentDefinition ownership</w:t>
            </w:r>
          </w:p>
        </w:tc>
      </w:tr>
      <w:tr>
        <w:tc>
          <w:tcPr>
            <w:tcW w:type="dxa" w:w="3360"/>
            <w:vAlign w:val="top"/>
          </w:tcPr>
          <w:p>
            <w:r/>
            <w:r>
              <w:rPr>
                <w:b w:val="0"/>
                <w:sz w:val="18"/>
              </w:rPr>
              <w:t>governance</w:t>
            </w:r>
          </w:p>
        </w:tc>
        <w:tc>
          <w:tcPr>
            <w:tcW w:type="dxa" w:w="3360"/>
            <w:vAlign w:val="top"/>
          </w:tcPr>
          <w:p>
            <w:r/>
            <w:r>
              <w:rPr>
                <w:b w:val="0"/>
                <w:sz w:val="18"/>
              </w:rPr>
              <w:t>Policy, approvals, impact analysis, policy evaluation</w:t>
            </w:r>
          </w:p>
        </w:tc>
        <w:tc>
          <w:tcPr>
            <w:tcW w:type="dxa" w:w="3360"/>
            <w:vAlign w:val="top"/>
          </w:tcPr>
          <w:p>
            <w:r/>
            <w:r>
              <w:rPr>
                <w:b w:val="0"/>
                <w:sz w:val="18"/>
              </w:rPr>
              <w:t>Identity provider, SSO, infra auth</w:t>
            </w:r>
          </w:p>
        </w:tc>
      </w:tr>
      <w:tr>
        <w:tc>
          <w:tcPr>
            <w:tcW w:type="dxa" w:w="3360"/>
            <w:vAlign w:val="top"/>
          </w:tcPr>
          <w:p>
            <w:r/>
            <w:r>
              <w:rPr>
                <w:b w:val="0"/>
                <w:sz w:val="18"/>
              </w:rPr>
              <w:t>adapters</w:t>
            </w:r>
          </w:p>
        </w:tc>
        <w:tc>
          <w:tcPr>
            <w:tcW w:type="dxa" w:w="3360"/>
            <w:vAlign w:val="top"/>
          </w:tcPr>
          <w:p>
            <w:r/>
            <w:r>
              <w:rPr>
                <w:b w:val="0"/>
                <w:sz w:val="18"/>
              </w:rPr>
              <w:t>TechnologyAdapter definitions, binding, health</w:t>
            </w:r>
          </w:p>
        </w:tc>
        <w:tc>
          <w:tcPr>
            <w:tcW w:type="dxa" w:w="3360"/>
            <w:vAlign w:val="top"/>
          </w:tcPr>
          <w:p>
            <w:r/>
            <w:r>
              <w:rPr>
                <w:b w:val="0"/>
                <w:sz w:val="18"/>
              </w:rPr>
              <w:t>External technology installation</w:t>
            </w:r>
          </w:p>
        </w:tc>
      </w:tr>
      <w:tr>
        <w:tc>
          <w:tcPr>
            <w:tcW w:type="dxa" w:w="3360"/>
            <w:vAlign w:val="top"/>
          </w:tcPr>
          <w:p>
            <w:r/>
            <w:r>
              <w:rPr>
                <w:b w:val="0"/>
                <w:sz w:val="18"/>
              </w:rPr>
              <w:t>audit_trace</w:t>
            </w:r>
          </w:p>
        </w:tc>
        <w:tc>
          <w:tcPr>
            <w:tcW w:type="dxa" w:w="3360"/>
            <w:vAlign w:val="top"/>
          </w:tcPr>
          <w:p>
            <w:r/>
            <w:r>
              <w:rPr>
                <w:b w:val="0"/>
                <w:sz w:val="18"/>
              </w:rPr>
              <w:t>SemanticTransaction, TraceStep</w:t>
            </w:r>
          </w:p>
        </w:tc>
        <w:tc>
          <w:tcPr>
            <w:tcW w:type="dxa" w:w="3360"/>
            <w:vAlign w:val="top"/>
          </w:tcPr>
          <w:p>
            <w:r/>
            <w:r>
              <w:rPr>
                <w:b w:val="0"/>
                <w:sz w:val="18"/>
              </w:rPr>
              <w:t>Raw infrastructure logs as primary interface</w:t>
            </w:r>
          </w:p>
        </w:tc>
      </w:tr>
      <w:tr>
        <w:tc>
          <w:tcPr>
            <w:tcW w:type="dxa" w:w="3360"/>
            <w:vAlign w:val="top"/>
          </w:tcPr>
          <w:p>
            <w:r/>
            <w:r>
              <w:rPr>
                <w:b w:val="0"/>
                <w:sz w:val="18"/>
              </w:rPr>
              <w:t>platform_admin</w:t>
            </w:r>
          </w:p>
        </w:tc>
        <w:tc>
          <w:tcPr>
            <w:tcW w:type="dxa" w:w="3360"/>
            <w:vAlign w:val="top"/>
          </w:tcPr>
          <w:p>
            <w:r/>
            <w:r>
              <w:rPr>
                <w:b w:val="0"/>
                <w:sz w:val="18"/>
              </w:rPr>
              <w:t>Platform settings, environments, health overview</w:t>
            </w:r>
          </w:p>
        </w:tc>
        <w:tc>
          <w:tcPr>
            <w:tcW w:type="dxa" w:w="3360"/>
            <w:vAlign w:val="top"/>
          </w:tcPr>
          <w:p>
            <w:r/>
            <w:r>
              <w:rPr>
                <w:b w:val="0"/>
                <w:sz w:val="18"/>
              </w:rPr>
              <w:t>Business assets</w:t>
            </w:r>
          </w:p>
        </w:tc>
      </w:tr>
    </w:tbl>
    <w:p/>
    <w:p>
      <w:pPr>
        <w:pStyle w:val="Heading1"/>
      </w:pPr>
      <w:r>
        <w:t>6. Dependency Rules</w:t>
      </w:r>
    </w:p>
    <w:p>
      <w:pPr>
        <w:pStyle w:val="ListBullet"/>
      </w:pPr>
      <w:r>
        <w:t>API routes call application/module services, not repositories directly.</w:t>
      </w:r>
    </w:p>
    <w:p>
      <w:pPr>
        <w:pStyle w:val="ListBullet"/>
      </w:pPr>
      <w:r>
        <w:t>Services coordinate domain logic and call repositories or ports.</w:t>
      </w:r>
    </w:p>
    <w:p>
      <w:pPr>
        <w:pStyle w:val="ListBullet"/>
      </w:pPr>
      <w:r>
        <w:t>Domain models must not import FastAPI, SQLAlchemy sessions, external clients, or adapter implementations.</w:t>
      </w:r>
    </w:p>
    <w:p>
      <w:pPr>
        <w:pStyle w:val="ListBullet"/>
      </w:pPr>
      <w:r>
        <w:t>Repositories implement persistence behind interfaces.</w:t>
      </w:r>
    </w:p>
    <w:p>
      <w:pPr>
        <w:pStyle w:val="ListBullet"/>
      </w:pPr>
      <w:r>
        <w:t>Ports define capability-level interfaces.</w:t>
      </w:r>
    </w:p>
    <w:p>
      <w:pPr>
        <w:pStyle w:val="ListBullet"/>
      </w:pPr>
      <w:r>
        <w:t>Adapters implement ports and wrap external technology clients.</w:t>
      </w:r>
    </w:p>
    <w:p>
      <w:pPr>
        <w:pStyle w:val="ListBullet"/>
      </w:pPr>
      <w:r>
        <w:t>Modules communicate through service calls for immediate operations and domain events for lifecycle reactions.</w:t>
      </w:r>
    </w:p>
    <w:p>
      <w:pPr/>
      <w:r>
        <w:rPr>
          <w:rFonts w:ascii="Consolas" w:hAnsi="Consolas" w:eastAsia="Consolas"/>
          <w:sz w:val="17"/>
        </w:rPr>
        <w:t>Allowed flow:</w:t>
        <w:br/>
      </w:r>
      <w:r>
        <w:rPr>
          <w:rFonts w:ascii="Consolas" w:hAnsi="Consolas" w:eastAsia="Consolas"/>
          <w:sz w:val="17"/>
        </w:rPr>
        <w:t>API Route</w:t>
        <w:br/>
      </w:r>
      <w:r>
        <w:rPr>
          <w:rFonts w:ascii="Consolas" w:hAnsi="Consolas" w:eastAsia="Consolas"/>
          <w:sz w:val="17"/>
        </w:rPr>
        <w:t>↓</w:t>
        <w:br/>
      </w:r>
      <w:r>
        <w:rPr>
          <w:rFonts w:ascii="Consolas" w:hAnsi="Consolas" w:eastAsia="Consolas"/>
          <w:sz w:val="17"/>
        </w:rPr>
        <w:t>Module Service</w:t>
        <w:br/>
      </w:r>
      <w:r>
        <w:rPr>
          <w:rFonts w:ascii="Consolas" w:hAnsi="Consolas" w:eastAsia="Consolas"/>
          <w:sz w:val="17"/>
        </w:rPr>
        <w:t>↓</w:t>
        <w:br/>
      </w:r>
      <w:r>
        <w:rPr>
          <w:rFonts w:ascii="Consolas" w:hAnsi="Consolas" w:eastAsia="Consolas"/>
          <w:sz w:val="17"/>
        </w:rPr>
        <w:t>Domain Model / Repository Interface / Capability Port</w:t>
        <w:br/>
      </w:r>
      <w:r>
        <w:rPr>
          <w:rFonts w:ascii="Consolas" w:hAnsi="Consolas" w:eastAsia="Consolas"/>
          <w:sz w:val="17"/>
        </w:rPr>
        <w:t>↓</w:t>
        <w:br/>
      </w:r>
      <w:r>
        <w:rPr>
          <w:rFonts w:ascii="Consolas" w:hAnsi="Consolas" w:eastAsia="Consolas"/>
          <w:sz w:val="17"/>
        </w:rPr>
        <w:t>Repository Implementation or Technology Adapter</w:t>
        <w:br/>
      </w:r>
      <w:r>
        <w:rPr>
          <w:rFonts w:ascii="Consolas" w:hAnsi="Consolas" w:eastAsia="Consolas"/>
          <w:sz w:val="17"/>
        </w:rPr>
        <w:t>↓</w:t>
        <w:br/>
      </w:r>
      <w:r>
        <w:rPr>
          <w:rFonts w:ascii="Consolas" w:hAnsi="Consolas" w:eastAsia="Consolas"/>
          <w:sz w:val="17"/>
        </w:rPr>
        <w:t>External Technology</w:t>
        <w:br/>
      </w:r>
      <w:r>
        <w:rPr>
          <w:rFonts w:ascii="Consolas" w:hAnsi="Consolas" w:eastAsia="Consolas"/>
          <w:sz w:val="17"/>
        </w:rPr>
        <w:br/>
      </w:r>
      <w:r>
        <w:rPr>
          <w:rFonts w:ascii="Consolas" w:hAnsi="Consolas" w:eastAsia="Consolas"/>
          <w:sz w:val="17"/>
        </w:rPr>
        <w:t>Forbidden flow:</w:t>
        <w:br/>
      </w:r>
      <w:r>
        <w:rPr>
          <w:rFonts w:ascii="Consolas" w:hAnsi="Consolas" w:eastAsia="Consolas"/>
          <w:sz w:val="17"/>
        </w:rPr>
        <w:t>API Route</w:t>
        <w:br/>
      </w:r>
      <w:r>
        <w:rPr>
          <w:rFonts w:ascii="Consolas" w:hAnsi="Consolas" w:eastAsia="Consolas"/>
          <w:sz w:val="17"/>
        </w:rPr>
        <w:t>↓</w:t>
        <w:br/>
      </w:r>
      <w:r>
        <w:rPr>
          <w:rFonts w:ascii="Consolas" w:hAnsi="Consolas" w:eastAsia="Consolas"/>
          <w:sz w:val="17"/>
        </w:rPr>
        <w:t>MinIO / Oracle / Qdrant / OpenAI directly</w:t>
        <w:br/>
      </w:r>
    </w:p>
    <w:p>
      <w:pPr>
        <w:pStyle w:val="Heading1"/>
      </w:pPr>
      <w:r>
        <w:t>7. Ports &amp; Adapters Rules</w:t>
      </w:r>
    </w:p>
    <w:p>
      <w:r>
        <w:t>Ports &amp; Adapters are mandatory for technology independence. The REST API, domain model and service layer must remain stable when replacing MinIO with S3, Fuseki with GraphDB, Qdrant with Weaviate, or OpenAI with another provider.</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Port</w:t>
            </w:r>
          </w:p>
        </w:tc>
        <w:tc>
          <w:tcPr>
            <w:tcW w:type="dxa" w:w="5040"/>
            <w:vAlign w:val="top"/>
            <w:shd w:fill="D9EAF7"/>
          </w:tcPr>
          <w:p>
            <w:r/>
            <w:r>
              <w:rPr>
                <w:b/>
                <w:sz w:val="18"/>
              </w:rPr>
              <w:t>Possible Adapters</w:t>
            </w:r>
          </w:p>
        </w:tc>
      </w:tr>
      <w:tr>
        <w:tc>
          <w:tcPr>
            <w:tcW w:type="dxa" w:w="5040"/>
            <w:vAlign w:val="top"/>
          </w:tcPr>
          <w:p>
            <w:r/>
            <w:r>
              <w:rPr>
                <w:b w:val="0"/>
                <w:sz w:val="18"/>
              </w:rPr>
              <w:t>ObjectStoragePort</w:t>
            </w:r>
          </w:p>
        </w:tc>
        <w:tc>
          <w:tcPr>
            <w:tcW w:type="dxa" w:w="5040"/>
            <w:vAlign w:val="top"/>
          </w:tcPr>
          <w:p>
            <w:r/>
            <w:r>
              <w:rPr>
                <w:b w:val="0"/>
                <w:sz w:val="18"/>
              </w:rPr>
              <w:t>MinIOAdapter, S3Adapter, AzureBlobAdapter</w:t>
            </w:r>
          </w:p>
        </w:tc>
      </w:tr>
      <w:tr>
        <w:tc>
          <w:tcPr>
            <w:tcW w:type="dxa" w:w="5040"/>
            <w:vAlign w:val="top"/>
          </w:tcPr>
          <w:p>
            <w:r/>
            <w:r>
              <w:rPr>
                <w:b w:val="0"/>
                <w:sz w:val="18"/>
              </w:rPr>
              <w:t>RelationalDatabasePort</w:t>
            </w:r>
          </w:p>
        </w:tc>
        <w:tc>
          <w:tcPr>
            <w:tcW w:type="dxa" w:w="5040"/>
            <w:vAlign w:val="top"/>
          </w:tcPr>
          <w:p>
            <w:r/>
            <w:r>
              <w:rPr>
                <w:b w:val="0"/>
                <w:sz w:val="18"/>
              </w:rPr>
              <w:t>PostgreSQLAdapter, OracleAdapter, SQLServerAdapter</w:t>
            </w:r>
          </w:p>
        </w:tc>
      </w:tr>
      <w:tr>
        <w:tc>
          <w:tcPr>
            <w:tcW w:type="dxa" w:w="5040"/>
            <w:vAlign w:val="top"/>
          </w:tcPr>
          <w:p>
            <w:r/>
            <w:r>
              <w:rPr>
                <w:b w:val="0"/>
                <w:sz w:val="18"/>
              </w:rPr>
              <w:t>KnowledgeGraphPort</w:t>
            </w:r>
          </w:p>
        </w:tc>
        <w:tc>
          <w:tcPr>
            <w:tcW w:type="dxa" w:w="5040"/>
            <w:vAlign w:val="top"/>
          </w:tcPr>
          <w:p>
            <w:r/>
            <w:r>
              <w:rPr>
                <w:b w:val="0"/>
                <w:sz w:val="18"/>
              </w:rPr>
              <w:t>FusekiAdapter, GraphDBAdapter, Neo4jAdapter</w:t>
            </w:r>
          </w:p>
        </w:tc>
      </w:tr>
      <w:tr>
        <w:tc>
          <w:tcPr>
            <w:tcW w:type="dxa" w:w="5040"/>
            <w:vAlign w:val="top"/>
          </w:tcPr>
          <w:p>
            <w:r/>
            <w:r>
              <w:rPr>
                <w:b w:val="0"/>
                <w:sz w:val="18"/>
              </w:rPr>
              <w:t>VectorStorePort</w:t>
            </w:r>
          </w:p>
        </w:tc>
        <w:tc>
          <w:tcPr>
            <w:tcW w:type="dxa" w:w="5040"/>
            <w:vAlign w:val="top"/>
          </w:tcPr>
          <w:p>
            <w:r/>
            <w:r>
              <w:rPr>
                <w:b w:val="0"/>
                <w:sz w:val="18"/>
              </w:rPr>
              <w:t>QdrantAdapter, WeaviateAdapter, PineconeAdapter</w:t>
            </w:r>
          </w:p>
        </w:tc>
      </w:tr>
      <w:tr>
        <w:tc>
          <w:tcPr>
            <w:tcW w:type="dxa" w:w="5040"/>
            <w:vAlign w:val="top"/>
          </w:tcPr>
          <w:p>
            <w:r/>
            <w:r>
              <w:rPr>
                <w:b w:val="0"/>
                <w:sz w:val="18"/>
              </w:rPr>
              <w:t>MetadataCatalogPort</w:t>
            </w:r>
          </w:p>
        </w:tc>
        <w:tc>
          <w:tcPr>
            <w:tcW w:type="dxa" w:w="5040"/>
            <w:vAlign w:val="top"/>
          </w:tcPr>
          <w:p>
            <w:r/>
            <w:r>
              <w:rPr>
                <w:b w:val="0"/>
                <w:sz w:val="18"/>
              </w:rPr>
              <w:t>OpenMetadataAdapter, DataHubAdapter, CollibraAdapter</w:t>
            </w:r>
          </w:p>
        </w:tc>
      </w:tr>
      <w:tr>
        <w:tc>
          <w:tcPr>
            <w:tcW w:type="dxa" w:w="5040"/>
            <w:vAlign w:val="top"/>
          </w:tcPr>
          <w:p>
            <w:r/>
            <w:r>
              <w:rPr>
                <w:b w:val="0"/>
                <w:sz w:val="18"/>
              </w:rPr>
              <w:t>LLMPort</w:t>
            </w:r>
          </w:p>
        </w:tc>
        <w:tc>
          <w:tcPr>
            <w:tcW w:type="dxa" w:w="5040"/>
            <w:vAlign w:val="top"/>
          </w:tcPr>
          <w:p>
            <w:r/>
            <w:r>
              <w:rPr>
                <w:b w:val="0"/>
                <w:sz w:val="18"/>
              </w:rPr>
              <w:t>OpenAIAdapter, AnthropicAdapter, AzureOpenAIAdapter</w:t>
            </w:r>
          </w:p>
        </w:tc>
      </w:tr>
      <w:tr>
        <w:tc>
          <w:tcPr>
            <w:tcW w:type="dxa" w:w="5040"/>
            <w:vAlign w:val="top"/>
          </w:tcPr>
          <w:p>
            <w:r/>
            <w:r>
              <w:rPr>
                <w:b w:val="0"/>
                <w:sz w:val="18"/>
              </w:rPr>
              <w:t>EmbeddingPort</w:t>
            </w:r>
          </w:p>
        </w:tc>
        <w:tc>
          <w:tcPr>
            <w:tcW w:type="dxa" w:w="5040"/>
            <w:vAlign w:val="top"/>
          </w:tcPr>
          <w:p>
            <w:r/>
            <w:r>
              <w:rPr>
                <w:b w:val="0"/>
                <w:sz w:val="18"/>
              </w:rPr>
              <w:t>OpenAIEmbeddingAdapter, LocalEmbeddingAdapter</w:t>
            </w:r>
          </w:p>
        </w:tc>
      </w:tr>
    </w:tbl>
    <w:p/>
    <w:p>
      <w:pPr>
        <w:pStyle w:val="Heading2"/>
      </w:pPr>
      <w:r>
        <w:t>7.1 Adapter Factory Rule</w:t>
      </w:r>
    </w:p>
    <w:p>
      <w:r>
        <w:t>Adapters are selected by configuration at startup. Factories or an adapter registry may instantiate the correct implementation.</w:t>
      </w:r>
    </w:p>
    <w:p>
      <w:pPr/>
      <w:r>
        <w:rPr>
          <w:rFonts w:ascii="Consolas" w:hAnsi="Consolas" w:eastAsia="Consolas"/>
          <w:sz w:val="17"/>
        </w:rPr>
        <w:t>class ObjectStoragePort(Protocol):</w:t>
        <w:br/>
      </w:r>
      <w:r>
        <w:rPr>
          <w:rFonts w:ascii="Consolas" w:hAnsi="Consolas" w:eastAsia="Consolas"/>
          <w:sz w:val="17"/>
        </w:rPr>
        <w:t xml:space="preserve">    async def put_object(self, namespace: str, key: str, data: bytes) -&gt; str: ...</w:t>
        <w:br/>
      </w:r>
      <w:r>
        <w:rPr>
          <w:rFonts w:ascii="Consolas" w:hAnsi="Consolas" w:eastAsia="Consolas"/>
          <w:sz w:val="17"/>
        </w:rPr>
        <w:t xml:space="preserve">    async def get_object(self, namespace: str, key: str) -&gt; bytes: ...</w:t>
        <w:br/>
      </w:r>
      <w:r>
        <w:rPr>
          <w:rFonts w:ascii="Consolas" w:hAnsi="Consolas" w:eastAsia="Consolas"/>
          <w:sz w:val="17"/>
        </w:rPr>
        <w:br/>
      </w:r>
      <w:r>
        <w:rPr>
          <w:rFonts w:ascii="Consolas" w:hAnsi="Consolas" w:eastAsia="Consolas"/>
          <w:sz w:val="17"/>
        </w:rPr>
        <w:t>class MinioObjectStorageAdapter(ObjectStoragePort):</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class S3ObjectStorageAdapter(ObjectStoragePort):</w:t>
        <w:br/>
      </w:r>
      <w:r>
        <w:rPr>
          <w:rFonts w:ascii="Consolas" w:hAnsi="Consolas" w:eastAsia="Consolas"/>
          <w:sz w:val="17"/>
        </w:rPr>
        <w:t xml:space="preserve">    ...</w:t>
        <w:br/>
      </w:r>
      <w:r>
        <w:rPr>
          <w:rFonts w:ascii="Consolas" w:hAnsi="Consolas" w:eastAsia="Consolas"/>
          <w:sz w:val="17"/>
        </w:rPr>
        <w:br/>
      </w:r>
      <w:r>
        <w:rPr>
          <w:rFonts w:ascii="Consolas" w:hAnsi="Consolas" w:eastAsia="Consolas"/>
          <w:sz w:val="17"/>
        </w:rPr>
        <w:t>class ObjectStorageAdapterFactory:</w:t>
        <w:br/>
      </w:r>
      <w:r>
        <w:rPr>
          <w:rFonts w:ascii="Consolas" w:hAnsi="Consolas" w:eastAsia="Consolas"/>
          <w:sz w:val="17"/>
        </w:rPr>
        <w:t xml:space="preserve">    def create(self) -&gt; ObjectStoragePort:</w:t>
        <w:br/>
      </w:r>
      <w:r>
        <w:rPr>
          <w:rFonts w:ascii="Consolas" w:hAnsi="Consolas" w:eastAsia="Consolas"/>
          <w:sz w:val="17"/>
        </w:rPr>
        <w:t xml:space="preserve">        provider = settings.object_storage_provider</w:t>
        <w:br/>
      </w:r>
      <w:r>
        <w:rPr>
          <w:rFonts w:ascii="Consolas" w:hAnsi="Consolas" w:eastAsia="Consolas"/>
          <w:sz w:val="17"/>
        </w:rPr>
        <w:t xml:space="preserve">        if provider == "minio":</w:t>
        <w:br/>
      </w:r>
      <w:r>
        <w:rPr>
          <w:rFonts w:ascii="Consolas" w:hAnsi="Consolas" w:eastAsia="Consolas"/>
          <w:sz w:val="17"/>
        </w:rPr>
        <w:t xml:space="preserve">            return MinioObjectStorageAdapter(...)</w:t>
        <w:br/>
      </w:r>
      <w:r>
        <w:rPr>
          <w:rFonts w:ascii="Consolas" w:hAnsi="Consolas" w:eastAsia="Consolas"/>
          <w:sz w:val="17"/>
        </w:rPr>
        <w:t xml:space="preserve">        if provider == "s3":</w:t>
        <w:br/>
      </w:r>
      <w:r>
        <w:rPr>
          <w:rFonts w:ascii="Consolas" w:hAnsi="Consolas" w:eastAsia="Consolas"/>
          <w:sz w:val="17"/>
        </w:rPr>
        <w:t xml:space="preserve">            return S3ObjectStorageAdapter(...)</w:t>
        <w:br/>
      </w:r>
      <w:r>
        <w:rPr>
          <w:rFonts w:ascii="Consolas" w:hAnsi="Consolas" w:eastAsia="Consolas"/>
          <w:sz w:val="17"/>
        </w:rPr>
        <w:t xml:space="preserve">        raise ValueError(f"Unsupported object storage provider: {provider}")</w:t>
        <w:br/>
      </w:r>
    </w:p>
    <w:p>
      <w:pPr>
        <w:pStyle w:val="Heading1"/>
      </w:pPr>
      <w:r>
        <w:t>8. Domain Model Implementation Rules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Domain Object</w:t>
            </w:r>
          </w:p>
        </w:tc>
        <w:tc>
          <w:tcPr>
            <w:tcW w:type="dxa" w:w="5040"/>
            <w:vAlign w:val="top"/>
            <w:shd w:fill="D9EAF7"/>
          </w:tcPr>
          <w:p>
            <w:r/>
            <w:r>
              <w:rPr>
                <w:b/>
                <w:sz w:val="18"/>
              </w:rPr>
              <w:t>Implementation Notes</w:t>
            </w:r>
          </w:p>
        </w:tc>
      </w:tr>
      <w:tr>
        <w:tc>
          <w:tcPr>
            <w:tcW w:type="dxa" w:w="5040"/>
            <w:vAlign w:val="top"/>
          </w:tcPr>
          <w:p>
            <w:r/>
            <w:r>
              <w:rPr>
                <w:b w:val="0"/>
                <w:sz w:val="18"/>
              </w:rPr>
              <w:t>Application</w:t>
            </w:r>
          </w:p>
        </w:tc>
        <w:tc>
          <w:tcPr>
            <w:tcW w:type="dxa" w:w="5040"/>
            <w:vAlign w:val="top"/>
          </w:tcPr>
          <w:p>
            <w:r/>
            <w:r>
              <w:rPr>
                <w:b w:val="0"/>
                <w:sz w:val="18"/>
              </w:rPr>
              <w:t>Business container. Stores current_blueprint_id and workspace_id. Does not own all assets.</w:t>
            </w:r>
          </w:p>
        </w:tc>
      </w:tr>
      <w:tr>
        <w:tc>
          <w:tcPr>
            <w:tcW w:type="dxa" w:w="5040"/>
            <w:vAlign w:val="top"/>
          </w:tcPr>
          <w:p>
            <w:r/>
            <w:r>
              <w:rPr>
                <w:b w:val="0"/>
                <w:sz w:val="18"/>
              </w:rPr>
              <w:t>ApplicationWorkspace</w:t>
            </w:r>
          </w:p>
        </w:tc>
        <w:tc>
          <w:tcPr>
            <w:tcW w:type="dxa" w:w="5040"/>
            <w:vAlign w:val="top"/>
          </w:tcPr>
          <w:p>
            <w:r>
              <w:t>Stores logical namespace metadata: postgres_schema, minio_namespace, fuseki_dataset, qdrant_collection, metadata_domain, ontology_namespace, agent_namespace, product_registry_namespace, agent_registry_namespace (ARR-001).</w:t>
            </w:r>
          </w:p>
        </w:tc>
      </w:tr>
      <w:tr>
        <w:tc>
          <w:tcPr>
            <w:tcW w:type="dxa" w:w="5040"/>
            <w:vAlign w:val="top"/>
          </w:tcPr>
          <w:p>
            <w:r/>
            <w:r>
              <w:rPr>
                <w:b w:val="0"/>
                <w:sz w:val="18"/>
              </w:rPr>
              <w:t>Blueprint</w:t>
            </w:r>
          </w:p>
        </w:tc>
        <w:tc>
          <w:tcPr>
            <w:tcW w:type="dxa" w:w="5040"/>
            <w:vAlign w:val="top"/>
          </w:tcPr>
          <w:p>
            <w:r/>
            <w:r>
              <w:rPr>
                <w:b w:val="0"/>
                <w:sz w:val="18"/>
              </w:rPr>
              <w:t>Design-time source of truth. Versions are immutable. Use snapshot JSON for design content.</w:t>
            </w:r>
          </w:p>
        </w:tc>
      </w:tr>
      <w:tr>
        <w:tc>
          <w:tcPr>
            <w:tcW w:type="dxa" w:w="5040"/>
            <w:vAlign w:val="top"/>
          </w:tcPr>
          <w:p>
            <w:r/>
            <w:r>
              <w:rPr>
                <w:b w:val="0"/>
                <w:sz w:val="18"/>
              </w:rPr>
              <w:t>DiscoverySession</w:t>
            </w:r>
          </w:p>
        </w:tc>
        <w:tc>
          <w:tcPr>
            <w:tcW w:type="dxa" w:w="5040"/>
            <w:vAlign w:val="top"/>
          </w:tcPr>
          <w:p>
            <w:r/>
            <w:r>
              <w:rPr>
                <w:b w:val="0"/>
                <w:sz w:val="18"/>
              </w:rPr>
              <w:t>Stores intent summary, recommendations, conversation history and generated blueprint reference.</w:t>
            </w:r>
          </w:p>
        </w:tc>
      </w:tr>
      <w:tr>
        <w:tc>
          <w:tcPr>
            <w:tcW w:type="dxa" w:w="5040"/>
            <w:vAlign w:val="top"/>
          </w:tcPr>
          <w:p>
            <w:r/>
            <w:r>
              <w:rPr>
                <w:b w:val="0"/>
                <w:sz w:val="18"/>
              </w:rPr>
              <w:t>AssetRecord</w:t>
            </w:r>
          </w:p>
        </w:tc>
        <w:tc>
          <w:tcPr>
            <w:tcW w:type="dxa" w:w="5040"/>
            <w:vAlign w:val="top"/>
          </w:tcPr>
          <w:p>
            <w:r/>
            <w:r>
              <w:rPr>
                <w:b w:val="0"/>
                <w:sz w:val="18"/>
              </w:rPr>
              <w:t>Registry entry only. It points to specialized asset owners through source_reference.</w:t>
            </w:r>
          </w:p>
        </w:tc>
      </w:tr>
      <w:tr>
        <w:tc>
          <w:tcPr>
            <w:tcW w:type="dxa" w:w="5040"/>
            <w:vAlign w:val="top"/>
          </w:tcPr>
          <w:p>
            <w:r/>
            <w:r>
              <w:rPr>
                <w:b w:val="0"/>
                <w:sz w:val="18"/>
              </w:rPr>
              <w:t>SemanticTransaction</w:t>
            </w:r>
          </w:p>
        </w:tc>
        <w:tc>
          <w:tcPr>
            <w:tcW w:type="dxa" w:w="5040"/>
            <w:vAlign w:val="top"/>
          </w:tcPr>
          <w:p>
            <w:r/>
            <w:r>
              <w:rPr>
                <w:b w:val="0"/>
                <w:sz w:val="18"/>
              </w:rPr>
              <w:t>Canonical execution and explainability record.</w:t>
            </w:r>
          </w:p>
        </w:tc>
      </w:tr>
      <w:tr>
        <w:tc>
          <w:tcPr>
            <w:tcW w:type="dxa" w:w="5040"/>
            <w:vAlign w:val="top"/>
          </w:tcPr>
          <w:p>
            <w:r/>
            <w:r>
              <w:rPr>
                <w:b w:val="0"/>
                <w:sz w:val="18"/>
              </w:rPr>
              <w:t>TraceStep</w:t>
            </w:r>
          </w:p>
        </w:tc>
        <w:tc>
          <w:tcPr>
            <w:tcW w:type="dxa" w:w="5040"/>
            <w:vAlign w:val="top"/>
          </w:tcPr>
          <w:p>
            <w:r/>
            <w:r>
              <w:rPr>
                <w:b w:val="0"/>
                <w:sz w:val="18"/>
              </w:rPr>
              <w:t>Smallest explainable execution unit. Ordered within a transaction.</w:t>
            </w:r>
          </w:p>
        </w:tc>
      </w:tr>
      <w:tr>
        <w:tc>
          <w:tcPr>
            <w:tcW w:type="dxa" w:w="5040"/>
            <w:vAlign w:val="top"/>
          </w:tcPr>
          <w:p>
            <w:r/>
            <w:r>
              <w:rPr>
                <w:b w:val="0"/>
                <w:sz w:val="18"/>
              </w:rPr>
              <w:t>PublishedDataProduct</w:t>
            </w:r>
          </w:p>
        </w:tc>
        <w:tc>
          <w:tcPr>
            <w:tcW w:type="dxa" w:w="5040"/>
            <w:vAlign w:val="top"/>
          </w:tcPr>
          <w:p>
            <w:r/>
            <w:r>
              <w:rPr>
                <w:b w:val="0"/>
                <w:sz w:val="18"/>
              </w:rPr>
              <w:t>Consumption metadata only. Does not manage product engineering internals.</w:t>
            </w:r>
          </w:p>
        </w:tc>
      </w:tr>
      <w:tr>
        <w:tc>
          <w:tcPr>
            <w:tcW w:type="dxa" w:w="5040"/>
            <w:vAlign w:val="top"/>
          </w:tcPr>
          <w:p>
            <w:r/>
            <w:r>
              <w:rPr>
                <w:b w:val="0"/>
                <w:sz w:val="18"/>
              </w:rPr>
              <w:t>AgentDefinition</w:t>
            </w:r>
          </w:p>
        </w:tc>
        <w:tc>
          <w:tcPr>
            <w:tcW w:type="dxa" w:w="5040"/>
            <w:vAlign w:val="top"/>
          </w:tcPr>
          <w:p>
            <w:r/>
            <w:r>
              <w:rPr>
                <w:b w:val="0"/>
                <w:sz w:val="18"/>
              </w:rPr>
              <w:t>Persistent agent design and governance metadata. Not runtime execution state.</w:t>
            </w:r>
          </w:p>
        </w:tc>
      </w:tr>
      <w:tr>
        <w:tc>
          <w:tcPr>
            <w:tcW w:type="dxa" w:w="5040"/>
            <w:vAlign w:val="top"/>
          </w:tcPr>
          <w:p>
            <w:r/>
            <w:r>
              <w:rPr>
                <w:b w:val="0"/>
                <w:sz w:val="18"/>
              </w:rPr>
              <w:t>Policy</w:t>
            </w:r>
          </w:p>
        </w:tc>
        <w:tc>
          <w:tcPr>
            <w:tcW w:type="dxa" w:w="5040"/>
            <w:vAlign w:val="top"/>
          </w:tcPr>
          <w:p>
            <w:r/>
            <w:r>
              <w:rPr>
                <w:b w:val="0"/>
                <w:sz w:val="18"/>
              </w:rPr>
              <w:t>Governance rule intent and enforcement mode. Keep v1 simple.</w:t>
            </w:r>
          </w:p>
        </w:tc>
      </w:tr>
      <w:tr>
        <w:tc>
          <w:tcPr>
            <w:tcW w:type="dxa" w:w="5040"/>
            <w:vAlign w:val="top"/>
          </w:tcPr>
          <w:p>
            <w:r/>
            <w:r>
              <w:rPr>
                <w:b w:val="0"/>
                <w:sz w:val="18"/>
              </w:rPr>
              <w:t>TechnologyAdapter</w:t>
            </w:r>
          </w:p>
        </w:tc>
        <w:tc>
          <w:tcPr>
            <w:tcW w:type="dxa" w:w="5040"/>
            <w:vAlign w:val="top"/>
          </w:tcPr>
          <w:p>
            <w:r/>
            <w:r>
              <w:rPr>
                <w:b w:val="0"/>
                <w:sz w:val="18"/>
              </w:rPr>
              <w:t>Bridge between capability ports and concrete technologies.</w:t>
            </w:r>
          </w:p>
        </w:tc>
      </w:tr>
      <w:tr>
        <w:tc>
          <w:tcPr>
            <w:tcW w:type="dxa" w:w="5040"/>
            <w:vAlign w:val="top"/>
          </w:tcPr>
          <w:p>
            <w:r/>
            <w:r>
              <w:rPr>
                <w:b w:val="0"/>
                <w:sz w:val="18"/>
              </w:rPr>
              <w:t>Technology</w:t>
            </w:r>
          </w:p>
        </w:tc>
        <w:tc>
          <w:tcPr>
            <w:tcW w:type="dxa" w:w="5040"/>
            <w:vAlign w:val="top"/>
          </w:tcPr>
          <w:p>
            <w:r/>
            <w:r>
              <w:rPr>
                <w:b w:val="0"/>
                <w:sz w:val="18"/>
              </w:rPr>
              <w:t>Registry of external technology platforms.</w:t>
            </w:r>
          </w:p>
        </w:tc>
      </w:tr>
    </w:tbl>
    <w:p/>
    <w:p>
      <w:pPr>
        <w:pStyle w:val="Heading2"/>
      </w:pPr>
      <w:r>
        <w:t>8.1 Persistence Choices</w:t>
      </w:r>
    </w:p>
    <w:p>
      <w:pPr>
        <w:pStyle w:val="ListBullet"/>
      </w:pPr>
      <w:r>
        <w:t>Use PostgreSQL for platform metadata and domain records.</w:t>
      </w:r>
    </w:p>
    <w:p>
      <w:pPr>
        <w:pStyle w:val="ListBullet"/>
      </w:pPr>
      <w:r>
        <w:t>Use UUID primary keys for domain entities.</w:t>
      </w:r>
    </w:p>
    <w:p>
      <w:pPr>
        <w:pStyle w:val="ListBullet"/>
      </w:pPr>
      <w:r>
        <w:t>Use JSONB for blueprint_snapshot, discovery recommendations, policy rule_definition and flexible metadata.</w:t>
      </w:r>
    </w:p>
    <w:p>
      <w:pPr>
        <w:pStyle w:val="ListBullet"/>
      </w:pPr>
      <w:r>
        <w:t>Use Alembic for database migrations.</w:t>
      </w:r>
    </w:p>
    <w:p>
      <w:pPr>
        <w:pStyle w:val="ListBullet"/>
      </w:pPr>
      <w:r>
        <w:t>Keep application schemas logically isolated by ApplicationWorkspace metadata.</w:t>
        <w:br/>
        <w:t>Lifecycle states: SIP Asset Catalog v1 is authoritative (ARR-002). Version metadata (version_number, previous_version_id, version_created_at) may exist separately from lifecycle state.</w:t>
        <w:br/>
        <w:t>Provisioning: blank workspace only — namespace registrations and workspace metadata; no domain semantic assets (ARR-004, D-011).</w:t>
      </w:r>
    </w:p>
    <w:p>
      <w:pPr>
        <w:pStyle w:val="Heading1"/>
      </w:pPr>
      <w:r>
        <w:t>9. API Implementation Rules</w:t>
      </w:r>
    </w:p>
    <w:p>
      <w:pPr>
        <w:pStyle w:val="ListBullet"/>
      </w:pPr>
      <w:r>
        <w:t>All REST APIs are versioned under /api/v1.</w:t>
      </w:r>
    </w:p>
    <w:p>
      <w:pPr>
        <w:pStyle w:val="ListBullet"/>
      </w:pPr>
      <w:r>
        <w:t>API schemas must use Pydantic models.</w:t>
      </w:r>
    </w:p>
    <w:p>
      <w:pPr>
        <w:pStyle w:val="ListBullet"/>
      </w:pPr>
      <w:r>
        <w:t>Modules own their own API surfaces.</w:t>
      </w:r>
    </w:p>
    <w:p>
      <w:pPr>
        <w:pStyle w:val="ListBullet"/>
      </w:pPr>
      <w:r>
        <w:t>APIs return references and summaries, not huge embedded object graphs.</w:t>
      </w:r>
    </w:p>
    <w:p>
      <w:pPr>
        <w:pStyle w:val="ListBullet"/>
      </w:pPr>
      <w:r>
        <w:t>Significant write operations must create SemanticTransactions or domain events as appropriate.</w:t>
      </w:r>
    </w:p>
    <w:p>
      <w:pPr>
        <w:pStyle w:val="ListBullet"/>
      </w:pPr>
      <w:r>
        <w:t>MCP exposure is external-facing only and must not replace internal REST/module communication.</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Area</w:t>
            </w:r>
          </w:p>
        </w:tc>
        <w:tc>
          <w:tcPr>
            <w:tcW w:type="dxa" w:w="5040"/>
            <w:vAlign w:val="top"/>
            <w:shd w:fill="D9EAF7"/>
          </w:tcPr>
          <w:p>
            <w:r/>
            <w:r>
              <w:rPr>
                <w:b/>
                <w:sz w:val="18"/>
              </w:rPr>
              <w:t>Base Endpoints</w:t>
            </w:r>
          </w:p>
        </w:tc>
      </w:tr>
      <w:tr>
        <w:tc>
          <w:tcPr>
            <w:tcW w:type="dxa" w:w="5040"/>
            <w:vAlign w:val="top"/>
          </w:tcPr>
          <w:p>
            <w:r/>
            <w:r>
              <w:rPr>
                <w:b w:val="0"/>
                <w:sz w:val="18"/>
              </w:rPr>
              <w:t>Applications</w:t>
            </w:r>
          </w:p>
        </w:tc>
        <w:tc>
          <w:tcPr>
            <w:tcW w:type="dxa" w:w="5040"/>
            <w:vAlign w:val="top"/>
          </w:tcPr>
          <w:p>
            <w:r/>
            <w:r>
              <w:rPr>
                <w:b w:val="0"/>
                <w:sz w:val="18"/>
              </w:rPr>
              <w:t>/api/v1/applications</w:t>
            </w:r>
          </w:p>
        </w:tc>
      </w:tr>
      <w:tr>
        <w:tc>
          <w:tcPr>
            <w:tcW w:type="dxa" w:w="5040"/>
            <w:vAlign w:val="top"/>
          </w:tcPr>
          <w:p>
            <w:r/>
            <w:r>
              <w:rPr>
                <w:b w:val="0"/>
                <w:sz w:val="18"/>
              </w:rPr>
              <w:t>Discovery</w:t>
            </w:r>
          </w:p>
        </w:tc>
        <w:tc>
          <w:tcPr>
            <w:tcW w:type="dxa" w:w="5040"/>
            <w:vAlign w:val="top"/>
          </w:tcPr>
          <w:p>
            <w:r/>
            <w:r>
              <w:rPr>
                <w:b w:val="0"/>
                <w:sz w:val="18"/>
              </w:rPr>
              <w:t>/api/v1/discovery-sessions</w:t>
            </w:r>
          </w:p>
        </w:tc>
      </w:tr>
      <w:tr>
        <w:tc>
          <w:tcPr>
            <w:tcW w:type="dxa" w:w="5040"/>
            <w:vAlign w:val="top"/>
          </w:tcPr>
          <w:p>
            <w:r/>
            <w:r>
              <w:rPr>
                <w:b w:val="0"/>
                <w:sz w:val="18"/>
              </w:rPr>
              <w:t>Blueprints</w:t>
            </w:r>
          </w:p>
        </w:tc>
        <w:tc>
          <w:tcPr>
            <w:tcW w:type="dxa" w:w="5040"/>
            <w:vAlign w:val="top"/>
          </w:tcPr>
          <w:p>
            <w:r/>
            <w:r>
              <w:rPr>
                <w:b w:val="0"/>
                <w:sz w:val="18"/>
              </w:rPr>
              <w:t>/api/v1/blueprints</w:t>
            </w:r>
          </w:p>
        </w:tc>
      </w:tr>
      <w:tr>
        <w:tc>
          <w:tcPr>
            <w:tcW w:type="dxa" w:w="5040"/>
            <w:vAlign w:val="top"/>
          </w:tcPr>
          <w:p>
            <w:r/>
            <w:r>
              <w:rPr>
                <w:b w:val="0"/>
                <w:sz w:val="18"/>
              </w:rPr>
              <w:t>Assets</w:t>
            </w:r>
          </w:p>
        </w:tc>
        <w:tc>
          <w:tcPr>
            <w:tcW w:type="dxa" w:w="5040"/>
            <w:vAlign w:val="top"/>
          </w:tcPr>
          <w:p>
            <w:r/>
            <w:r>
              <w:rPr>
                <w:b w:val="0"/>
                <w:sz w:val="18"/>
              </w:rPr>
              <w:t>/api/v1/assets</w:t>
            </w:r>
          </w:p>
        </w:tc>
      </w:tr>
      <w:tr>
        <w:tc>
          <w:tcPr>
            <w:tcW w:type="dxa" w:w="5040"/>
            <w:vAlign w:val="top"/>
          </w:tcPr>
          <w:p>
            <w:r/>
            <w:r>
              <w:rPr>
                <w:b w:val="0"/>
                <w:sz w:val="18"/>
              </w:rPr>
              <w:t>Transactions</w:t>
            </w:r>
          </w:p>
        </w:tc>
        <w:tc>
          <w:tcPr>
            <w:tcW w:type="dxa" w:w="5040"/>
            <w:vAlign w:val="top"/>
          </w:tcPr>
          <w:p>
            <w:r/>
            <w:r>
              <w:rPr>
                <w:b w:val="0"/>
                <w:sz w:val="18"/>
              </w:rPr>
              <w:t>/api/v1/transactions</w:t>
            </w:r>
          </w:p>
        </w:tc>
      </w:tr>
      <w:tr>
        <w:tc>
          <w:tcPr>
            <w:tcW w:type="dxa" w:w="5040"/>
            <w:vAlign w:val="top"/>
          </w:tcPr>
          <w:p>
            <w:r/>
            <w:r>
              <w:rPr>
                <w:b w:val="0"/>
                <w:sz w:val="18"/>
              </w:rPr>
              <w:t>Products</w:t>
            </w:r>
          </w:p>
        </w:tc>
        <w:tc>
          <w:tcPr>
            <w:tcW w:type="dxa" w:w="5040"/>
            <w:vAlign w:val="top"/>
          </w:tcPr>
          <w:p>
            <w:r/>
            <w:r>
              <w:rPr>
                <w:b w:val="0"/>
                <w:sz w:val="18"/>
              </w:rPr>
              <w:t>/api/v1/products</w:t>
            </w:r>
          </w:p>
        </w:tc>
      </w:tr>
      <w:tr>
        <w:tc>
          <w:tcPr>
            <w:tcW w:type="dxa" w:w="5040"/>
            <w:vAlign w:val="top"/>
          </w:tcPr>
          <w:p>
            <w:r/>
            <w:r>
              <w:rPr>
                <w:b w:val="0"/>
                <w:sz w:val="18"/>
              </w:rPr>
              <w:t>Agents</w:t>
            </w:r>
          </w:p>
        </w:tc>
        <w:tc>
          <w:tcPr>
            <w:tcW w:type="dxa" w:w="5040"/>
            <w:vAlign w:val="top"/>
          </w:tcPr>
          <w:p>
            <w:r/>
            <w:r>
              <w:rPr>
                <w:b w:val="0"/>
                <w:sz w:val="18"/>
              </w:rPr>
              <w:t>/api/v1/agents</w:t>
            </w:r>
          </w:p>
        </w:tc>
      </w:tr>
      <w:tr>
        <w:tc>
          <w:tcPr>
            <w:tcW w:type="dxa" w:w="5040"/>
            <w:vAlign w:val="top"/>
          </w:tcPr>
          <w:p>
            <w:r/>
            <w:r>
              <w:rPr>
                <w:b w:val="0"/>
                <w:sz w:val="18"/>
              </w:rPr>
              <w:t>Ontologies</w:t>
            </w:r>
          </w:p>
        </w:tc>
        <w:tc>
          <w:tcPr>
            <w:tcW w:type="dxa" w:w="5040"/>
            <w:vAlign w:val="top"/>
          </w:tcPr>
          <w:p>
            <w:r/>
            <w:r>
              <w:rPr>
                <w:b w:val="0"/>
                <w:sz w:val="18"/>
              </w:rPr>
              <w:t>/api/v1/ontologies</w:t>
            </w:r>
          </w:p>
        </w:tc>
      </w:tr>
      <w:tr>
        <w:tc>
          <w:tcPr>
            <w:tcW w:type="dxa" w:w="5040"/>
            <w:vAlign w:val="top"/>
          </w:tcPr>
          <w:p>
            <w:r/>
            <w:r>
              <w:rPr>
                <w:b w:val="0"/>
                <w:sz w:val="18"/>
              </w:rPr>
              <w:t>Knowledge Graphs</w:t>
            </w:r>
          </w:p>
        </w:tc>
        <w:tc>
          <w:tcPr>
            <w:tcW w:type="dxa" w:w="5040"/>
            <w:vAlign w:val="top"/>
          </w:tcPr>
          <w:p>
            <w:r/>
            <w:r>
              <w:rPr>
                <w:b w:val="0"/>
                <w:sz w:val="18"/>
              </w:rPr>
              <w:t>/api/v1/knowledge-graphs</w:t>
            </w:r>
          </w:p>
        </w:tc>
      </w:tr>
      <w:tr>
        <w:tc>
          <w:tcPr>
            <w:tcW w:type="dxa" w:w="5040"/>
            <w:vAlign w:val="top"/>
          </w:tcPr>
          <w:p>
            <w:r/>
            <w:r>
              <w:rPr>
                <w:b w:val="0"/>
                <w:sz w:val="18"/>
              </w:rPr>
              <w:t>Governance</w:t>
            </w:r>
          </w:p>
        </w:tc>
        <w:tc>
          <w:tcPr>
            <w:tcW w:type="dxa" w:w="5040"/>
            <w:vAlign w:val="top"/>
          </w:tcPr>
          <w:p>
            <w:r/>
            <w:r>
              <w:rPr>
                <w:b w:val="0"/>
                <w:sz w:val="18"/>
              </w:rPr>
              <w:t>/api/v1/governance</w:t>
            </w:r>
          </w:p>
        </w:tc>
      </w:tr>
      <w:tr>
        <w:tc>
          <w:tcPr>
            <w:tcW w:type="dxa" w:w="5040"/>
            <w:vAlign w:val="top"/>
          </w:tcPr>
          <w:p>
            <w:r/>
            <w:r>
              <w:rPr>
                <w:b w:val="0"/>
                <w:sz w:val="18"/>
              </w:rPr>
              <w:t>Technologies &amp; Adapters</w:t>
            </w:r>
          </w:p>
        </w:tc>
        <w:tc>
          <w:tcPr>
            <w:tcW w:type="dxa" w:w="5040"/>
            <w:vAlign w:val="top"/>
          </w:tcPr>
          <w:p>
            <w:r/>
            <w:r>
              <w:rPr>
                <w:b w:val="0"/>
                <w:sz w:val="18"/>
              </w:rPr>
              <w:t>/api/v1/technologies and /api/v1/adapters</w:t>
            </w:r>
          </w:p>
        </w:tc>
      </w:tr>
      <w:tr>
        <w:tc>
          <w:tcPr>
            <w:tcW w:type="dxa" w:w="5040"/>
            <w:vAlign w:val="top"/>
          </w:tcPr>
          <w:p>
            <w:r/>
            <w:r>
              <w:rPr>
                <w:b w:val="0"/>
                <w:sz w:val="18"/>
              </w:rPr>
              <w:t>Admin</w:t>
            </w:r>
          </w:p>
        </w:tc>
        <w:tc>
          <w:tcPr>
            <w:tcW w:type="dxa" w:w="5040"/>
            <w:vAlign w:val="top"/>
          </w:tcPr>
          <w:p>
            <w:r/>
            <w:r>
              <w:rPr>
                <w:b w:val="0"/>
                <w:sz w:val="18"/>
              </w:rPr>
              <w:t>/api/v1/admin</w:t>
            </w:r>
          </w:p>
        </w:tc>
      </w:tr>
    </w:tbl>
    <w:p/>
    <w:p>
      <w:pPr>
        <w:pStyle w:val="Heading1"/>
      </w:pPr>
      <w:r>
        <w:t>10. Domain Events and Outbox Rules</w:t>
      </w:r>
    </w:p>
    <w:p>
      <w:pPr>
        <w:pStyle w:val="ListBullet"/>
      </w:pPr>
      <w:r>
        <w:t>Events are facts and use past tense names.</w:t>
      </w:r>
    </w:p>
    <w:p>
      <w:pPr>
        <w:pStyle w:val="ListBullet"/>
      </w:pPr>
      <w:r>
        <w:t>Events are immutable.</w:t>
      </w:r>
    </w:p>
    <w:p>
      <w:pPr>
        <w:pStyle w:val="ListBullet"/>
      </w:pPr>
      <w:r>
        <w:t>Events are not commands.</w:t>
      </w:r>
    </w:p>
    <w:p>
      <w:pPr>
        <w:pStyle w:val="ListBullet"/>
      </w:pPr>
      <w:r>
        <w:t>v1 uses in-process event dispatch plus PostgreSQL outbox/domain_events tables.</w:t>
      </w:r>
    </w:p>
    <w:p>
      <w:pPr>
        <w:pStyle w:val="ListBullet"/>
      </w:pPr>
      <w:r>
        <w:t>Do not introduce Kafka in v1.</w:t>
      </w:r>
    </w:p>
    <w:p>
      <w:pPr>
        <w:pStyle w:val="ListBullet"/>
      </w:pPr>
      <w:r>
        <w:t>Design event envelopes so Kafka, RabbitMQ or NATS can be added later without redesign.</w:t>
      </w:r>
    </w:p>
    <w:p>
      <w:pPr/>
      <w:r>
        <w:rPr>
          <w:rFonts w:ascii="Consolas" w:hAnsi="Consolas" w:eastAsia="Consolas"/>
          <w:sz w:val="17"/>
        </w:rPr>
        <w:t>{</w:t>
        <w:br/>
      </w:r>
      <w:r>
        <w:rPr>
          <w:rFonts w:ascii="Consolas" w:hAnsi="Consolas" w:eastAsia="Consolas"/>
          <w:sz w:val="17"/>
        </w:rPr>
        <w:t xml:space="preserve">  "event_id": "uuid",</w:t>
        <w:br/>
      </w:r>
      <w:r>
        <w:rPr>
          <w:rFonts w:ascii="Consolas" w:hAnsi="Consolas" w:eastAsia="Consolas"/>
          <w:sz w:val="17"/>
        </w:rPr>
        <w:t xml:space="preserve">  "event_type": "BlueprintApproved",</w:t>
        <w:br/>
      </w:r>
      <w:r>
        <w:rPr>
          <w:rFonts w:ascii="Consolas" w:hAnsi="Consolas" w:eastAsia="Consolas"/>
          <w:sz w:val="17"/>
        </w:rPr>
        <w:t xml:space="preserve">  "occurred_at": "2026-06-25T12:00:00Z",</w:t>
        <w:br/>
      </w:r>
      <w:r>
        <w:rPr>
          <w:rFonts w:ascii="Consolas" w:hAnsi="Consolas" w:eastAsia="Consolas"/>
          <w:sz w:val="17"/>
        </w:rPr>
        <w:t xml:space="preserve">  "producer_module": "blueprint",</w:t>
        <w:br/>
      </w:r>
      <w:r>
        <w:rPr>
          <w:rFonts w:ascii="Consolas" w:hAnsi="Consolas" w:eastAsia="Consolas"/>
          <w:sz w:val="17"/>
        </w:rPr>
        <w:t xml:space="preserve">  "application_id": "uuid",</w:t>
        <w:br/>
      </w:r>
      <w:r>
        <w:rPr>
          <w:rFonts w:ascii="Consolas" w:hAnsi="Consolas" w:eastAsia="Consolas"/>
          <w:sz w:val="17"/>
        </w:rPr>
        <w:t xml:space="preserve">  "correlation_id": "uuid",</w:t>
        <w:br/>
      </w:r>
      <w:r>
        <w:rPr>
          <w:rFonts w:ascii="Consolas" w:hAnsi="Consolas" w:eastAsia="Consolas"/>
          <w:sz w:val="17"/>
        </w:rPr>
        <w:t xml:space="preserve">  "causation_id": "uuid",</w:t>
        <w:br/>
      </w:r>
      <w:r>
        <w:rPr>
          <w:rFonts w:ascii="Consolas" w:hAnsi="Consolas" w:eastAsia="Consolas"/>
          <w:sz w:val="17"/>
        </w:rPr>
        <w:t xml:space="preserve">  "actor_id": "uuid",</w:t>
        <w:br/>
      </w:r>
      <w:r>
        <w:rPr>
          <w:rFonts w:ascii="Consolas" w:hAnsi="Consolas" w:eastAsia="Consolas"/>
          <w:sz w:val="17"/>
        </w:rPr>
        <w:t xml:space="preserve">  "payload": {}</w:t>
        <w:br/>
      </w:r>
      <w:r>
        <w:rPr>
          <w:rFonts w:ascii="Consolas" w:hAnsi="Consolas" w:eastAsia="Consolas"/>
          <w:sz w:val="17"/>
        </w:rPr>
        <w:t>}</w:t>
        <w:br/>
      </w:r>
    </w:p>
    <w:p>
      <w:pPr>
        <w:pStyle w:val="Heading1"/>
      </w:pPr>
      <w:r>
        <w:t>11. Semantic Transaction and Trace Implementation</w:t>
      </w:r>
    </w:p>
    <w:p>
      <w:r>
        <w:t>Every significant platform action must create a SemanticTransaction. Every transaction contains ordered TraceSteps. This powers Semantic Trace Explorer, governance history, auditability and explainability.</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Transaction Type</w:t>
            </w:r>
          </w:p>
        </w:tc>
        <w:tc>
          <w:tcPr>
            <w:tcW w:type="dxa" w:w="5040"/>
            <w:vAlign w:val="top"/>
            <w:shd w:fill="D9EAF7"/>
          </w:tcPr>
          <w:p>
            <w:r/>
            <w:r>
              <w:rPr>
                <w:b/>
                <w:sz w:val="18"/>
              </w:rPr>
              <w:t>Example Trace Steps</w:t>
            </w:r>
          </w:p>
        </w:tc>
      </w:tr>
      <w:tr>
        <w:tc>
          <w:tcPr>
            <w:tcW w:type="dxa" w:w="5040"/>
            <w:vAlign w:val="top"/>
          </w:tcPr>
          <w:p>
            <w:r/>
            <w:r>
              <w:rPr>
                <w:b w:val="0"/>
                <w:sz w:val="18"/>
              </w:rPr>
              <w:t>QuestionAnswering</w:t>
            </w:r>
          </w:p>
        </w:tc>
        <w:tc>
          <w:tcPr>
            <w:tcW w:type="dxa" w:w="5040"/>
            <w:vAlign w:val="top"/>
          </w:tcPr>
          <w:p>
            <w:r/>
            <w:r>
              <w:rPr>
                <w:b w:val="0"/>
                <w:sz w:val="18"/>
              </w:rPr>
              <w:t>QuestionReceived, IntentAnalysis, ConceptDetection, GraphTraversal, ProductQuery, AgentExecution, ResponseGeneration</w:t>
            </w:r>
          </w:p>
        </w:tc>
      </w:tr>
      <w:tr>
        <w:tc>
          <w:tcPr>
            <w:tcW w:type="dxa" w:w="5040"/>
            <w:vAlign w:val="top"/>
          </w:tcPr>
          <w:p>
            <w:r/>
            <w:r>
              <w:rPr>
                <w:b w:val="0"/>
                <w:sz w:val="18"/>
              </w:rPr>
              <w:t>BlueprintProvisioning</w:t>
            </w:r>
          </w:p>
        </w:tc>
        <w:tc>
          <w:tcPr>
            <w:tcW w:type="dxa" w:w="5040"/>
            <w:vAlign w:val="top"/>
          </w:tcPr>
          <w:p>
            <w:r/>
            <w:r>
              <w:rPr>
                <w:b w:val="0"/>
                <w:sz w:val="18"/>
              </w:rPr>
              <w:t>BlueprintApproved, ProvisioningRequested, WorkspaceCreated, AssetsRegistered</w:t>
            </w:r>
          </w:p>
        </w:tc>
      </w:tr>
      <w:tr>
        <w:tc>
          <w:tcPr>
            <w:tcW w:type="dxa" w:w="5040"/>
            <w:vAlign w:val="top"/>
          </w:tcPr>
          <w:p>
            <w:r/>
            <w:r>
              <w:rPr>
                <w:b w:val="0"/>
                <w:sz w:val="18"/>
              </w:rPr>
              <w:t>OntologyGeneration</w:t>
            </w:r>
          </w:p>
        </w:tc>
        <w:tc>
          <w:tcPr>
            <w:tcW w:type="dxa" w:w="5040"/>
            <w:vAlign w:val="top"/>
          </w:tcPr>
          <w:p>
            <w:r/>
            <w:r>
              <w:rPr>
                <w:b w:val="0"/>
                <w:sz w:val="18"/>
              </w:rPr>
              <w:t>SourceAnalyzed, ConceptExtraction, OntologyDraftCreated, OntologyValidated</w:t>
            </w:r>
          </w:p>
        </w:tc>
      </w:tr>
      <w:tr>
        <w:tc>
          <w:tcPr>
            <w:tcW w:type="dxa" w:w="5040"/>
            <w:vAlign w:val="top"/>
          </w:tcPr>
          <w:p>
            <w:r/>
            <w:r>
              <w:rPr>
                <w:b w:val="0"/>
                <w:sz w:val="18"/>
              </w:rPr>
              <w:t>AgentExecution</w:t>
            </w:r>
          </w:p>
        </w:tc>
        <w:tc>
          <w:tcPr>
            <w:tcW w:type="dxa" w:w="5040"/>
            <w:vAlign w:val="top"/>
          </w:tcPr>
          <w:p>
            <w:r/>
            <w:r>
              <w:rPr>
                <w:b w:val="0"/>
                <w:sz w:val="18"/>
              </w:rPr>
              <w:t>AgentExecutionStarted, ProductConsumed, ToolInvoked, ResponseGenerated, AgentExecutionCompleted</w:t>
            </w:r>
          </w:p>
        </w:tc>
      </w:tr>
    </w:tbl>
    <w:p/>
    <w:p>
      <w:pPr>
        <w:pStyle w:val="Heading1"/>
      </w:pPr>
      <w:r>
        <w:t>12. Frontend Implementation Rules</w:t>
      </w:r>
    </w:p>
    <w:p>
      <w:r>
        <w:t>Frontend implementation should follow the SIP Platform Console UX documents. The frontend should reflect the application-centric UX model.</w:t>
      </w:r>
    </w:p>
    <w:p>
      <w:pPr>
        <w:pStyle w:val="ListBullet"/>
      </w:pPr>
      <w:r>
        <w:t>Use React + TypeScript for the first implementation unless later changed explicitly.</w:t>
      </w:r>
    </w:p>
    <w:p>
      <w:pPr>
        <w:pStyle w:val="ListBullet"/>
      </w:pPr>
      <w:r>
        <w:t>Application is the primary user-facing object.</w:t>
      </w:r>
    </w:p>
    <w:p>
      <w:pPr>
        <w:pStyle w:val="ListBullet"/>
      </w:pPr>
      <w:r>
        <w:t>Application Workspace uses Overview, Work, Knowledge, Insights and Administration sections.</w:t>
      </w:r>
    </w:p>
    <w:p>
      <w:pPr>
        <w:pStyle w:val="ListBullet"/>
      </w:pPr>
      <w:r>
        <w:t>Home is an Action Hub, not a metrics dashboard.</w:t>
      </w:r>
    </w:p>
    <w:p>
      <w:pPr>
        <w:pStyle w:val="ListBullet"/>
      </w:pPr>
      <w:r>
        <w:t>Semantic Trace Explorer and Asset Catalog are first-class screens.</w:t>
      </w:r>
    </w:p>
    <w:p>
      <w:pPr>
        <w:pStyle w:val="ListBullet"/>
      </w:pPr>
      <w:r>
        <w:t>Application Builder and Platform Administrator are the only v1 roles.</w:t>
      </w:r>
    </w:p>
    <w:p>
      <w:pPr>
        <w:pStyle w:val="Heading1"/>
      </w:pPr>
      <w:r>
        <w:t>13. Configuration and Environment Rules</w:t>
      </w:r>
    </w:p>
    <w:p>
      <w:pPr>
        <w:pStyle w:val="ListBullet"/>
      </w:pPr>
      <w:r>
        <w:t>Use environment-specific configuration: development, test, uat and production.</w:t>
      </w:r>
    </w:p>
    <w:p>
      <w:pPr>
        <w:pStyle w:val="ListBullet"/>
      </w:pPr>
      <w:r>
        <w:t>Never store secrets in domain models.</w:t>
      </w:r>
    </w:p>
    <w:p>
      <w:pPr>
        <w:pStyle w:val="ListBullet"/>
      </w:pPr>
      <w:r>
        <w:t>Adapter configurations store configuration references, not credentials.</w:t>
      </w:r>
    </w:p>
    <w:p>
      <w:pPr>
        <w:pStyle w:val="ListBullet"/>
      </w:pPr>
      <w:r>
        <w:t>Use .env for local development and secret references for deployed environments.</w:t>
      </w:r>
    </w:p>
    <w:p>
      <w:pPr>
        <w:pStyle w:val="ListBullet"/>
      </w:pPr>
      <w:r>
        <w:t>Technology replacement should be configuration-driven wherever possible.</w:t>
      </w:r>
    </w:p>
    <w:p>
      <w:pPr>
        <w:pStyle w:val="Heading1"/>
      </w:pPr>
      <w:r>
        <w:t>14. Testing Rules</w:t>
      </w:r>
    </w:p>
    <w:p>
      <w:pPr>
        <w:pStyle w:val="ListBullet"/>
      </w:pPr>
      <w:r>
        <w:t>Write unit tests for domain models and service logic.</w:t>
      </w:r>
    </w:p>
    <w:p>
      <w:pPr>
        <w:pStyle w:val="ListBullet"/>
      </w:pPr>
      <w:r>
        <w:t>Write repository tests against a test PostgreSQL database.</w:t>
      </w:r>
    </w:p>
    <w:p>
      <w:pPr>
        <w:pStyle w:val="ListBullet"/>
      </w:pPr>
      <w:r>
        <w:t>Use fake adapters for unit tests.</w:t>
      </w:r>
    </w:p>
    <w:p>
      <w:pPr>
        <w:pStyle w:val="ListBullet"/>
      </w:pPr>
      <w:r>
        <w:t>Use integration tests for adapter implementations.</w:t>
      </w:r>
    </w:p>
    <w:p>
      <w:pPr>
        <w:pStyle w:val="ListBullet"/>
      </w:pPr>
      <w:r>
        <w:t>Test the complete MVP flow end-to-end.</w:t>
      </w:r>
    </w:p>
    <w:p>
      <w:pPr>
        <w:pStyle w:val="ListBullet"/>
      </w:pPr>
      <w:r>
        <w:t>Trace creation must be tested for all significant write or execution actions.</w:t>
      </w:r>
    </w:p>
    <w:p>
      <w:pPr>
        <w:pStyle w:val="Heading1"/>
      </w:pPr>
      <w:r>
        <w:t>15. Coding Standards</w:t>
      </w:r>
    </w:p>
    <w:p>
      <w:pPr>
        <w:pStyle w:val="ListBullet"/>
      </w:pPr>
      <w:r>
        <w:t>Use type hints everywhere.</w:t>
      </w:r>
    </w:p>
    <w:p>
      <w:pPr>
        <w:pStyle w:val="ListBullet"/>
      </w:pPr>
      <w:r>
        <w:t>Use Pydantic schemas for API inputs and outputs.</w:t>
      </w:r>
    </w:p>
    <w:p>
      <w:pPr>
        <w:pStyle w:val="ListBullet"/>
      </w:pPr>
      <w:r>
        <w:t>Use SQLAlchemy models for persistence.</w:t>
      </w:r>
    </w:p>
    <w:p>
      <w:pPr>
        <w:pStyle w:val="ListBullet"/>
      </w:pPr>
      <w:r>
        <w:t>Avoid business logic inside API route handlers.</w:t>
      </w:r>
    </w:p>
    <w:p>
      <w:pPr>
        <w:pStyle w:val="ListBullet"/>
      </w:pPr>
      <w:r>
        <w:t>Avoid direct technology client calls from services unless through a port/adapter.</w:t>
      </w:r>
    </w:p>
    <w:p>
      <w:pPr>
        <w:pStyle w:val="ListBullet"/>
      </w:pPr>
      <w:r>
        <w:t>Use clear module boundaries. Do not create shared god services.</w:t>
      </w:r>
    </w:p>
    <w:p>
      <w:pPr>
        <w:pStyle w:val="ListBullet"/>
      </w:pPr>
      <w:r>
        <w:t>Keep v1 simple. Do not add enterprise ceremony before the system works.</w:t>
      </w:r>
    </w:p>
    <w:p>
      <w:pPr>
        <w:pStyle w:val="Heading1"/>
      </w:pPr>
      <w:r>
        <w:t>16. Cursor / Claude Code Working Rules</w:t>
      </w:r>
    </w:p>
    <w:p>
      <w:r>
        <w:t>AI coding tools must operate under architecture constraints. They are implementers, not architecture dictators. A shocking development, but here we are.</w:t>
      </w:r>
    </w:p>
    <w:p>
      <w:pPr>
        <w:pStyle w:val="ListBullet"/>
      </w:pPr>
      <w:r>
        <w:t>Read SIP Implementation Guide v1 first.</w:t>
      </w:r>
    </w:p>
    <w:p>
      <w:pPr>
        <w:pStyle w:val="ListBullet"/>
      </w:pPr>
      <w:r>
        <w:t>Then read Runtime Architecture Decisions, Domain Model, Domain Events and API Boundary.</w:t>
      </w:r>
    </w:p>
    <w:p>
      <w:pPr>
        <w:pStyle w:val="ListBullet"/>
      </w:pPr>
      <w:r>
        <w:t>Do not invent new top-level modules without approval.</w:t>
      </w:r>
    </w:p>
    <w:p>
      <w:pPr>
        <w:pStyle w:val="ListBullet"/>
      </w:pPr>
      <w:r>
        <w:t>Do not replace REST internal communication with MCP.</w:t>
      </w:r>
    </w:p>
    <w:p>
      <w:pPr>
        <w:pStyle w:val="ListBullet"/>
      </w:pPr>
      <w:r>
        <w:t>Do not introduce Kafka, microservices or Kubernetes-only assumptions in v1.</w:t>
      </w:r>
    </w:p>
    <w:p>
      <w:pPr>
        <w:pStyle w:val="ListBullet"/>
      </w:pPr>
      <w:r>
        <w:t>Do not bypass ports/adapters for external technologies.</w:t>
      </w:r>
    </w:p>
    <w:p>
      <w:pPr>
        <w:pStyle w:val="ListBullet"/>
      </w:pPr>
      <w:r>
        <w:t>Do not create raw table access paths for agents.</w:t>
      </w:r>
    </w:p>
    <w:p>
      <w:pPr>
        <w:pStyle w:val="ListBullet"/>
      </w:pPr>
      <w:r>
        <w:t>Every significant execution must produce a SemanticTransaction and TraceSteps.</w:t>
      </w:r>
    </w:p>
    <w:p>
      <w:pPr>
        <w:pStyle w:val="ListBullet"/>
      </w:pPr>
      <w:r>
        <w:t>Before coding a feature, produce a short implementation plan and affected files list.</w:t>
      </w:r>
    </w:p>
    <w:p>
      <w:pPr>
        <w:pStyle w:val="Heading1"/>
      </w:pPr>
      <w:r>
        <w:t>17. Recommended MVP Implementation Order</w:t>
      </w:r>
    </w:p>
    <w:p>
      <w:pPr>
        <w:pStyle w:val="ListNumber"/>
      </w:pPr>
      <w:r>
        <w:t>Create repository skeleton and backend module structure.</w:t>
      </w:r>
    </w:p>
    <w:p>
      <w:pPr>
        <w:pStyle w:val="ListNumber"/>
      </w:pPr>
      <w:r>
        <w:t>Implement configuration, database session, base models and migrations.</w:t>
      </w:r>
    </w:p>
    <w:p>
      <w:pPr>
        <w:pStyle w:val="ListNumber"/>
      </w:pPr>
      <w:r>
        <w:t>Implement Application and ApplicationWorkspace models, repository, service and APIs.</w:t>
      </w:r>
    </w:p>
    <w:p>
      <w:pPr>
        <w:pStyle w:val="ListNumber"/>
      </w:pPr>
      <w:r>
        <w:t>Implement DiscoverySession model, service and APIs.</w:t>
      </w:r>
    </w:p>
    <w:p>
      <w:pPr>
        <w:pStyle w:val="ListNumber"/>
      </w:pPr>
      <w:r>
        <w:t>Implement Blueprint model, service and APIs.</w:t>
      </w:r>
    </w:p>
    <w:p>
      <w:pPr>
        <w:pStyle w:val="ListNumber"/>
      </w:pPr>
      <w:r>
        <w:t>Implement AssetRecord registry and Asset Catalog APIs.</w:t>
      </w:r>
    </w:p>
    <w:p>
      <w:pPr>
        <w:pStyle w:val="ListNumber"/>
      </w:pPr>
      <w:r>
        <w:t>Implement SemanticTransaction and TraceStep services.</w:t>
      </w:r>
    </w:p>
    <w:p>
      <w:pPr>
        <w:pStyle w:val="ListNumber"/>
      </w:pPr>
      <w:r>
        <w:t>Implement PublishedDataProduct and AgentDefinition models.</w:t>
      </w:r>
    </w:p>
    <w:p>
      <w:pPr>
        <w:pStyle w:val="ListNumber"/>
      </w:pPr>
      <w:r>
        <w:t>Implement lightweight Policy model and governance APIs.</w:t>
      </w:r>
    </w:p>
    <w:p>
      <w:pPr>
        <w:pStyle w:val="ListNumber"/>
      </w:pPr>
      <w:r>
        <w:t>Implement initial ports and adapters: PostgreSQL, MinIO, Fuseki, Qdrant, OpenMetadata, OpenAI.</w:t>
      </w:r>
    </w:p>
    <w:p>
      <w:pPr>
        <w:pStyle w:val="ListNumber"/>
      </w:pPr>
      <w:r>
        <w:t>Implement Assessment MVP flow end-to-end.</w:t>
      </w:r>
    </w:p>
    <w:p>
      <w:pPr>
        <w:pStyle w:val="ListNumber"/>
      </w:pPr>
      <w:r>
        <w:t>Implement minimal frontend screens: Home, Applications, Discovery Studio, Blueprint Studio, Application Workspace, Asset Catalog, Trace Explorer.</w:t>
      </w:r>
    </w:p>
    <w:p>
      <w:pPr>
        <w:pStyle w:val="Heading1"/>
      </w:pPr>
      <w:r>
        <w:t>18. Anti-Goals for v1</w:t>
      </w:r>
    </w:p>
    <w:p>
      <w:pPr>
        <w:pStyle w:val="ListBullet"/>
      </w:pPr>
      <w:r>
        <w:t>Do not build a full data product platform.</w:t>
      </w:r>
    </w:p>
    <w:p>
      <w:pPr>
        <w:pStyle w:val="ListBullet"/>
      </w:pPr>
      <w:r>
        <w:t>Do not build a general UI builder.</w:t>
      </w:r>
    </w:p>
    <w:p>
      <w:pPr>
        <w:pStyle w:val="ListBullet"/>
      </w:pPr>
      <w:r>
        <w:t>Do not build a plugin marketplace.</w:t>
      </w:r>
    </w:p>
    <w:p>
      <w:pPr>
        <w:pStyle w:val="ListBullet"/>
      </w:pPr>
      <w:r>
        <w:t>Do not implement distributed microservices.</w:t>
      </w:r>
    </w:p>
    <w:p>
      <w:pPr>
        <w:pStyle w:val="ListBullet"/>
      </w:pPr>
      <w:r>
        <w:t>Do not add Kafka in v1.</w:t>
      </w:r>
    </w:p>
    <w:p>
      <w:pPr>
        <w:pStyle w:val="ListBullet"/>
      </w:pPr>
      <w:r>
        <w:t>Do not implement a complex policy/rule engine in v1.</w:t>
      </w:r>
    </w:p>
    <w:p>
      <w:pPr>
        <w:pStyle w:val="ListBullet"/>
      </w:pPr>
      <w:r>
        <w:t>Do not over-model every Blueprint section as a separate aggregate.</w:t>
      </w:r>
    </w:p>
    <w:p>
      <w:pPr>
        <w:pStyle w:val="ListBullet"/>
      </w:pPr>
      <w:r>
        <w:t>Do not let agents access raw databases, files or infrastructure assets.</w:t>
      </w:r>
    </w:p>
    <w:p>
      <w:pPr>
        <w:pStyle w:val="Heading1"/>
      </w:pPr>
      <w:r>
        <w:t>19. Required Reading Order for Implementation</w:t>
      </w:r>
    </w:p>
    <w:p>
      <w:pPr>
        <w:pStyle w:val="ListNumber"/>
      </w:pPr>
      <w:r>
        <w:t>SIP_Implementation_Guide_v1</w:t>
      </w:r>
    </w:p>
    <w:p>
      <w:pPr>
        <w:pStyle w:val="ListNumber"/>
      </w:pPr>
      <w:r>
        <w:t>SIP_MVP_Scope_v0_1</w:t>
      </w:r>
    </w:p>
    <w:p>
      <w:pPr>
        <w:pStyle w:val="ListNumber"/>
      </w:pPr>
      <w:r>
        <w:t>SIP_Runtime_Architecture_Decisions_v1</w:t>
      </w:r>
    </w:p>
    <w:p>
      <w:pPr>
        <w:pStyle w:val="ListNumber"/>
      </w:pPr>
      <w:r>
        <w:t>SIP_Domain_Model_v1</w:t>
      </w:r>
    </w:p>
    <w:p>
      <w:pPr>
        <w:pStyle w:val="ListNumber"/>
      </w:pPr>
      <w:r>
        <w:t>SIP_Domain_Events_v1</w:t>
      </w:r>
    </w:p>
    <w:p>
      <w:pPr>
        <w:pStyle w:val="ListNumber"/>
      </w:pPr>
      <w:r>
        <w:t>SIP_API_Boundary_v1</w:t>
      </w:r>
    </w:p>
    <w:p>
      <w:pPr>
        <w:pStyle w:val="ListNumber"/>
      </w:pPr>
      <w:r>
        <w:t>SIP_Platform_Console_UX_v1</w:t>
      </w:r>
    </w:p>
    <w:p>
      <w:pPr>
        <w:pStyle w:val="ListNumber"/>
      </w:pPr>
      <w:r>
        <w:t>SIP_Platform_Console_Screen_Map_v1</w:t>
      </w:r>
    </w:p>
    <w:p>
      <w:pPr>
        <w:pStyle w:val="ListNumber"/>
      </w:pPr>
      <w:r>
        <w:t>SIP_Architecture_Specification_v1</w:t>
      </w:r>
    </w:p>
    <w:p>
      <w:pPr>
        <w:pStyle w:val="ListNumber"/>
      </w:pPr>
      <w:r>
        <w:t>SIP_Architecture_Decision_Log_v1</w:t>
      </w:r>
    </w:p>
    <w:p>
      <w:pPr>
        <w:pStyle w:val="ListNumber"/>
      </w:pPr>
      <w:r>
        <w:t>SIP_Architecture_Review_Resolution_v1</w:t>
      </w:r>
    </w:p>
    <w:sectPr w:rsidR="00FC693F" w:rsidRPr="0006063C" w:rsidSect="00034616">
      <w:footerReference w:type="default" r:id="rId9"/>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SIP Implementation Guide v1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