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A1A2E"/>
          <w:sz w:val="52"/>
          <w:szCs w:val="52"/>
        </w:rPr>
        <w:t xml:space="preserve">DIGITAL LITERACY PORTFOLIO</w:t>
      </w:r>
    </w:p>
    <w:p>
      <w:pPr>
        <w:spacing w:before="100" w:after="100"/>
        <w:jc w:val="center"/>
      </w:pPr>
      <w:r>
        <w:rPr>
          <w:rFonts w:ascii="Arial" w:cs="Arial" w:eastAsia="Arial" w:hAnsi="Arial"/>
          <w:color w:val="555555"/>
          <w:sz w:val="32"/>
          <w:szCs w:val="32"/>
        </w:rPr>
        <w:t xml:space="preserve">CSE0001 — Digital Literacy</w:t>
      </w:r>
    </w:p>
    <w:p>
      <w:pPr>
        <w:spacing w:before="100" w:after="600"/>
        <w:jc w:val="center"/>
      </w:pPr>
      <w:r>
        <w:rPr>
          <w:rFonts w:ascii="Arial" w:cs="Arial" w:eastAsia="Arial" w:hAnsi="Arial"/>
          <w:i/>
          <w:iCs/>
          <w:color w:val="777777"/>
          <w:sz w:val="28"/>
          <w:szCs w:val="28"/>
        </w:rPr>
        <w:t xml:space="preserve">Project Report</w:t>
      </w:r>
    </w:p>
    <w:p>
      <w:pPr>
        <w:pBdr>
          <w:bottom w:val="single" w:color="1A73E8" w:sz="4" w:space="1"/>
        </w:pBdr>
        <w:spacing w:before="0" w:after="60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Name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[Your Full Name]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Registration No.</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[Your Reg No.]</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Branch</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B.Tech – Computer Science &amp; Engineering</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Year</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First Year (2025–26)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Course Code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CSE0001</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Institution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VIT Bhopal University</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4"/>
                <w:szCs w:val="24"/>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March 2026</w:t>
            </w:r>
          </w:p>
        </w:tc>
      </w:tr>
    </w:tbl>
    <w:p>
      <w:r>
        <w:br w:type="page"/>
      </w:r>
    </w:p>
    <w:p>
      <w:pPr>
        <w:pStyle w:val="Heading1"/>
        <w:pBdr>
          <w:bottom w:val="single" w:color="1A73E8" w:sz="6" w:space="1"/>
        </w:pBdr>
        <w:spacing w:before="360" w:after="160"/>
      </w:pPr>
      <w:r>
        <w:rPr>
          <w:rFonts w:ascii="Arial" w:cs="Arial" w:eastAsia="Arial" w:hAnsi="Arial"/>
          <w:b/>
          <w:bCs/>
          <w:sz w:val="32"/>
          <w:szCs w:val="32"/>
        </w:rPr>
        <w:t xml:space="preserve">Introduction</w:t>
      </w:r>
    </w:p>
    <w:p>
      <w:pPr>
        <w:spacing w:before="80" w:after="80"/>
        <w:jc w:val="both"/>
      </w:pPr>
      <w:r>
        <w:rPr>
          <w:rFonts w:ascii="Arial" w:cs="Arial" w:eastAsia="Arial" w:hAnsi="Arial"/>
          <w:sz w:val="24"/>
          <w:szCs w:val="24"/>
        </w:rPr>
        <w:t xml:space="preserve">This project report documents my work as a Student Digital Ambassador at VIT Bhopal University, completed as part of the CSE0001 Digital Literacy course. The assignment asked me to build a Digital Literacy Portfolio spanning five modules — creating an infographic, setting up a professional online presence, exploring coding and collaboration platforms, practising professional email communication, and researching cybercrime awareness.</w:t>
      </w:r>
    </w:p>
    <w:p>
      <w:pPr>
        <w:spacing w:before="60" w:after="60"/>
      </w:pPr>
      <w:r>
        <w:t xml:space="preserve"/>
      </w:r>
    </w:p>
    <w:p>
      <w:pPr>
        <w:spacing w:before="80" w:after="80"/>
        <w:jc w:val="both"/>
      </w:pPr>
      <w:r>
        <w:rPr>
          <w:rFonts w:ascii="Arial" w:cs="Arial" w:eastAsia="Arial" w:hAnsi="Arial"/>
          <w:sz w:val="24"/>
          <w:szCs w:val="24"/>
        </w:rPr>
        <w:t xml:space="preserve">All deliverables are organized in a public GitHub repository. This report provides written reflections for each task, describing the tools I used, what I built or learned, and how the experience will shape my approach to the digital world as a student and future professional. No prior coding experience was required, and every tool used in this project is free and browser-based.</w:t>
      </w:r>
    </w:p>
    <w:p>
      <w:r>
        <w:br w:type="page"/>
      </w:r>
    </w:p>
    <w:p>
      <w:pPr>
        <w:pStyle w:val="Heading1"/>
        <w:pBdr>
          <w:bottom w:val="single" w:color="1A73E8" w:sz="6" w:space="1"/>
        </w:pBdr>
        <w:spacing w:before="360" w:after="160"/>
      </w:pPr>
      <w:r>
        <w:rPr>
          <w:rFonts w:ascii="Arial" w:cs="Arial" w:eastAsia="Arial" w:hAnsi="Arial"/>
          <w:b/>
          <w:bCs/>
          <w:sz w:val="32"/>
          <w:szCs w:val="32"/>
        </w:rPr>
        <w:t xml:space="preserve">Task 1 — Digital Literacy Awareness Infographic</w:t>
      </w:r>
    </w:p>
    <w:p>
      <w:pPr>
        <w:pStyle w:val="Heading2"/>
        <w:spacing w:before="240" w:after="120"/>
      </w:pPr>
      <w:r>
        <w:rPr>
          <w:rFonts w:ascii="Arial" w:cs="Arial" w:eastAsia="Arial" w:hAnsi="Arial"/>
          <w:b/>
          <w:bCs/>
          <w:color w:val="2C5F9E"/>
          <w:sz w:val="26"/>
          <w:szCs w:val="26"/>
        </w:rPr>
        <w:t xml:space="preserve">Tool Used</w:t>
      </w:r>
    </w:p>
    <w:p>
      <w:pPr>
        <w:spacing w:before="80" w:after="80"/>
        <w:jc w:val="both"/>
      </w:pPr>
      <w:r>
        <w:rPr>
          <w:rFonts w:ascii="Arial" w:cs="Arial" w:eastAsia="Arial" w:hAnsi="Arial"/>
          <w:sz w:val="24"/>
          <w:szCs w:val="24"/>
        </w:rPr>
        <w:t xml:space="preserve">Canva (canva.com) — a free, browser-based graphic design platform with drag-and-drop functionality and a large library of templates and icons.</w:t>
      </w:r>
    </w:p>
    <w:p>
      <w:pPr>
        <w:pStyle w:val="Heading2"/>
        <w:spacing w:before="240" w:after="120"/>
      </w:pPr>
      <w:r>
        <w:rPr>
          <w:rFonts w:ascii="Arial" w:cs="Arial" w:eastAsia="Arial" w:hAnsi="Arial"/>
          <w:b/>
          <w:bCs/>
          <w:color w:val="2C5F9E"/>
          <w:sz w:val="26"/>
          <w:szCs w:val="26"/>
        </w:rPr>
        <w:t xml:space="preserve">What the Infographic Shows</w:t>
      </w:r>
    </w:p>
    <w:p>
      <w:pPr>
        <w:spacing w:before="80" w:after="80"/>
        <w:jc w:val="both"/>
      </w:pPr>
      <w:r>
        <w:rPr>
          <w:rFonts w:ascii="Arial" w:cs="Arial" w:eastAsia="Arial" w:hAnsi="Arial"/>
          <w:sz w:val="24"/>
          <w:szCs w:val="24"/>
        </w:rPr>
        <w:t xml:space="preserve">I created a one-page infographic titled "Be Digitally Literate: Your Guide to the Online World" using Canva. The design is structured into three distinct sections using a blue-and-white colour palette with orange accents:</w:t>
      </w:r>
    </w:p>
    <w:p>
      <w:pPr>
        <w:pStyle w:val="ListParagraph"/>
        <w:numPr>
          <w:ilvl w:val="0"/>
          <w:numId w:val="2"/>
        </w:numPr>
        <w:spacing w:before="60" w:after="60"/>
      </w:pPr>
      <w:r>
        <w:rPr>
          <w:rFonts w:ascii="Arial" w:cs="Arial" w:eastAsia="Arial" w:hAnsi="Arial"/>
          <w:sz w:val="24"/>
          <w:szCs w:val="24"/>
        </w:rPr>
        <w:t xml:space="preserve">What is Digital Literacy? — a concise definition explaining that it is the ability to find, evaluate, create, and communicate information using digital technologies responsibly.</w:t>
      </w:r>
    </w:p>
    <w:p>
      <w:pPr>
        <w:pStyle w:val="ListParagraph"/>
        <w:numPr>
          <w:ilvl w:val="0"/>
          <w:numId w:val="2"/>
        </w:numPr>
        <w:spacing w:before="60" w:after="60"/>
      </w:pPr>
      <w:r>
        <w:rPr>
          <w:rFonts w:ascii="Arial" w:cs="Arial" w:eastAsia="Arial" w:hAnsi="Arial"/>
          <w:sz w:val="24"/>
          <w:szCs w:val="24"/>
        </w:rPr>
        <w:t xml:space="preserve">Safe Internet Practices — tips on using strong passwords, enabling two-factor authentication, avoiding suspicious links, and protecting personal data.</w:t>
      </w:r>
    </w:p>
    <w:p>
      <w:pPr>
        <w:pStyle w:val="ListParagraph"/>
        <w:numPr>
          <w:ilvl w:val="0"/>
          <w:numId w:val="2"/>
        </w:numPr>
        <w:spacing w:before="60" w:after="60"/>
      </w:pPr>
      <w:r>
        <w:rPr>
          <w:rFonts w:ascii="Arial" w:cs="Arial" w:eastAsia="Arial" w:hAnsi="Arial"/>
          <w:sz w:val="24"/>
          <w:szCs w:val="24"/>
        </w:rPr>
        <w:t xml:space="preserve">Professional Online Presence — guidance on keeping profiles updated, avoiding oversharing, and engaging respectfully on platforms like LinkedIn and GitHub.</w:t>
      </w:r>
    </w:p>
    <w:p>
      <w:pPr>
        <w:spacing w:before="60" w:after="60"/>
      </w:pPr>
      <w:r>
        <w:t xml:space="preserve"/>
      </w:r>
    </w:p>
    <w:p>
      <w:pPr>
        <w:spacing w:before="80" w:after="80"/>
        <w:jc w:val="both"/>
      </w:pPr>
      <w:r>
        <w:rPr>
          <w:rFonts w:ascii="Arial" w:cs="Arial" w:eastAsia="Arial" w:hAnsi="Arial"/>
          <w:sz w:val="24"/>
          <w:szCs w:val="24"/>
        </w:rPr>
        <w:t xml:space="preserve">The layout uses icons, short text blocks, and clear section dividers to make the content easy to read at a glance. The infographic was exported as a PNG file and added to the task-1-presentation/ folder.</w:t>
      </w:r>
    </w:p>
    <w:p>
      <w:pPr>
        <w:pStyle w:val="Heading2"/>
        <w:spacing w:before="240" w:after="120"/>
      </w:pPr>
      <w:r>
        <w:rPr>
          <w:rFonts w:ascii="Arial" w:cs="Arial" w:eastAsia="Arial" w:hAnsi="Arial"/>
          <w:b/>
          <w:bCs/>
          <w:color w:val="2C5F9E"/>
          <w:sz w:val="26"/>
          <w:szCs w:val="26"/>
        </w:rPr>
        <w:t xml:space="preserve">Reflection</w:t>
      </w:r>
    </w:p>
    <w:p>
      <w:pPr>
        <w:spacing w:before="80" w:after="80"/>
        <w:jc w:val="both"/>
      </w:pPr>
      <w:r>
        <w:rPr>
          <w:rFonts w:ascii="Arial" w:cs="Arial" w:eastAsia="Arial" w:hAnsi="Arial"/>
          <w:sz w:val="24"/>
          <w:szCs w:val="24"/>
        </w:rPr>
        <w:t xml:space="preserve">Using Canva was intuitive, especially with its ready-made templates. The most interesting part was selecting icons that accurately represented each concept without cluttering the layout. The most challenging aspect was keeping the text concise enough to fit neatly into small boxes — this required multiple rewrites of each point. I also found that choosing a consistent colour palette early in the process saved significant editing time later.</w:t>
      </w:r>
    </w:p>
    <w:p>
      <w:r>
        <w:br w:type="page"/>
      </w:r>
    </w:p>
    <w:p>
      <w:pPr>
        <w:pStyle w:val="Heading1"/>
        <w:pBdr>
          <w:bottom w:val="single" w:color="1A73E8" w:sz="6" w:space="1"/>
        </w:pBdr>
        <w:spacing w:before="360" w:after="160"/>
      </w:pPr>
      <w:r>
        <w:rPr>
          <w:rFonts w:ascii="Arial" w:cs="Arial" w:eastAsia="Arial" w:hAnsi="Arial"/>
          <w:b/>
          <w:bCs/>
          <w:sz w:val="32"/>
          <w:szCs w:val="32"/>
        </w:rPr>
        <w:t xml:space="preserve">Task 2 — Student Digital Portfolio</w:t>
      </w:r>
    </w:p>
    <w:p>
      <w:pPr>
        <w:pStyle w:val="Heading2"/>
        <w:spacing w:before="240" w:after="120"/>
      </w:pPr>
      <w:r>
        <w:rPr>
          <w:rFonts w:ascii="Arial" w:cs="Arial" w:eastAsia="Arial" w:hAnsi="Arial"/>
          <w:b/>
          <w:bCs/>
          <w:color w:val="2C5F9E"/>
          <w:sz w:val="26"/>
          <w:szCs w:val="26"/>
        </w:rPr>
        <w:t xml:space="preserve">Platforms Set Up</w:t>
      </w:r>
    </w:p>
    <w:p>
      <w:pPr>
        <w:spacing w:before="80" w:after="80"/>
        <w:jc w:val="both"/>
      </w:pPr>
      <w:r>
        <w:rPr>
          <w:rFonts w:ascii="Arial" w:cs="Arial" w:eastAsia="Arial" w:hAnsi="Arial"/>
          <w:sz w:val="24"/>
          <w:szCs w:val="24"/>
        </w:rPr>
        <w:t xml:space="preserve">I created or updated profiles on three platforms: GitHub, LinkedIn, and Kaggle.</w:t>
      </w:r>
    </w:p>
    <w:p>
      <w:pPr>
        <w:pStyle w:val="ListParagraph"/>
        <w:numPr>
          <w:ilvl w:val="0"/>
          <w:numId w:val="2"/>
        </w:numPr>
        <w:spacing w:before="60" w:after="60"/>
      </w:pPr>
      <w:r>
        <w:rPr>
          <w:rFonts w:ascii="Arial" w:cs="Arial" w:eastAsia="Arial" w:hAnsi="Arial"/>
          <w:sz w:val="24"/>
          <w:szCs w:val="24"/>
        </w:rPr>
        <w:t xml:space="preserve">GitHub — the world's largest platform for version-controlled code hosting and open-source collaboration. I created a profile README repository (a special repository named after my username) containing my name, branch, year, and a statement about what I hope to learn.</w:t>
      </w:r>
    </w:p>
    <w:p>
      <w:pPr>
        <w:pStyle w:val="ListParagraph"/>
        <w:numPr>
          <w:ilvl w:val="0"/>
          <w:numId w:val="2"/>
        </w:numPr>
        <w:spacing w:before="60" w:after="60"/>
      </w:pPr>
      <w:r>
        <w:rPr>
          <w:rFonts w:ascii="Arial" w:cs="Arial" w:eastAsia="Arial" w:hAnsi="Arial"/>
          <w:sz w:val="24"/>
          <w:szCs w:val="24"/>
        </w:rPr>
        <w:t xml:space="preserve">LinkedIn — a professional networking platform used by recruiters, employers, and academics globally. I completed my Education section with my current degree, institution (VIT Bhopal University), and expected graduation year (2028).</w:t>
      </w:r>
    </w:p>
    <w:p>
      <w:pPr>
        <w:pStyle w:val="ListParagraph"/>
        <w:numPr>
          <w:ilvl w:val="0"/>
          <w:numId w:val="2"/>
        </w:numPr>
        <w:spacing w:before="60" w:after="60"/>
      </w:pPr>
      <w:r>
        <w:rPr>
          <w:rFonts w:ascii="Arial" w:cs="Arial" w:eastAsia="Arial" w:hAnsi="Arial"/>
          <w:sz w:val="24"/>
          <w:szCs w:val="24"/>
        </w:rPr>
        <w:t xml:space="preserve">Kaggle — a platform for data science and machine learning. It hosts datasets, notebooks, and competitions. I set up my profile here to begin my data literacy journey.</w:t>
      </w:r>
    </w:p>
    <w:p>
      <w:pPr>
        <w:pStyle w:val="Heading2"/>
        <w:spacing w:before="240" w:after="120"/>
      </w:pPr>
      <w:r>
        <w:rPr>
          <w:rFonts w:ascii="Arial" w:cs="Arial" w:eastAsia="Arial" w:hAnsi="Arial"/>
          <w:b/>
          <w:bCs/>
          <w:color w:val="2C5F9E"/>
          <w:sz w:val="26"/>
          <w:szCs w:val="26"/>
        </w:rPr>
        <w:t xml:space="preserve">How I Plan to Use These Platforms</w:t>
      </w:r>
    </w:p>
    <w:p>
      <w:pPr>
        <w:spacing w:before="80" w:after="80"/>
        <w:jc w:val="both"/>
      </w:pPr>
      <w:r>
        <w:rPr>
          <w:rFonts w:ascii="Arial" w:cs="Arial" w:eastAsia="Arial" w:hAnsi="Arial"/>
          <w:sz w:val="24"/>
          <w:szCs w:val="24"/>
        </w:rPr>
        <w:t xml:space="preserve">Over the next four years, I plan to use these platforms progressively. In Year 1, I will build foundational profiles and push small lab assignments to GitHub. In Year 2, I intend to contribute to open-source repositories and participate in beginner Kaggle competitions. By Year 3, I will use LinkedIn actively to network with alumni and apply for internships. In Year 4, all three platforms together will form the backbone of my placement portfolio. A filled GitHub, a few Kaggle contributions, and a complete LinkedIn profile create a strong, verifiable digital identity for recruiters.</w:t>
      </w:r>
    </w:p>
    <w:p>
      <w:r>
        <w:br w:type="page"/>
      </w:r>
    </w:p>
    <w:p>
      <w:pPr>
        <w:pStyle w:val="Heading1"/>
        <w:pBdr>
          <w:bottom w:val="single" w:color="1A73E8" w:sz="6" w:space="1"/>
        </w:pBdr>
        <w:spacing w:before="360" w:after="160"/>
      </w:pPr>
      <w:r>
        <w:rPr>
          <w:rFonts w:ascii="Arial" w:cs="Arial" w:eastAsia="Arial" w:hAnsi="Arial"/>
          <w:b/>
          <w:bCs/>
          <w:sz w:val="32"/>
          <w:szCs w:val="32"/>
        </w:rPr>
        <w:t xml:space="preserve">Task 3 — Coding &amp; Collaboration Platforms</w:t>
      </w:r>
    </w:p>
    <w:p>
      <w:pPr>
        <w:pStyle w:val="Heading2"/>
        <w:spacing w:before="240" w:after="120"/>
      </w:pPr>
      <w:r>
        <w:rPr>
          <w:rFonts w:ascii="Arial" w:cs="Arial" w:eastAsia="Arial" w:hAnsi="Arial"/>
          <w:b/>
          <w:bCs/>
          <w:color w:val="2C5F9E"/>
          <w:sz w:val="26"/>
          <w:szCs w:val="26"/>
        </w:rPr>
        <w:t xml:space="preserve">Part A — HackerRank</w:t>
      </w:r>
    </w:p>
    <w:p>
      <w:pPr>
        <w:spacing w:before="80" w:after="80"/>
        <w:jc w:val="both"/>
      </w:pPr>
      <w:r>
        <w:rPr>
          <w:rFonts w:ascii="Arial" w:cs="Arial" w:eastAsia="Arial" w:hAnsi="Arial"/>
          <w:sz w:val="24"/>
          <w:szCs w:val="24"/>
        </w:rPr>
        <w:t xml:space="preserve">I created an account on HackerRank and completed two beginner challenges: "Solve Me First" (reading two integers and printing their sum) and the Python Introduction challenge. Both were accepted on the first submission. The experience introduced me to HackerRank's editor environment, input/output format, and automated test case evaluation — skills that will be essential as I begin competitive programming.</w:t>
      </w:r>
    </w:p>
    <w:p>
      <w:pPr>
        <w:pStyle w:val="Heading2"/>
        <w:spacing w:before="240" w:after="120"/>
      </w:pPr>
      <w:r>
        <w:rPr>
          <w:rFonts w:ascii="Arial" w:cs="Arial" w:eastAsia="Arial" w:hAnsi="Arial"/>
          <w:b/>
          <w:bCs/>
          <w:color w:val="2C5F9E"/>
          <w:sz w:val="26"/>
          <w:szCs w:val="26"/>
        </w:rPr>
        <w:t xml:space="preserve">Part B — Google Forms Quiz</w:t>
      </w:r>
    </w:p>
    <w:p>
      <w:pPr>
        <w:spacing w:before="80" w:after="80"/>
        <w:jc w:val="both"/>
      </w:pPr>
      <w:r>
        <w:rPr>
          <w:rFonts w:ascii="Arial" w:cs="Arial" w:eastAsia="Arial" w:hAnsi="Arial"/>
          <w:sz w:val="24"/>
          <w:szCs w:val="24"/>
        </w:rPr>
        <w:t xml:space="preserve">I built a five-question Digital Literacy Awareness Quiz using Google Forms, designed for first-year students. The quiz includes three multiple choice questions (covering the definition of digital literacy, safe practices, and how to handle suspicious emails) and two short-answer questions (naming a platform for coding portfolios and describing the biggest online risk students face). The form is linked to a Google Sheet that automatically collects and displays responses.</w:t>
      </w:r>
    </w:p>
    <w:p>
      <w:pPr>
        <w:pStyle w:val="Heading2"/>
        <w:spacing w:before="240" w:after="120"/>
      </w:pPr>
      <w:r>
        <w:rPr>
          <w:rFonts w:ascii="Arial" w:cs="Arial" w:eastAsia="Arial" w:hAnsi="Arial"/>
          <w:b/>
          <w:bCs/>
          <w:color w:val="2C5F9E"/>
          <w:sz w:val="26"/>
          <w:szCs w:val="26"/>
        </w:rPr>
        <w:t xml:space="preserve">Reflection</w:t>
      </w:r>
    </w:p>
    <w:p>
      <w:pPr>
        <w:spacing w:before="80" w:after="80"/>
        <w:jc w:val="both"/>
      </w:pPr>
      <w:r>
        <w:rPr>
          <w:rFonts w:ascii="Arial" w:cs="Arial" w:eastAsia="Arial" w:hAnsi="Arial"/>
          <w:sz w:val="24"/>
          <w:szCs w:val="24"/>
        </w:rPr>
        <w:t xml:space="preserve">HackerRank removed the friction of setting up a local coding environment — I could write, run, and test code entirely in the browser. Google Forms surprised me with its power; the automatic Sheets integration means I could actually deploy this quiz across my batch as a real Digital Ambassador tool, not just a course exercise. These platforms will help me academically by making collaborative work, practice, and data collection faster and more accessible.</w:t>
      </w:r>
    </w:p>
    <w:p>
      <w:r>
        <w:br w:type="page"/>
      </w:r>
    </w:p>
    <w:p>
      <w:pPr>
        <w:pStyle w:val="Heading1"/>
        <w:pBdr>
          <w:bottom w:val="single" w:color="1A73E8" w:sz="6" w:space="1"/>
        </w:pBdr>
        <w:spacing w:before="360" w:after="160"/>
      </w:pPr>
      <w:r>
        <w:rPr>
          <w:rFonts w:ascii="Arial" w:cs="Arial" w:eastAsia="Arial" w:hAnsi="Arial"/>
          <w:b/>
          <w:bCs/>
          <w:sz w:val="32"/>
          <w:szCs w:val="32"/>
        </w:rPr>
        <w:t xml:space="preserve">Task 4 — Professional Email &amp; Etiquette</w:t>
      </w:r>
    </w:p>
    <w:p>
      <w:pPr>
        <w:pStyle w:val="Heading2"/>
        <w:spacing w:before="240" w:after="120"/>
      </w:pPr>
      <w:r>
        <w:rPr>
          <w:rFonts w:ascii="Arial" w:cs="Arial" w:eastAsia="Arial" w:hAnsi="Arial"/>
          <w:b/>
          <w:bCs/>
          <w:color w:val="2C5F9E"/>
          <w:sz w:val="26"/>
          <w:szCs w:val="26"/>
        </w:rPr>
        <w:t xml:space="preserve">Email Summaries</w:t>
      </w:r>
    </w:p>
    <w:p>
      <w:pPr>
        <w:spacing w:before="80" w:after="80"/>
        <w:jc w:val="both"/>
      </w:pPr>
      <w:r>
        <w:rPr>
          <w:rFonts w:ascii="Arial" w:cs="Arial" w:eastAsia="Arial" w:hAnsi="Arial"/>
          <w:sz w:val="24"/>
          <w:szCs w:val="24"/>
        </w:rPr>
        <w:t xml:space="preserve">Email 1 is addressed to a professor requesting a 2–3 day extension on an assignment submission due to personal circumstances. It includes a professional subject line, a formal greeting, a clearly structured body explaining the situation without oversharing, a proposed new deadline, and a polite sign-off. The tone is respectful and solution-focused rather than apologetic and vague.</w:t>
      </w:r>
    </w:p>
    <w:p>
      <w:pPr>
        <w:spacing w:before="60" w:after="60"/>
      </w:pPr>
      <w:r>
        <w:t xml:space="preserve"/>
      </w:r>
    </w:p>
    <w:p>
      <w:pPr>
        <w:spacing w:before="80" w:after="80"/>
        <w:jc w:val="both"/>
      </w:pPr>
      <w:r>
        <w:rPr>
          <w:rFonts w:ascii="Arial" w:cs="Arial" w:eastAsia="Arial" w:hAnsi="Arial"/>
          <w:sz w:val="24"/>
          <w:szCs w:val="24"/>
        </w:rPr>
        <w:t xml:space="preserve">Email 2 is addressed to an internship coordinator at a company, expressing interest in a summer internship. It opens with a brief self-introduction, mentions relevant skills and platforms, states a specific reason for interest in the company, and closes with available contact details. The email is concise and avoids generic phrasing.</w:t>
      </w:r>
    </w:p>
    <w:p>
      <w:pPr>
        <w:pStyle w:val="Heading2"/>
        <w:spacing w:before="240" w:after="120"/>
      </w:pPr>
      <w:r>
        <w:rPr>
          <w:rFonts w:ascii="Arial" w:cs="Arial" w:eastAsia="Arial" w:hAnsi="Arial"/>
          <w:b/>
          <w:bCs/>
          <w:color w:val="2C5F9E"/>
          <w:sz w:val="26"/>
          <w:szCs w:val="26"/>
        </w:rPr>
        <w:t xml:space="preserve">Communication Scenario — When Poor Digital Communication Goes Wrong</w:t>
      </w:r>
    </w:p>
    <w:p>
      <w:pPr>
        <w:spacing w:before="80" w:after="80"/>
        <w:jc w:val="both"/>
      </w:pPr>
      <w:r>
        <w:rPr>
          <w:rFonts w:ascii="Arial" w:cs="Arial" w:eastAsia="Arial" w:hAnsi="Arial"/>
          <w:sz w:val="24"/>
          <w:szCs w:val="24"/>
        </w:rPr>
        <w:t xml:space="preserve">A common real-world scenario involves a student posting a frustrated complaint about a professor or exam on a public social media account. Even if deleted later, screenshots are often captured and shared. In one such hypothetical situation, a student's LinkedIn post complaining about "unfair grading" was seen by a recruiter from a company the student had applied to — and the application was rejected. The student could have instead shared feedback through official college channels or discussed concerns privately. This scenario highlights that digital communication leaves a permanent trace and that the audience is always wider than expected. Every post, email, or message is, in effect, a professional statement.</w:t>
      </w:r>
    </w:p>
    <w:p>
      <w:r>
        <w:br w:type="page"/>
      </w:r>
    </w:p>
    <w:p>
      <w:pPr>
        <w:pStyle w:val="Heading1"/>
        <w:pBdr>
          <w:bottom w:val="single" w:color="1A73E8" w:sz="6" w:space="1"/>
        </w:pBdr>
        <w:spacing w:before="360" w:after="160"/>
      </w:pPr>
      <w:r>
        <w:rPr>
          <w:rFonts w:ascii="Arial" w:cs="Arial" w:eastAsia="Arial" w:hAnsi="Arial"/>
          <w:b/>
          <w:bCs/>
          <w:sz w:val="32"/>
          <w:szCs w:val="32"/>
        </w:rPr>
        <w:t xml:space="preserve">Task 5 — Cybercrime Awareness</w:t>
      </w:r>
    </w:p>
    <w:p>
      <w:pPr>
        <w:pStyle w:val="Heading2"/>
        <w:spacing w:before="240" w:after="120"/>
      </w:pPr>
      <w:r>
        <w:rPr>
          <w:rFonts w:ascii="Arial" w:cs="Arial" w:eastAsia="Arial" w:hAnsi="Arial"/>
          <w:b/>
          <w:bCs/>
          <w:color w:val="2C5F9E"/>
          <w:sz w:val="26"/>
          <w:szCs w:val="26"/>
        </w:rPr>
        <w:t xml:space="preserve">Case Study: UPI / Online Payment Fraud</w:t>
      </w:r>
    </w:p>
    <w:p>
      <w:pPr>
        <w:spacing w:before="80" w:after="80"/>
        <w:jc w:val="both"/>
      </w:pPr>
      <w:r>
        <w:rPr>
          <w:rFonts w:ascii="Arial" w:cs="Arial" w:eastAsia="Arial" w:hAnsi="Arial"/>
          <w:sz w:val="24"/>
          <w:szCs w:val="24"/>
        </w:rPr>
        <w:t xml:space="preserve">I researched UPI (Unified Payments Interface) fraud — one of the most common cybercrimes targeting young people in India. The crime typically begins with fraudsters contacting victims through classified listing sites (like OLX), posing as buyers. Rather than sending payment, they issue a UPI collect request. Victims, unfamiliar with the difference between "send" and "collect", enter their PIN believing they are receiving money — but instead authorise an outward transfer.</w:t>
      </w:r>
    </w:p>
    <w:p>
      <w:pPr>
        <w:spacing w:before="60" w:after="60"/>
      </w:pPr>
      <w:r>
        <w:t xml:space="preserve"/>
      </w:r>
    </w:p>
    <w:p>
      <w:pPr>
        <w:spacing w:before="80" w:after="80"/>
        <w:jc w:val="both"/>
      </w:pPr>
      <w:r>
        <w:rPr>
          <w:rFonts w:ascii="Arial" w:cs="Arial" w:eastAsia="Arial" w:hAnsi="Arial"/>
          <w:sz w:val="24"/>
          <w:szCs w:val="24"/>
        </w:rPr>
        <w:t xml:space="preserve">Targets commonly include first-time UPI users, college students selling second-hand items, and small business owners. Consequences range from immediate financial loss (often thousands of rupees) to psychological distress and difficulty recovering funds due to the near-instant, irreversible nature of UPI transactions.</w:t>
      </w:r>
    </w:p>
    <w:p>
      <w:pPr>
        <w:pStyle w:val="Heading2"/>
        <w:spacing w:before="240" w:after="120"/>
      </w:pPr>
      <w:r>
        <w:rPr>
          <w:rFonts w:ascii="Arial" w:cs="Arial" w:eastAsia="Arial" w:hAnsi="Arial"/>
          <w:b/>
          <w:bCs/>
          <w:color w:val="2C5F9E"/>
          <w:sz w:val="26"/>
          <w:szCs w:val="26"/>
        </w:rPr>
        <w:t xml:space="preserve">Reflection</w:t>
      </w:r>
    </w:p>
    <w:p>
      <w:pPr>
        <w:spacing w:before="80" w:after="80"/>
        <w:jc w:val="both"/>
      </w:pPr>
      <w:r>
        <w:rPr>
          <w:rFonts w:ascii="Arial" w:cs="Arial" w:eastAsia="Arial" w:hAnsi="Arial"/>
          <w:sz w:val="24"/>
          <w:szCs w:val="24"/>
        </w:rPr>
        <w:t xml:space="preserve">What surprised me most was how straightforward and psychologically calculated UPI fraud is — the attacker exploits a simple interface confusion (collect vs. send) rather than any technical vulnerability. The victim does everything correctly from their point of view. I will personally change one habit: from now on, I will never approve any incoming UPI request I did not initiate myself, and I will pause for five seconds before entering my PIN for any transaction, regardless of urgency.</w:t>
      </w:r>
    </w:p>
    <w:p>
      <w:r>
        <w:br w:type="page"/>
      </w:r>
    </w:p>
    <w:p>
      <w:pPr>
        <w:pStyle w:val="Heading1"/>
        <w:pBdr>
          <w:bottom w:val="single" w:color="1A73E8" w:sz="6" w:space="1"/>
        </w:pBdr>
        <w:spacing w:before="360" w:after="160"/>
      </w:pPr>
      <w:r>
        <w:rPr>
          <w:rFonts w:ascii="Arial" w:cs="Arial" w:eastAsia="Arial" w:hAnsi="Arial"/>
          <w:b/>
          <w:bCs/>
          <w:sz w:val="32"/>
          <w:szCs w:val="32"/>
        </w:rPr>
        <w:t xml:space="preserve">Conclusion</w:t>
      </w:r>
    </w:p>
    <w:p>
      <w:pPr>
        <w:spacing w:before="80" w:after="80"/>
        <w:jc w:val="both"/>
      </w:pPr>
      <w:r>
        <w:rPr>
          <w:rFonts w:ascii="Arial" w:cs="Arial" w:eastAsia="Arial" w:hAnsi="Arial"/>
          <w:sz w:val="24"/>
          <w:szCs w:val="24"/>
        </w:rPr>
        <w:t xml:space="preserve">Completing this project gave me a structured introduction to the tools and habits that define responsible, effective digital citizenship. I built real profiles, wrote real code, created a real quiz, and researched a crime that genuinely affects students like me. The most important takeaway is that the digital world is not separate from the professional world — every account I create, every post I make, and every email I send contributes to a lasting digital identity. Starting Year 1 with professional habits will compound significantly by Year 4.</w:t>
      </w:r>
    </w:p>
    <w:p>
      <w:pPr>
        <w:spacing w:before="60" w:after="60"/>
      </w:pPr>
      <w:r>
        <w:t xml:space="preserve"/>
      </w:r>
    </w:p>
    <w:p>
      <w:pPr>
        <w:pStyle w:val="Heading1"/>
        <w:pBdr>
          <w:bottom w:val="single" w:color="1A73E8" w:sz="6" w:space="1"/>
        </w:pBdr>
        <w:spacing w:before="360" w:after="160"/>
      </w:pPr>
      <w:r>
        <w:rPr>
          <w:rFonts w:ascii="Arial" w:cs="Arial" w:eastAsia="Arial" w:hAnsi="Arial"/>
          <w:b/>
          <w:bCs/>
          <w:sz w:val="32"/>
          <w:szCs w:val="32"/>
        </w:rPr>
        <w:t xml:space="preserve">References</w:t>
      </w:r>
    </w:p>
    <w:p>
      <w:pPr>
        <w:pStyle w:val="ListParagraph"/>
        <w:numPr>
          <w:ilvl w:val="0"/>
          <w:numId w:val="2"/>
        </w:numPr>
        <w:spacing w:before="60" w:after="60"/>
      </w:pPr>
      <w:r>
        <w:rPr>
          <w:rFonts w:ascii="Arial" w:cs="Arial" w:eastAsia="Arial" w:hAnsi="Arial"/>
          <w:sz w:val="24"/>
          <w:szCs w:val="24"/>
        </w:rPr>
        <w:t xml:space="preserve">Canva Design Tool — canva.com</w:t>
      </w:r>
    </w:p>
    <w:p>
      <w:pPr>
        <w:pStyle w:val="ListParagraph"/>
        <w:numPr>
          <w:ilvl w:val="0"/>
          <w:numId w:val="2"/>
        </w:numPr>
        <w:spacing w:before="60" w:after="60"/>
      </w:pPr>
      <w:r>
        <w:rPr>
          <w:rFonts w:ascii="Arial" w:cs="Arial" w:eastAsia="Arial" w:hAnsi="Arial"/>
          <w:sz w:val="24"/>
          <w:szCs w:val="24"/>
        </w:rPr>
        <w:t xml:space="preserve">GitHub — github.com</w:t>
      </w:r>
    </w:p>
    <w:p>
      <w:pPr>
        <w:pStyle w:val="ListParagraph"/>
        <w:numPr>
          <w:ilvl w:val="0"/>
          <w:numId w:val="2"/>
        </w:numPr>
        <w:spacing w:before="60" w:after="60"/>
      </w:pPr>
      <w:r>
        <w:rPr>
          <w:rFonts w:ascii="Arial" w:cs="Arial" w:eastAsia="Arial" w:hAnsi="Arial"/>
          <w:sz w:val="24"/>
          <w:szCs w:val="24"/>
        </w:rPr>
        <w:t xml:space="preserve">LinkedIn — linkedin.com</w:t>
      </w:r>
    </w:p>
    <w:p>
      <w:pPr>
        <w:pStyle w:val="ListParagraph"/>
        <w:numPr>
          <w:ilvl w:val="0"/>
          <w:numId w:val="2"/>
        </w:numPr>
        <w:spacing w:before="60" w:after="60"/>
      </w:pPr>
      <w:r>
        <w:rPr>
          <w:rFonts w:ascii="Arial" w:cs="Arial" w:eastAsia="Arial" w:hAnsi="Arial"/>
          <w:sz w:val="24"/>
          <w:szCs w:val="24"/>
        </w:rPr>
        <w:t xml:space="preserve">Kaggle — kaggle.com</w:t>
      </w:r>
    </w:p>
    <w:p>
      <w:pPr>
        <w:pStyle w:val="ListParagraph"/>
        <w:numPr>
          <w:ilvl w:val="0"/>
          <w:numId w:val="2"/>
        </w:numPr>
        <w:spacing w:before="60" w:after="60"/>
      </w:pPr>
      <w:r>
        <w:rPr>
          <w:rFonts w:ascii="Arial" w:cs="Arial" w:eastAsia="Arial" w:hAnsi="Arial"/>
          <w:sz w:val="24"/>
          <w:szCs w:val="24"/>
        </w:rPr>
        <w:t xml:space="preserve">HackerRank — hackerrank.com</w:t>
      </w:r>
    </w:p>
    <w:p>
      <w:pPr>
        <w:pStyle w:val="ListParagraph"/>
        <w:numPr>
          <w:ilvl w:val="0"/>
          <w:numId w:val="2"/>
        </w:numPr>
        <w:spacing w:before="60" w:after="60"/>
      </w:pPr>
      <w:r>
        <w:rPr>
          <w:rFonts w:ascii="Arial" w:cs="Arial" w:eastAsia="Arial" w:hAnsi="Arial"/>
          <w:sz w:val="24"/>
          <w:szCs w:val="24"/>
        </w:rPr>
        <w:t xml:space="preserve">Google Forms — forms.google.com</w:t>
      </w:r>
    </w:p>
    <w:p>
      <w:pPr>
        <w:pStyle w:val="ListParagraph"/>
        <w:numPr>
          <w:ilvl w:val="0"/>
          <w:numId w:val="2"/>
        </w:numPr>
        <w:spacing w:before="60" w:after="60"/>
      </w:pPr>
      <w:r>
        <w:rPr>
          <w:rFonts w:ascii="Arial" w:cs="Arial" w:eastAsia="Arial" w:hAnsi="Arial"/>
          <w:sz w:val="24"/>
          <w:szCs w:val="24"/>
        </w:rPr>
        <w:t xml:space="preserve">National Cyber Crime Reporting Portal — cybercrime.gov.in</w:t>
      </w:r>
    </w:p>
    <w:p>
      <w:pPr>
        <w:pStyle w:val="ListParagraph"/>
        <w:numPr>
          <w:ilvl w:val="0"/>
          <w:numId w:val="2"/>
        </w:numPr>
        <w:spacing w:before="60" w:after="60"/>
      </w:pPr>
      <w:r>
        <w:rPr>
          <w:rFonts w:ascii="Arial" w:cs="Arial" w:eastAsia="Arial" w:hAnsi="Arial"/>
          <w:sz w:val="24"/>
          <w:szCs w:val="24"/>
        </w:rPr>
        <w:t xml:space="preserve">Reserve Bank of India — Safe Digital Payments Guide — rbi.org.in</w:t>
      </w:r>
    </w:p>
    <w:p>
      <w:pPr>
        <w:pStyle w:val="ListParagraph"/>
        <w:numPr>
          <w:ilvl w:val="0"/>
          <w:numId w:val="2"/>
        </w:numPr>
        <w:spacing w:before="60" w:after="60"/>
      </w:pPr>
      <w:r>
        <w:rPr>
          <w:rFonts w:ascii="Arial" w:cs="Arial" w:eastAsia="Arial" w:hAnsi="Arial"/>
          <w:sz w:val="24"/>
          <w:szCs w:val="24"/>
        </w:rPr>
        <w:t xml:space="preserve">CERT-In (Indian Computer Emergency Response Team) — cert-in.org.in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2026-03-31T17:42:24.431Z</dcterms:created>
  <dcterms:modified xsi:type="dcterms:W3CDTF">2026-03-31T17:42:24.432Z</dcterms:modified>
</cp:coreProperties>
</file>

<file path=docProps/custom.xml><?xml version="1.0" encoding="utf-8"?>
<Properties xmlns="http://schemas.openxmlformats.org/officeDocument/2006/custom-properties" xmlns:vt="http://schemas.openxmlformats.org/officeDocument/2006/docPropsVTypes"/>
</file>