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Data Processing Addendum</w:t>
      </w:r>
    </w:p>
    <w:p>
      <w:r>
        <w:t>Version 4. Effective 10 February 2026. This Data Processing Addendum ("DPA") forms part of the Ferrowave Pulse Terms of Service between Ferrowave Ltd ("Processor" or "Ferrowave") and the Customer ("Controller"). It applies to the extent Ferrowave processes personal data on behalf of the Customer in providing the Service.</w:t>
      </w:r>
    </w:p>
    <w:p>
      <w:pPr>
        <w:pStyle w:val="Heading1"/>
      </w:pPr>
      <w:r>
        <w:t>1. Roles</w:t>
      </w:r>
    </w:p>
    <w:p>
      <w:r>
        <w:t>The Customer is the controller of personal data contained in Customer Data (including respondent names, email addresses, survey responses, and attributes). Ferrowave is the processor. Ferrowave is an independent controller of account data about the Customer's own users, as described in the Privacy Policy.</w:t>
      </w:r>
    </w:p>
    <w:p>
      <w:pPr>
        <w:pStyle w:val="Heading1"/>
      </w:pPr>
      <w:r>
        <w:t>2. Instructions</w:t>
      </w:r>
    </w:p>
    <w:p>
      <w:r>
        <w:t>Ferrowave will process personal data only on the documented instructions of the Customer, which are the Terms, this DPA, and the Customer's use of the Service's features. Ferrowave will inform the Customer if it believes an instruction infringes applicable data protection law.</w:t>
      </w:r>
    </w:p>
    <w:p>
      <w:pPr>
        <w:pStyle w:val="Heading1"/>
      </w:pPr>
      <w:r>
        <w:t>3. Confidentiality and security</w:t>
      </w:r>
    </w:p>
    <w:p>
      <w:r>
        <w:t>Ferrowave ensures that persons authorised to process personal data are bound by confidentiality. Ferrowave implements the technical and organisational measures described in Annex 2, including encryption in transit and at rest, access controls, logging, and regular testing.</w:t>
      </w:r>
    </w:p>
    <w:p>
      <w:pPr>
        <w:pStyle w:val="Heading1"/>
      </w:pPr>
      <w:r>
        <w:t>4. Sub-processors</w:t>
      </w:r>
    </w:p>
    <w:p>
      <w:r>
        <w:t>The Customer authorises the sub-processors listed in Annex 3. Ferrowave will give at least 30 days' notice before engaging a new sub-processor. The Customer may object on reasonable grounds; if the objection cannot be resolved, the Customer may terminate the affected Service and receive a pro-rata refund of prepaid fees.</w:t>
      </w:r>
    </w:p>
    <w:p>
      <w:pPr>
        <w:pStyle w:val="Heading1"/>
      </w:pPr>
      <w:r>
        <w:t>5. Data subject rights</w:t>
      </w:r>
    </w:p>
    <w:p>
      <w:r>
        <w:t>Ferrowave will assist the Customer in responding to requests from data subjects, using the Service's self-service features where available (respondent deletion, export) and otherwise within 10 business days of a written request.</w:t>
      </w:r>
    </w:p>
    <w:p>
      <w:pPr>
        <w:pStyle w:val="Heading1"/>
      </w:pPr>
      <w:r>
        <w:t>6. Personal data breach</w:t>
      </w:r>
    </w:p>
    <w:p>
      <w:r>
        <w:t>Ferrowave will notify the Customer without undue delay, and in any event within 72 hours, after becoming aware of a personal data breach affecting Customer Data, and will provide information reasonably required for the Customer to meet its own notification obligations.</w:t>
      </w:r>
    </w:p>
    <w:p>
      <w:pPr>
        <w:pStyle w:val="Heading1"/>
      </w:pPr>
      <w:r>
        <w:t>7. Return and deletion</w:t>
      </w:r>
    </w:p>
    <w:p>
      <w:r>
        <w:t>Upon termination or expiry of the Service, the Customer may export Customer Data for a period of 30 days. Ferrowave will delete all Customer Data, including personal data, within 30 days after termination, except where retention is required by law. Data in encrypted backups is deleted in accordance with the backup rotation schedule, which purges backups within 35 days. This clause applies regardless of the retention window that applied to the data while the Service was active.</w:t>
      </w:r>
    </w:p>
    <w:p>
      <w:pPr>
        <w:pStyle w:val="Heading1"/>
      </w:pPr>
      <w:r>
        <w:t>8. Audits</w:t>
      </w:r>
    </w:p>
    <w:p>
      <w:r>
        <w:t>Ferrowave will make available the information necessary to demonstrate compliance, including its current SOC 2 Type II report under NDA, and will allow audits by the Customer or an auditor mandated by the Customer no more than once per year on 30 days' notice, at the Customer's cost, unless required by a supervisory authority.</w:t>
      </w:r>
    </w:p>
    <w:p>
      <w:pPr>
        <w:pStyle w:val="Heading1"/>
      </w:pPr>
      <w:r>
        <w:t>9. International transfers</w:t>
      </w:r>
    </w:p>
    <w:p>
      <w:r>
        <w:t>Where Customer Data is transferred outside the European Economic Area, the United Kingdom, or Switzerland to a country without an adequacy decision, the parties rely on the Standard Contractual Clauses (Module 2, controller to processor) incorporated by reference, together with the supplementary measures in Annex 2.</w:t>
      </w:r>
    </w:p>
    <w:p>
      <w:pPr>
        <w:pStyle w:val="Heading1"/>
      </w:pPr>
      <w:r>
        <w:t>10. Data location</w:t>
      </w:r>
    </w:p>
    <w:p>
      <w:r>
        <w:t>Customer Data for Scale and Enterprise workspaces is stored in the region selected at workspace creation (EU, Ireland, or US, Virginia). Starter and Growth workspaces are stored in the US region. Support access from other regions is logged and limited to what is required to resolve the Customer's request.</w:t>
      </w:r>
    </w:p>
    <w:p>
      <w:pPr>
        <w:pStyle w:val="Heading1"/>
      </w:pPr>
      <w:r>
        <w:t>11. Liability</w:t>
      </w:r>
    </w:p>
    <w:p>
      <w:r>
        <w:t>Each party's liability under this DPA is subject to the limitations in the Terms of Service.</w:t>
      </w:r>
    </w:p>
    <w:p>
      <w:pPr>
        <w:pStyle w:val="Heading1"/>
      </w:pPr>
      <w:r>
        <w:t>Annex 1: Details of processing</w:t>
      </w:r>
    </w:p>
    <w:p>
      <w:r>
        <w:t>Subject matter: provision of the Ferrowave Pulse feedback service. Duration: the term of the Service plus the deletion period in Section 7. Nature and purpose: hosting, storage, analysis, and display of survey responses on the Customer's instructions. Categories of data subjects: the Customer's customers, users, and employees who respond to surveys; the Customer's own staff who use the Service. Categories of personal data: name, email address, survey scores, free-text comments, respondent attributes supplied by the Customer, IP address and device information.</w:t>
      </w:r>
    </w:p>
    <w:p>
      <w:pPr>
        <w:pStyle w:val="Heading1"/>
      </w:pPr>
      <w:r>
        <w:t>Annex 2: Technical and organisational measures</w:t>
      </w:r>
    </w:p>
    <w:p>
      <w:pPr>
        <w:pStyle w:val="ListBullet"/>
      </w:pPr>
      <w:r>
        <w:t>Encryption in transit (TLS 1.2 or higher) and at rest (AES-256).</w:t>
      </w:r>
    </w:p>
    <w:p>
      <w:pPr>
        <w:pStyle w:val="ListBullet"/>
      </w:pPr>
      <w:r>
        <w:t>Role-based access control; production access limited to on-call engineers and logged.</w:t>
      </w:r>
    </w:p>
    <w:p>
      <w:pPr>
        <w:pStyle w:val="ListBullet"/>
      </w:pPr>
      <w:r>
        <w:t>Multi-factor authentication for all Ferrowave staff.</w:t>
      </w:r>
    </w:p>
    <w:p>
      <w:pPr>
        <w:pStyle w:val="ListBullet"/>
      </w:pPr>
      <w:r>
        <w:t>Annual independent penetration test; continuous vulnerability scanning.</w:t>
      </w:r>
    </w:p>
    <w:p>
      <w:pPr>
        <w:pStyle w:val="ListBullet"/>
      </w:pPr>
      <w:r>
        <w:t>Encrypted backups retained on a 35 day rolling schedule, stored in the workspace region.</w:t>
      </w:r>
    </w:p>
    <w:p>
      <w:pPr>
        <w:pStyle w:val="ListBullet"/>
      </w:pPr>
      <w:r>
        <w:t>Secure development lifecycle including code review and dependency scanning.</w:t>
      </w:r>
    </w:p>
    <w:p>
      <w:pPr>
        <w:pStyle w:val="ListBullet"/>
      </w:pPr>
      <w:r>
        <w:t>Business continuity plan tested annually.</w:t>
      </w:r>
    </w:p>
    <w:p>
      <w:pPr>
        <w:pStyle w:val="Heading1"/>
      </w:pPr>
      <w:r>
        <w:t>Annex 3: Sub-processors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Sub-processor</w:t>
            </w:r>
          </w:p>
        </w:tc>
        <w:tc>
          <w:tcPr>
            <w:tcW w:type="dxa" w:w="2160"/>
          </w:tcPr>
          <w:p>
            <w:r>
              <w:t>Purpose</w:t>
            </w:r>
          </w:p>
        </w:tc>
        <w:tc>
          <w:tcPr>
            <w:tcW w:type="dxa" w:w="2160"/>
          </w:tcPr>
          <w:p>
            <w:r>
              <w:t>Location</w:t>
            </w:r>
          </w:p>
        </w:tc>
        <w:tc>
          <w:tcPr>
            <w:tcW w:type="dxa" w:w="2160"/>
          </w:tcPr>
          <w:p>
            <w:r>
              <w:t>Since</w:t>
            </w:r>
          </w:p>
        </w:tc>
      </w:tr>
      <w:tr>
        <w:tc>
          <w:tcPr>
            <w:tcW w:type="dxa" w:w="2160"/>
          </w:tcPr>
          <w:p>
            <w:r>
              <w:t>Nimbus Cloud Europe BV</w:t>
            </w:r>
          </w:p>
        </w:tc>
        <w:tc>
          <w:tcPr>
            <w:tcW w:type="dxa" w:w="2160"/>
          </w:tcPr>
          <w:p>
            <w:r>
              <w:t>Hosting and backups (EU region)</w:t>
            </w:r>
          </w:p>
        </w:tc>
        <w:tc>
          <w:tcPr>
            <w:tcW w:type="dxa" w:w="2160"/>
          </w:tcPr>
          <w:p>
            <w:r>
              <w:t>Ireland</w:t>
            </w:r>
          </w:p>
        </w:tc>
        <w:tc>
          <w:tcPr>
            <w:tcW w:type="dxa" w:w="2160"/>
          </w:tcPr>
          <w:p>
            <w:r>
              <w:t>2022-03</w:t>
            </w:r>
          </w:p>
        </w:tc>
      </w:tr>
      <w:tr>
        <w:tc>
          <w:tcPr>
            <w:tcW w:type="dxa" w:w="2160"/>
          </w:tcPr>
          <w:p>
            <w:r>
              <w:t>Nimbus Cloud Inc</w:t>
            </w:r>
          </w:p>
        </w:tc>
        <w:tc>
          <w:tcPr>
            <w:tcW w:type="dxa" w:w="2160"/>
          </w:tcPr>
          <w:p>
            <w:r>
              <w:t>Hosting and backups (US region)</w:t>
            </w:r>
          </w:p>
        </w:tc>
        <w:tc>
          <w:tcPr>
            <w:tcW w:type="dxa" w:w="2160"/>
          </w:tcPr>
          <w:p>
            <w:r>
              <w:t>United States</w:t>
            </w:r>
          </w:p>
        </w:tc>
        <w:tc>
          <w:tcPr>
            <w:tcW w:type="dxa" w:w="2160"/>
          </w:tcPr>
          <w:p>
            <w:r>
              <w:t>2022-03</w:t>
            </w:r>
          </w:p>
        </w:tc>
      </w:tr>
      <w:tr>
        <w:tc>
          <w:tcPr>
            <w:tcW w:type="dxa" w:w="2160"/>
          </w:tcPr>
          <w:p>
            <w:r>
              <w:t>Postwise Ltd</w:t>
            </w:r>
          </w:p>
        </w:tc>
        <w:tc>
          <w:tcPr>
            <w:tcW w:type="dxa" w:w="2160"/>
          </w:tcPr>
          <w:p>
            <w:r>
              <w:t>Transactional email delivery for surveys</w:t>
            </w:r>
          </w:p>
        </w:tc>
        <w:tc>
          <w:tcPr>
            <w:tcW w:type="dxa" w:w="2160"/>
          </w:tcPr>
          <w:p>
            <w:r>
              <w:t>Ireland</w:t>
            </w:r>
          </w:p>
        </w:tc>
        <w:tc>
          <w:tcPr>
            <w:tcW w:type="dxa" w:w="2160"/>
          </w:tcPr>
          <w:p>
            <w:r>
              <w:t>2022-06</w:t>
            </w:r>
          </w:p>
        </w:tc>
      </w:tr>
      <w:tr>
        <w:tc>
          <w:tcPr>
            <w:tcW w:type="dxa" w:w="2160"/>
          </w:tcPr>
          <w:p>
            <w:r>
              <w:t>Cardstream Payments Ltd</w:t>
            </w:r>
          </w:p>
        </w:tc>
        <w:tc>
          <w:tcPr>
            <w:tcW w:type="dxa" w:w="2160"/>
          </w:tcPr>
          <w:p>
            <w:r>
              <w:t>Payment processing (account data only)</w:t>
            </w:r>
          </w:p>
        </w:tc>
        <w:tc>
          <w:tcPr>
            <w:tcW w:type="dxa" w:w="2160"/>
          </w:tcPr>
          <w:p>
            <w:r>
              <w:t>Ireland</w:t>
            </w:r>
          </w:p>
        </w:tc>
        <w:tc>
          <w:tcPr>
            <w:tcW w:type="dxa" w:w="2160"/>
          </w:tcPr>
          <w:p>
            <w:r>
              <w:t>2022-03</w:t>
            </w:r>
          </w:p>
        </w:tc>
      </w:tr>
      <w:tr>
        <w:tc>
          <w:tcPr>
            <w:tcW w:type="dxa" w:w="2160"/>
          </w:tcPr>
          <w:p>
            <w:r>
              <w:t>Helpdesk Nova Inc</w:t>
            </w:r>
          </w:p>
        </w:tc>
        <w:tc>
          <w:tcPr>
            <w:tcW w:type="dxa" w:w="2160"/>
          </w:tcPr>
          <w:p>
            <w:r>
              <w:t>Support ticketing (account data only)</w:t>
            </w:r>
          </w:p>
        </w:tc>
        <w:tc>
          <w:tcPr>
            <w:tcW w:type="dxa" w:w="2160"/>
          </w:tcPr>
          <w:p>
            <w:r>
              <w:t>United States</w:t>
            </w:r>
          </w:p>
        </w:tc>
        <w:tc>
          <w:tcPr>
            <w:tcW w:type="dxa" w:w="2160"/>
          </w:tcPr>
          <w:p>
            <w:r>
              <w:t>2023-01</w:t>
            </w:r>
          </w:p>
        </w:tc>
      </w:tr>
      <w:tr>
        <w:tc>
          <w:tcPr>
            <w:tcW w:type="dxa" w:w="2160"/>
          </w:tcPr>
          <w:p>
            <w:r>
              <w:t>Kestrel Inference Ltd</w:t>
            </w:r>
          </w:p>
        </w:tc>
        <w:tc>
          <w:tcPr>
            <w:tcW w:type="dxa" w:w="2160"/>
          </w:tcPr>
          <w:p>
            <w:r>
              <w:t>Model inference for Pulse Signals</w:t>
            </w:r>
          </w:p>
        </w:tc>
        <w:tc>
          <w:tcPr>
            <w:tcW w:type="dxa" w:w="2160"/>
          </w:tcPr>
          <w:p>
            <w:r>
              <w:t>Ireland</w:t>
            </w:r>
          </w:p>
        </w:tc>
        <w:tc>
          <w:tcPr>
            <w:tcW w:type="dxa" w:w="2160"/>
          </w:tcPr>
          <w:p>
            <w:r>
              <w:t>2025-09</w:t>
            </w:r>
          </w:p>
        </w:tc>
      </w:tr>
    </w:tbl>
    <w:p/>
    <w:p>
      <w:r>
        <w:t>Signed on behalf of Ferrowave Ltd by Ciara Doyle, Chief Operating Officer.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