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i w:val="0"/>
          <w:color w:val="2A78D6"/>
          <w:sz w:val="22"/>
        </w:rPr>
        <w:t>NORTHBRIDGE ENGINEERING PENSION SCHEME</w:t>
      </w:r>
    </w:p>
    <w:p>
      <w:r>
        <w:rPr>
          <w:b/>
          <w:i w:val="0"/>
          <w:color w:val="17324D"/>
          <w:sz w:val="60"/>
        </w:rPr>
        <w:t>Quarterly Investment Report</w:t>
      </w:r>
    </w:p>
    <w:p>
      <w:pPr>
        <w:spacing w:after="800"/>
      </w:pPr>
      <w:r>
        <w:rPr>
          <w:b w:val="0"/>
          <w:i w:val="0"/>
          <w:color w:val="52514E"/>
          <w:sz w:val="28"/>
        </w:rPr>
        <w:t>Quarter to 30 September 2026</w:t>
      </w:r>
    </w:p>
    <w:tbl>
      <w:tblPr>
        <w:tblW w:type="auto" w:w="0"/>
        <w:tblLook w:firstColumn="1" w:firstRow="1" w:lastColumn="0" w:lastRow="0" w:noHBand="0" w:noVBand="1" w:val="04A0"/>
        <w:tblBorders>
          <w:top w:val="single" w:sz="4" w:color="17324D"/>
          <w:left w:val="nil" w:sz="4" w:color="17324D"/>
          <w:bottom w:val="single" w:sz="4" w:color="17324D"/>
          <w:right w:val="nil" w:sz="4" w:color="17324D"/>
          <w:insideH w:val="nil" w:sz="4" w:color="17324D"/>
          <w:insideV w:val="nil" w:sz="4" w:color="17324D"/>
        </w:tblBorders>
      </w:tblPr>
      <w:tblGrid>
        <w:gridCol w:w="9638"/>
      </w:tblGrid>
      <w:tr>
        <w:trPr>
          <w:trHeight w:val="57"/>
        </w:trPr>
        <w:tc>
          <w:tcPr>
            <w:tcW w:type="dxa" w:w="9638"/>
          </w:tcPr>
          <w:p/>
        </w:tc>
      </w:tr>
    </w:tbl>
    <w:p>
      <w:pPr>
        <w:spacing w:before="360"/>
      </w:pPr>
      <w:r>
        <w:rPr>
          <w:b w:val="0"/>
          <w:i w:val="0"/>
          <w:color w:val="52514E"/>
          <w:sz w:val="20"/>
        </w:rPr>
        <w:t>Prepared for: Trustees</w:t>
      </w:r>
    </w:p>
    <w:p>
      <w:r>
        <w:rPr>
          <w:b w:val="0"/>
          <w:i/>
          <w:color w:val="8A8984"/>
          <w:sz w:val="18"/>
        </w:rPr>
        <w:t>Generated by Ledgerline from reconciled source data. Every figure is traceable to its source.</w:t>
      </w:r>
    </w:p>
    <w:p>
      <w:r>
        <w:br w:type="page"/>
      </w:r>
    </w:p>
    <w:p>
      <w:pPr>
        <w:pStyle w:val="Heading1"/>
      </w:pPr>
      <w:r>
        <w:t>At a glance</w:t>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nil" w:sz="4" w:color="D9D7D0"/>
          <w:insideV w:val="nil" w:sz="4" w:color="D9D7D0"/>
        </w:tblBorders>
        <w:tblCellMar>
          <w:top w:w="120" w:type="dxa"/>
          <w:bottom w:w="120" w:type="dxa"/>
          <w:left w:w="120" w:type="dxa"/>
          <w:right w:w="120" w:type="dxa"/>
        </w:tblCellMar>
      </w:tblPr>
      <w:tblGrid>
        <w:gridCol w:w="1928"/>
        <w:gridCol w:w="1928"/>
        <w:gridCol w:w="1928"/>
        <w:gridCol w:w="1928"/>
        <w:gridCol w:w="1928"/>
      </w:tblGrid>
      <w:tr>
        <w:tc>
          <w:tcPr>
            <w:tcW w:type="dxa" w:w="1928"/>
            <w:shd w:val="clear" w:color="auto" w:fill="F3F2EE"/>
          </w:tcPr>
          <w:p>
            <w:r>
              <w:rPr>
                <w:b/>
                <w:i w:val="0"/>
                <w:color w:val="52514E"/>
                <w:sz w:val="15"/>
              </w:rPr>
              <w:t>TOTAL ASSETS</w:t>
            </w:r>
          </w:p>
          <w:p>
            <w:pPr>
              <w:spacing w:before="40"/>
            </w:pPr>
            <w:r>
              <w:rPr>
                <w:b/>
                <w:i w:val="0"/>
                <w:color w:val="17324D"/>
                <w:sz w:val="34"/>
              </w:rPr>
              <w:t>£1.54bn</w:t>
            </w:r>
          </w:p>
        </w:tc>
        <w:tc>
          <w:tcPr>
            <w:tcW w:type="dxa" w:w="1928"/>
            <w:shd w:val="clear" w:color="auto" w:fill="F3F2EE"/>
          </w:tcPr>
          <w:p>
            <w:r>
              <w:rPr>
                <w:b/>
                <w:i w:val="0"/>
                <w:color w:val="52514E"/>
                <w:sz w:val="15"/>
              </w:rPr>
              <w:t>RETURN (QUARTER)</w:t>
            </w:r>
          </w:p>
          <w:p>
            <w:pPr>
              <w:spacing w:before="40"/>
            </w:pPr>
            <w:r>
              <w:rPr>
                <w:b/>
                <w:i w:val="0"/>
                <w:color w:val="17324D"/>
                <w:sz w:val="34"/>
              </w:rPr>
              <w:t>4.06%</w:t>
            </w:r>
          </w:p>
          <w:p>
            <w:r>
              <w:rPr>
                <w:b w:val="0"/>
                <w:i w:val="0"/>
                <w:color w:val="C0392B"/>
                <w:sz w:val="16"/>
              </w:rPr>
              <w:t>-0.25% vs benchmark</w:t>
            </w:r>
          </w:p>
        </w:tc>
        <w:tc>
          <w:tcPr>
            <w:tcW w:type="dxa" w:w="1928"/>
            <w:shd w:val="clear" w:color="auto" w:fill="F3F2EE"/>
          </w:tcPr>
          <w:p>
            <w:r>
              <w:rPr>
                <w:b/>
                <w:i w:val="0"/>
                <w:color w:val="52514E"/>
                <w:sz w:val="15"/>
              </w:rPr>
              <w:t>RETURN (1 YEAR)</w:t>
            </w:r>
          </w:p>
          <w:p>
            <w:pPr>
              <w:spacing w:before="40"/>
            </w:pPr>
            <w:r>
              <w:rPr>
                <w:b/>
                <w:i w:val="0"/>
                <w:color w:val="17324D"/>
                <w:sz w:val="34"/>
              </w:rPr>
              <w:t>11.76%</w:t>
            </w:r>
          </w:p>
          <w:p>
            <w:r>
              <w:rPr>
                <w:b w:val="0"/>
                <w:i w:val="0"/>
                <w:color w:val="C0392B"/>
                <w:sz w:val="16"/>
              </w:rPr>
              <w:t>-0.68% vs benchmark</w:t>
            </w:r>
          </w:p>
        </w:tc>
        <w:tc>
          <w:tcPr>
            <w:tcW w:type="dxa" w:w="1928"/>
            <w:shd w:val="clear" w:color="auto" w:fill="F3F2EE"/>
          </w:tcPr>
          <w:p>
            <w:r>
              <w:rPr>
                <w:b/>
                <w:i w:val="0"/>
                <w:color w:val="52514E"/>
                <w:sz w:val="15"/>
              </w:rPr>
              <w:t>FUNDING RATIO</w:t>
            </w:r>
          </w:p>
          <w:p>
            <w:pPr>
              <w:spacing w:before="40"/>
            </w:pPr>
            <w:r>
              <w:rPr>
                <w:b/>
                <w:i w:val="0"/>
                <w:color w:val="17324D"/>
                <w:sz w:val="34"/>
              </w:rPr>
              <w:t>93.40%</w:t>
            </w:r>
          </w:p>
          <w:p>
            <w:r>
              <w:rPr>
                <w:b w:val="0"/>
                <w:i w:val="0"/>
                <w:color w:val="C0392B"/>
                <w:sz w:val="16"/>
              </w:rPr>
              <w:t>£108.6m deficit</w:t>
            </w:r>
          </w:p>
        </w:tc>
        <w:tc>
          <w:tcPr>
            <w:tcW w:type="dxa" w:w="1928"/>
            <w:shd w:val="clear" w:color="auto" w:fill="F3F2EE"/>
          </w:tcPr>
          <w:p>
            <w:r>
              <w:rPr>
                <w:b/>
                <w:i w:val="0"/>
                <w:color w:val="52514E"/>
                <w:sz w:val="15"/>
              </w:rPr>
              <w:t>INTEREST-RATE HEDGE</w:t>
            </w:r>
          </w:p>
          <w:p>
            <w:pPr>
              <w:spacing w:before="40"/>
            </w:pPr>
            <w:r>
              <w:rPr>
                <w:b/>
                <w:i w:val="0"/>
                <w:color w:val="17324D"/>
                <w:sz w:val="34"/>
              </w:rPr>
              <w:t>81.96%</w:t>
            </w:r>
          </w:p>
        </w:tc>
      </w:tr>
    </w:tbl>
    <w:p/>
    <w:p>
      <w:pPr>
        <w:pStyle w:val="Heading1"/>
      </w:pPr>
      <w:r>
        <w:t>Investment commentary</w:t>
      </w:r>
    </w:p>
    <w:p>
      <w:pPr>
        <w:spacing w:line="288" w:lineRule="auto"/>
      </w:pPr>
      <w:r>
        <w:rPr>
          <w:b w:val="0"/>
          <w:i w:val="0"/>
          <w:color w:val="1B1B1B"/>
          <w:sz w:val="21"/>
        </w:rPr>
        <w:t>Over the quarter the Scheme's assets returned 4.06%, behind the benchmark return of 4.32% by 0.25%. Over one year the fund returned 11.76% against a benchmark of 12.44%, underperforming by 0.68%. Relative to benchmark, UK Property was the strongest mandate this quarter, ahead by 0.43%, while Diversified Growth lagged by 1.45%. Attribution over one year shows asset allocation added 0.21% and manager selection detracted 0.79%. The funding ratio stands at 93.40%, a deficit of £108.6m, and the interest-rate hedge covers 81.96% of the liabilities' sensitivity to rates. In our stress tests, a fall of one percentage point in interest rates would reduce the funding ratio by 3.18 percentage points, while a fall of a fifth in growth asset values would reduce it by 10.91 percentage points.</w:t>
      </w:r>
    </w:p>
    <w:p>
      <w:r>
        <w:rPr>
          <w:b w:val="0"/>
          <w:i/>
          <w:color w:val="0B7A3E"/>
          <w:sz w:val="16"/>
        </w:rPr>
        <w:t>✓ Commentary generated from the computed figures and verified.</w:t>
      </w:r>
    </w:p>
    <w:p>
      <w:pPr>
        <w:pStyle w:val="Heading1"/>
      </w:pPr>
      <w:r>
        <w:t>Performance by mandate</w:t>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single" w:sz="4" w:color="D9D7D0"/>
          <w:insideV w:val="nil" w:sz="4" w:color="D9D7D0"/>
        </w:tblBorders>
        <w:tblCellMar>
          <w:top w:w="60" w:type="dxa"/>
          <w:bottom w:w="60" w:type="dxa"/>
          <w:left w:w="90" w:type="dxa"/>
          <w:right w:w="90" w:type="dxa"/>
        </w:tblCellMar>
      </w:tblPr>
      <w:tblGrid>
        <w:gridCol w:w="1205"/>
        <w:gridCol w:w="1205"/>
        <w:gridCol w:w="1205"/>
        <w:gridCol w:w="1205"/>
        <w:gridCol w:w="1205"/>
        <w:gridCol w:w="1205"/>
        <w:gridCol w:w="1205"/>
        <w:gridCol w:w="1205"/>
      </w:tblGrid>
      <w:tr>
        <w:trPr>
          <w:tblHeader w:val="true"/>
        </w:trPr>
        <w:tc>
          <w:tcPr>
            <w:tcW w:type="dxa" w:w="2699"/>
            <w:shd w:val="clear" w:color="auto" w:fill="17324D"/>
          </w:tcPr>
          <w:p>
            <w:pPr>
              <w:jc w:val="left"/>
            </w:pPr>
            <w:r>
              <w:rPr>
                <w:b/>
                <w:i w:val="0"/>
                <w:color w:val="FFFFFF"/>
                <w:sz w:val="15"/>
              </w:rPr>
              <w:t>Mandate</w:t>
            </w:r>
          </w:p>
        </w:tc>
        <w:tc>
          <w:tcPr>
            <w:tcW w:type="dxa" w:w="991"/>
            <w:shd w:val="clear" w:color="auto" w:fill="17324D"/>
          </w:tcPr>
          <w:p>
            <w:pPr>
              <w:jc w:val="right"/>
            </w:pPr>
            <w:r>
              <w:rPr>
                <w:b/>
                <w:i w:val="0"/>
                <w:color w:val="FFFFFF"/>
                <w:sz w:val="15"/>
              </w:rPr>
              <w:t>Value</w:t>
            </w:r>
          </w:p>
        </w:tc>
        <w:tc>
          <w:tcPr>
            <w:tcW w:type="dxa" w:w="991"/>
            <w:shd w:val="clear" w:color="auto" w:fill="17324D"/>
          </w:tcPr>
          <w:p>
            <w:pPr>
              <w:jc w:val="right"/>
            </w:pPr>
            <w:r>
              <w:rPr>
                <w:b/>
                <w:i w:val="0"/>
                <w:color w:val="FFFFFF"/>
                <w:sz w:val="15"/>
              </w:rPr>
              <w:t>Quarter</w:t>
            </w:r>
          </w:p>
        </w:tc>
        <w:tc>
          <w:tcPr>
            <w:tcW w:type="dxa" w:w="991"/>
            <w:shd w:val="clear" w:color="auto" w:fill="17324D"/>
          </w:tcPr>
          <w:p>
            <w:pPr>
              <w:jc w:val="right"/>
            </w:pPr>
            <w:r>
              <w:rPr>
                <w:b/>
                <w:i w:val="0"/>
                <w:color w:val="FFFFFF"/>
                <w:sz w:val="15"/>
              </w:rPr>
              <w:t>vs bmk</w:t>
            </w:r>
          </w:p>
        </w:tc>
        <w:tc>
          <w:tcPr>
            <w:tcW w:type="dxa" w:w="991"/>
            <w:shd w:val="clear" w:color="auto" w:fill="17324D"/>
          </w:tcPr>
          <w:p>
            <w:pPr>
              <w:jc w:val="right"/>
            </w:pPr>
            <w:r>
              <w:rPr>
                <w:b/>
                <w:i w:val="0"/>
                <w:color w:val="FFFFFF"/>
                <w:sz w:val="15"/>
              </w:rPr>
              <w:t>1 year</w:t>
            </w:r>
          </w:p>
        </w:tc>
        <w:tc>
          <w:tcPr>
            <w:tcW w:type="dxa" w:w="991"/>
            <w:shd w:val="clear" w:color="auto" w:fill="17324D"/>
          </w:tcPr>
          <w:p>
            <w:pPr>
              <w:jc w:val="right"/>
            </w:pPr>
            <w:r>
              <w:rPr>
                <w:b/>
                <w:i w:val="0"/>
                <w:color w:val="FFFFFF"/>
                <w:sz w:val="15"/>
              </w:rPr>
              <w:t>vs bmk</w:t>
            </w:r>
          </w:p>
        </w:tc>
        <w:tc>
          <w:tcPr>
            <w:tcW w:type="dxa" w:w="991"/>
            <w:shd w:val="clear" w:color="auto" w:fill="17324D"/>
          </w:tcPr>
          <w:p>
            <w:pPr>
              <w:jc w:val="right"/>
            </w:pPr>
            <w:r>
              <w:rPr>
                <w:b/>
                <w:i w:val="0"/>
                <w:color w:val="FFFFFF"/>
                <w:sz w:val="15"/>
              </w:rPr>
              <w:t>3 years p.a.</w:t>
            </w:r>
          </w:p>
        </w:tc>
        <w:tc>
          <w:tcPr>
            <w:tcW w:type="dxa" w:w="991"/>
            <w:shd w:val="clear" w:color="auto" w:fill="17324D"/>
          </w:tcPr>
          <w:p>
            <w:pPr>
              <w:jc w:val="right"/>
            </w:pPr>
            <w:r>
              <w:rPr>
                <w:b/>
                <w:i w:val="0"/>
                <w:color w:val="FFFFFF"/>
                <w:sz w:val="15"/>
              </w:rPr>
              <w:t>vs bmk</w:t>
            </w:r>
          </w:p>
        </w:tc>
      </w:tr>
      <w:tr>
        <w:tc>
          <w:tcPr>
            <w:tcW w:type="dxa" w:w="2699"/>
            <w:vAlign w:val="center"/>
          </w:tcPr>
          <w:p>
            <w:pPr>
              <w:jc w:val="left"/>
            </w:pPr>
            <w:r>
              <w:rPr>
                <w:b w:val="0"/>
                <w:i w:val="0"/>
                <w:color w:val="1B1B1B"/>
                <w:sz w:val="15"/>
              </w:rPr>
              <w:t>Global Equity</w:t>
            </w:r>
          </w:p>
        </w:tc>
        <w:tc>
          <w:tcPr>
            <w:tcW w:type="dxa" w:w="991"/>
            <w:vAlign w:val="center"/>
          </w:tcPr>
          <w:p>
            <w:pPr>
              <w:jc w:val="right"/>
            </w:pPr>
            <w:r>
              <w:rPr>
                <w:b w:val="0"/>
                <w:i w:val="0"/>
                <w:color w:val="1B1B1B"/>
                <w:sz w:val="15"/>
              </w:rPr>
              <w:t>£429.0m</w:t>
            </w:r>
          </w:p>
        </w:tc>
        <w:tc>
          <w:tcPr>
            <w:tcW w:type="dxa" w:w="991"/>
            <w:vAlign w:val="center"/>
          </w:tcPr>
          <w:p>
            <w:pPr>
              <w:jc w:val="right"/>
            </w:pPr>
            <w:r>
              <w:rPr>
                <w:b w:val="0"/>
                <w:i w:val="0"/>
                <w:color w:val="1B1B1B"/>
                <w:sz w:val="15"/>
              </w:rPr>
              <w:t>10.26%</w:t>
            </w:r>
          </w:p>
        </w:tc>
        <w:tc>
          <w:tcPr>
            <w:tcW w:type="dxa" w:w="991"/>
            <w:vAlign w:val="center"/>
          </w:tcPr>
          <w:p>
            <w:pPr>
              <w:jc w:val="right"/>
            </w:pPr>
            <w:r>
              <w:rPr>
                <w:b w:val="0"/>
                <w:i w:val="0"/>
                <w:color w:val="0B7A3E"/>
                <w:sz w:val="15"/>
              </w:rPr>
              <w:t>+0.41%</w:t>
            </w:r>
          </w:p>
        </w:tc>
        <w:tc>
          <w:tcPr>
            <w:tcW w:type="dxa" w:w="991"/>
            <w:vAlign w:val="center"/>
          </w:tcPr>
          <w:p>
            <w:pPr>
              <w:jc w:val="right"/>
            </w:pPr>
            <w:r>
              <w:rPr>
                <w:b w:val="0"/>
                <w:i w:val="0"/>
                <w:color w:val="1B1B1B"/>
                <w:sz w:val="15"/>
              </w:rPr>
              <w:t>26.16%</w:t>
            </w:r>
          </w:p>
        </w:tc>
        <w:tc>
          <w:tcPr>
            <w:tcW w:type="dxa" w:w="991"/>
            <w:vAlign w:val="center"/>
          </w:tcPr>
          <w:p>
            <w:pPr>
              <w:jc w:val="right"/>
            </w:pPr>
            <w:r>
              <w:rPr>
                <w:b w:val="0"/>
                <w:i w:val="0"/>
                <w:color w:val="C0392B"/>
                <w:sz w:val="15"/>
              </w:rPr>
              <w:t>-2.08%</w:t>
            </w:r>
          </w:p>
        </w:tc>
        <w:tc>
          <w:tcPr>
            <w:tcW w:type="dxa" w:w="991"/>
            <w:vAlign w:val="center"/>
          </w:tcPr>
          <w:p>
            <w:pPr>
              <w:jc w:val="right"/>
            </w:pPr>
            <w:r>
              <w:rPr>
                <w:b w:val="0"/>
                <w:i w:val="0"/>
                <w:color w:val="1B1B1B"/>
                <w:sz w:val="15"/>
              </w:rPr>
              <w:t>19.59%</w:t>
            </w:r>
          </w:p>
        </w:tc>
        <w:tc>
          <w:tcPr>
            <w:tcW w:type="dxa" w:w="991"/>
            <w:vAlign w:val="center"/>
          </w:tcPr>
          <w:p>
            <w:pPr>
              <w:jc w:val="right"/>
            </w:pPr>
            <w:r>
              <w:rPr>
                <w:b w:val="0"/>
                <w:i w:val="0"/>
                <w:color w:val="0B7A3E"/>
                <w:sz w:val="15"/>
              </w:rPr>
              <w:t>+0.18%</w:t>
            </w:r>
          </w:p>
        </w:tc>
      </w:tr>
      <w:tr>
        <w:tc>
          <w:tcPr>
            <w:tcW w:type="dxa" w:w="2699"/>
            <w:vAlign w:val="center"/>
          </w:tcPr>
          <w:p>
            <w:pPr>
              <w:jc w:val="left"/>
            </w:pPr>
            <w:r>
              <w:rPr>
                <w:b w:val="0"/>
                <w:i w:val="0"/>
                <w:color w:val="1B1B1B"/>
                <w:sz w:val="15"/>
              </w:rPr>
              <w:t>Emerging Markets Equity</w:t>
            </w:r>
          </w:p>
        </w:tc>
        <w:tc>
          <w:tcPr>
            <w:tcW w:type="dxa" w:w="991"/>
            <w:vAlign w:val="center"/>
          </w:tcPr>
          <w:p>
            <w:pPr>
              <w:jc w:val="right"/>
            </w:pPr>
            <w:r>
              <w:rPr>
                <w:b w:val="0"/>
                <w:i w:val="0"/>
                <w:color w:val="1B1B1B"/>
                <w:sz w:val="15"/>
              </w:rPr>
              <w:t>£155.2m</w:t>
            </w:r>
          </w:p>
        </w:tc>
        <w:tc>
          <w:tcPr>
            <w:tcW w:type="dxa" w:w="991"/>
            <w:vAlign w:val="center"/>
          </w:tcPr>
          <w:p>
            <w:pPr>
              <w:jc w:val="right"/>
            </w:pPr>
            <w:r>
              <w:rPr>
                <w:b w:val="0"/>
                <w:i w:val="0"/>
                <w:color w:val="1B1B1B"/>
                <w:sz w:val="15"/>
              </w:rPr>
              <w:t>-3.11%</w:t>
            </w:r>
          </w:p>
        </w:tc>
        <w:tc>
          <w:tcPr>
            <w:tcW w:type="dxa" w:w="991"/>
            <w:vAlign w:val="center"/>
          </w:tcPr>
          <w:p>
            <w:pPr>
              <w:jc w:val="right"/>
            </w:pPr>
            <w:r>
              <w:rPr>
                <w:b w:val="0"/>
                <w:i w:val="0"/>
                <w:color w:val="C0392B"/>
                <w:sz w:val="15"/>
              </w:rPr>
              <w:t>-0.74%</w:t>
            </w:r>
          </w:p>
        </w:tc>
        <w:tc>
          <w:tcPr>
            <w:tcW w:type="dxa" w:w="991"/>
            <w:vAlign w:val="center"/>
          </w:tcPr>
          <w:p>
            <w:pPr>
              <w:jc w:val="right"/>
            </w:pPr>
            <w:r>
              <w:rPr>
                <w:b w:val="0"/>
                <w:i w:val="0"/>
                <w:color w:val="1B1B1B"/>
                <w:sz w:val="15"/>
              </w:rPr>
              <w:t>15.08%</w:t>
            </w:r>
          </w:p>
        </w:tc>
        <w:tc>
          <w:tcPr>
            <w:tcW w:type="dxa" w:w="991"/>
            <w:vAlign w:val="center"/>
          </w:tcPr>
          <w:p>
            <w:pPr>
              <w:jc w:val="right"/>
            </w:pPr>
            <w:r>
              <w:rPr>
                <w:b w:val="0"/>
                <w:i w:val="0"/>
                <w:color w:val="C0392B"/>
                <w:sz w:val="15"/>
              </w:rPr>
              <w:t>-5.84%</w:t>
            </w:r>
          </w:p>
        </w:tc>
        <w:tc>
          <w:tcPr>
            <w:tcW w:type="dxa" w:w="991"/>
            <w:vAlign w:val="center"/>
          </w:tcPr>
          <w:p>
            <w:pPr>
              <w:jc w:val="right"/>
            </w:pPr>
            <w:r>
              <w:rPr>
                <w:b w:val="0"/>
                <w:i w:val="0"/>
                <w:color w:val="1B1B1B"/>
                <w:sz w:val="15"/>
              </w:rPr>
              <w:t>13.29%</w:t>
            </w:r>
          </w:p>
        </w:tc>
        <w:tc>
          <w:tcPr>
            <w:tcW w:type="dxa" w:w="991"/>
            <w:vAlign w:val="center"/>
          </w:tcPr>
          <w:p>
            <w:pPr>
              <w:jc w:val="right"/>
            </w:pPr>
            <w:r>
              <w:rPr>
                <w:b w:val="0"/>
                <w:i w:val="0"/>
                <w:color w:val="C0392B"/>
                <w:sz w:val="15"/>
              </w:rPr>
              <w:t>-3.82%</w:t>
            </w:r>
          </w:p>
        </w:tc>
      </w:tr>
      <w:tr>
        <w:tc>
          <w:tcPr>
            <w:tcW w:type="dxa" w:w="2699"/>
            <w:vAlign w:val="center"/>
          </w:tcPr>
          <w:p>
            <w:pPr>
              <w:jc w:val="left"/>
            </w:pPr>
            <w:r>
              <w:rPr>
                <w:b w:val="0"/>
                <w:i w:val="0"/>
                <w:color w:val="1B1B1B"/>
                <w:sz w:val="15"/>
              </w:rPr>
              <w:t>Diversified Growth</w:t>
            </w:r>
          </w:p>
        </w:tc>
        <w:tc>
          <w:tcPr>
            <w:tcW w:type="dxa" w:w="991"/>
            <w:vAlign w:val="center"/>
          </w:tcPr>
          <w:p>
            <w:pPr>
              <w:jc w:val="right"/>
            </w:pPr>
            <w:r>
              <w:rPr>
                <w:b w:val="0"/>
                <w:i w:val="0"/>
                <w:color w:val="1B1B1B"/>
                <w:sz w:val="15"/>
              </w:rPr>
              <w:t>£156.3m</w:t>
            </w:r>
          </w:p>
        </w:tc>
        <w:tc>
          <w:tcPr>
            <w:tcW w:type="dxa" w:w="991"/>
            <w:vAlign w:val="center"/>
          </w:tcPr>
          <w:p>
            <w:pPr>
              <w:jc w:val="right"/>
            </w:pPr>
            <w:r>
              <w:rPr>
                <w:b w:val="0"/>
                <w:i w:val="0"/>
                <w:color w:val="1B1B1B"/>
                <w:sz w:val="15"/>
              </w:rPr>
              <w:t>3.49%</w:t>
            </w:r>
          </w:p>
        </w:tc>
        <w:tc>
          <w:tcPr>
            <w:tcW w:type="dxa" w:w="991"/>
            <w:vAlign w:val="center"/>
          </w:tcPr>
          <w:p>
            <w:pPr>
              <w:jc w:val="right"/>
            </w:pPr>
            <w:r>
              <w:rPr>
                <w:b w:val="0"/>
                <w:i w:val="0"/>
                <w:color w:val="C0392B"/>
                <w:sz w:val="15"/>
              </w:rPr>
              <w:t>-1.45%</w:t>
            </w:r>
          </w:p>
        </w:tc>
        <w:tc>
          <w:tcPr>
            <w:tcW w:type="dxa" w:w="991"/>
            <w:vAlign w:val="center"/>
          </w:tcPr>
          <w:p>
            <w:pPr>
              <w:jc w:val="right"/>
            </w:pPr>
            <w:r>
              <w:rPr>
                <w:b w:val="0"/>
                <w:i w:val="0"/>
                <w:color w:val="1B1B1B"/>
                <w:sz w:val="15"/>
              </w:rPr>
              <w:t>10.35%</w:t>
            </w:r>
          </w:p>
        </w:tc>
        <w:tc>
          <w:tcPr>
            <w:tcW w:type="dxa" w:w="991"/>
            <w:vAlign w:val="center"/>
          </w:tcPr>
          <w:p>
            <w:pPr>
              <w:jc w:val="right"/>
            </w:pPr>
            <w:r>
              <w:rPr>
                <w:b w:val="0"/>
                <w:i w:val="0"/>
                <w:color w:val="C0392B"/>
                <w:sz w:val="15"/>
              </w:rPr>
              <w:t>-2.10%</w:t>
            </w:r>
          </w:p>
        </w:tc>
        <w:tc>
          <w:tcPr>
            <w:tcW w:type="dxa" w:w="991"/>
            <w:vAlign w:val="center"/>
          </w:tcPr>
          <w:p>
            <w:pPr>
              <w:jc w:val="right"/>
            </w:pPr>
            <w:r>
              <w:rPr>
                <w:b w:val="0"/>
                <w:i w:val="0"/>
                <w:color w:val="1B1B1B"/>
                <w:sz w:val="15"/>
              </w:rPr>
              <w:t>12.91%</w:t>
            </w:r>
          </w:p>
        </w:tc>
        <w:tc>
          <w:tcPr>
            <w:tcW w:type="dxa" w:w="991"/>
            <w:vAlign w:val="center"/>
          </w:tcPr>
          <w:p>
            <w:pPr>
              <w:jc w:val="right"/>
            </w:pPr>
            <w:r>
              <w:rPr>
                <w:b w:val="0"/>
                <w:i w:val="0"/>
                <w:color w:val="0B7A3E"/>
                <w:sz w:val="15"/>
              </w:rPr>
              <w:t>+0.77%</w:t>
            </w:r>
          </w:p>
        </w:tc>
      </w:tr>
      <w:tr>
        <w:tc>
          <w:tcPr>
            <w:tcW w:type="dxa" w:w="2699"/>
            <w:vAlign w:val="center"/>
          </w:tcPr>
          <w:p>
            <w:pPr>
              <w:jc w:val="left"/>
            </w:pPr>
            <w:r>
              <w:rPr>
                <w:b w:val="0"/>
                <w:i w:val="0"/>
                <w:color w:val="1B1B1B"/>
                <w:sz w:val="15"/>
              </w:rPr>
              <w:t>UK Property</w:t>
            </w:r>
          </w:p>
        </w:tc>
        <w:tc>
          <w:tcPr>
            <w:tcW w:type="dxa" w:w="991"/>
            <w:vAlign w:val="center"/>
          </w:tcPr>
          <w:p>
            <w:pPr>
              <w:jc w:val="right"/>
            </w:pPr>
            <w:r>
              <w:rPr>
                <w:b w:val="0"/>
                <w:i w:val="0"/>
                <w:color w:val="1B1B1B"/>
                <w:sz w:val="15"/>
              </w:rPr>
              <w:t>£156.6m</w:t>
            </w:r>
          </w:p>
        </w:tc>
        <w:tc>
          <w:tcPr>
            <w:tcW w:type="dxa" w:w="991"/>
            <w:vAlign w:val="center"/>
          </w:tcPr>
          <w:p>
            <w:pPr>
              <w:jc w:val="right"/>
            </w:pPr>
            <w:r>
              <w:rPr>
                <w:b w:val="0"/>
                <w:i w:val="0"/>
                <w:color w:val="1B1B1B"/>
                <w:sz w:val="15"/>
              </w:rPr>
              <w:t>1.41%</w:t>
            </w:r>
          </w:p>
        </w:tc>
        <w:tc>
          <w:tcPr>
            <w:tcW w:type="dxa" w:w="991"/>
            <w:vAlign w:val="center"/>
          </w:tcPr>
          <w:p>
            <w:pPr>
              <w:jc w:val="right"/>
            </w:pPr>
            <w:r>
              <w:rPr>
                <w:b w:val="0"/>
                <w:i w:val="0"/>
                <w:color w:val="0B7A3E"/>
                <w:sz w:val="15"/>
              </w:rPr>
              <w:t>+0.43%</w:t>
            </w:r>
          </w:p>
        </w:tc>
        <w:tc>
          <w:tcPr>
            <w:tcW w:type="dxa" w:w="991"/>
            <w:vAlign w:val="center"/>
          </w:tcPr>
          <w:p>
            <w:pPr>
              <w:jc w:val="right"/>
            </w:pPr>
            <w:r>
              <w:rPr>
                <w:b w:val="0"/>
                <w:i w:val="0"/>
                <w:color w:val="1B1B1B"/>
                <w:sz w:val="15"/>
              </w:rPr>
              <w:t>14.41%</w:t>
            </w:r>
          </w:p>
        </w:tc>
        <w:tc>
          <w:tcPr>
            <w:tcW w:type="dxa" w:w="991"/>
            <w:vAlign w:val="center"/>
          </w:tcPr>
          <w:p>
            <w:pPr>
              <w:jc w:val="right"/>
            </w:pPr>
            <w:r>
              <w:rPr>
                <w:b w:val="0"/>
                <w:i w:val="0"/>
                <w:color w:val="0B7A3E"/>
                <w:sz w:val="15"/>
              </w:rPr>
              <w:t>+1.91%</w:t>
            </w:r>
          </w:p>
        </w:tc>
        <w:tc>
          <w:tcPr>
            <w:tcW w:type="dxa" w:w="991"/>
            <w:vAlign w:val="center"/>
          </w:tcPr>
          <w:p>
            <w:pPr>
              <w:jc w:val="right"/>
            </w:pPr>
            <w:r>
              <w:rPr>
                <w:b w:val="0"/>
                <w:i w:val="0"/>
                <w:color w:val="1B1B1B"/>
                <w:sz w:val="15"/>
              </w:rPr>
              <w:t>18.95%</w:t>
            </w:r>
          </w:p>
        </w:tc>
        <w:tc>
          <w:tcPr>
            <w:tcW w:type="dxa" w:w="991"/>
            <w:vAlign w:val="center"/>
          </w:tcPr>
          <w:p>
            <w:pPr>
              <w:jc w:val="right"/>
            </w:pPr>
            <w:r>
              <w:rPr>
                <w:b w:val="0"/>
                <w:i w:val="0"/>
                <w:color w:val="0B7A3E"/>
                <w:sz w:val="15"/>
              </w:rPr>
              <w:t>+1.59%</w:t>
            </w:r>
          </w:p>
        </w:tc>
      </w:tr>
      <w:tr>
        <w:tc>
          <w:tcPr>
            <w:tcW w:type="dxa" w:w="2699"/>
            <w:vAlign w:val="center"/>
          </w:tcPr>
          <w:p>
            <w:pPr>
              <w:jc w:val="left"/>
            </w:pPr>
            <w:r>
              <w:rPr>
                <w:b w:val="0"/>
                <w:i w:val="0"/>
                <w:color w:val="1B1B1B"/>
                <w:sz w:val="15"/>
              </w:rPr>
              <w:t>Buy &amp; Maintain Credit</w:t>
            </w:r>
          </w:p>
        </w:tc>
        <w:tc>
          <w:tcPr>
            <w:tcW w:type="dxa" w:w="991"/>
            <w:vAlign w:val="center"/>
          </w:tcPr>
          <w:p>
            <w:pPr>
              <w:jc w:val="right"/>
            </w:pPr>
            <w:r>
              <w:rPr>
                <w:b w:val="0"/>
                <w:i w:val="0"/>
                <w:color w:val="1B1B1B"/>
                <w:sz w:val="15"/>
              </w:rPr>
              <w:t>£216.7m</w:t>
            </w:r>
          </w:p>
        </w:tc>
        <w:tc>
          <w:tcPr>
            <w:tcW w:type="dxa" w:w="991"/>
            <w:vAlign w:val="center"/>
          </w:tcPr>
          <w:p>
            <w:pPr>
              <w:jc w:val="right"/>
            </w:pPr>
            <w:r>
              <w:rPr>
                <w:b w:val="0"/>
                <w:i w:val="0"/>
                <w:color w:val="1B1B1B"/>
                <w:sz w:val="15"/>
              </w:rPr>
              <w:t>2.79%</w:t>
            </w:r>
          </w:p>
        </w:tc>
        <w:tc>
          <w:tcPr>
            <w:tcW w:type="dxa" w:w="991"/>
            <w:vAlign w:val="center"/>
          </w:tcPr>
          <w:p>
            <w:pPr>
              <w:jc w:val="right"/>
            </w:pPr>
            <w:r>
              <w:rPr>
                <w:b w:val="0"/>
                <w:i w:val="0"/>
                <w:color w:val="0B7A3E"/>
                <w:sz w:val="15"/>
              </w:rPr>
              <w:t>+0.16%</w:t>
            </w:r>
          </w:p>
        </w:tc>
        <w:tc>
          <w:tcPr>
            <w:tcW w:type="dxa" w:w="991"/>
            <w:vAlign w:val="center"/>
          </w:tcPr>
          <w:p>
            <w:pPr>
              <w:jc w:val="right"/>
            </w:pPr>
            <w:r>
              <w:rPr>
                <w:b w:val="0"/>
                <w:i w:val="0"/>
                <w:color w:val="1B1B1B"/>
                <w:sz w:val="15"/>
              </w:rPr>
              <w:t>4.66%</w:t>
            </w:r>
          </w:p>
        </w:tc>
        <w:tc>
          <w:tcPr>
            <w:tcW w:type="dxa" w:w="991"/>
            <w:vAlign w:val="center"/>
          </w:tcPr>
          <w:p>
            <w:pPr>
              <w:jc w:val="right"/>
            </w:pPr>
            <w:r>
              <w:rPr>
                <w:b w:val="0"/>
                <w:i w:val="0"/>
                <w:color w:val="0B7A3E"/>
                <w:sz w:val="15"/>
              </w:rPr>
              <w:t>+1.72%</w:t>
            </w:r>
          </w:p>
        </w:tc>
        <w:tc>
          <w:tcPr>
            <w:tcW w:type="dxa" w:w="991"/>
            <w:vAlign w:val="center"/>
          </w:tcPr>
          <w:p>
            <w:pPr>
              <w:jc w:val="right"/>
            </w:pPr>
            <w:r>
              <w:rPr>
                <w:b w:val="0"/>
                <w:i w:val="0"/>
                <w:color w:val="1B1B1B"/>
                <w:sz w:val="15"/>
              </w:rPr>
              <w:t>6.93%</w:t>
            </w:r>
          </w:p>
        </w:tc>
        <w:tc>
          <w:tcPr>
            <w:tcW w:type="dxa" w:w="991"/>
            <w:vAlign w:val="center"/>
          </w:tcPr>
          <w:p>
            <w:pPr>
              <w:jc w:val="right"/>
            </w:pPr>
            <w:r>
              <w:rPr>
                <w:b w:val="0"/>
                <w:i w:val="0"/>
                <w:color w:val="0B7A3E"/>
                <w:sz w:val="15"/>
              </w:rPr>
              <w:t>+1.37%</w:t>
            </w:r>
          </w:p>
        </w:tc>
      </w:tr>
      <w:tr>
        <w:tc>
          <w:tcPr>
            <w:tcW w:type="dxa" w:w="2699"/>
            <w:vAlign w:val="center"/>
          </w:tcPr>
          <w:p>
            <w:pPr>
              <w:jc w:val="left"/>
            </w:pPr>
            <w:r>
              <w:rPr>
                <w:b w:val="0"/>
                <w:i w:val="0"/>
                <w:color w:val="1B1B1B"/>
                <w:sz w:val="15"/>
              </w:rPr>
              <w:t>Liability Driven Investment</w:t>
            </w:r>
          </w:p>
        </w:tc>
        <w:tc>
          <w:tcPr>
            <w:tcW w:type="dxa" w:w="991"/>
            <w:vAlign w:val="center"/>
          </w:tcPr>
          <w:p>
            <w:pPr>
              <w:jc w:val="right"/>
            </w:pPr>
            <w:r>
              <w:rPr>
                <w:b w:val="0"/>
                <w:i w:val="0"/>
                <w:color w:val="1B1B1B"/>
                <w:sz w:val="15"/>
              </w:rPr>
              <w:t>£422.9m</w:t>
            </w:r>
          </w:p>
        </w:tc>
        <w:tc>
          <w:tcPr>
            <w:tcW w:type="dxa" w:w="991"/>
            <w:vAlign w:val="center"/>
          </w:tcPr>
          <w:p>
            <w:pPr>
              <w:jc w:val="right"/>
            </w:pPr>
            <w:r>
              <w:rPr>
                <w:b w:val="0"/>
                <w:i w:val="0"/>
                <w:color w:val="1B1B1B"/>
                <w:sz w:val="15"/>
              </w:rPr>
              <w:t>3.36%</w:t>
            </w:r>
          </w:p>
        </w:tc>
        <w:tc>
          <w:tcPr>
            <w:tcW w:type="dxa" w:w="991"/>
            <w:vAlign w:val="center"/>
          </w:tcPr>
          <w:p>
            <w:pPr>
              <w:jc w:val="right"/>
            </w:pPr>
            <w:r>
              <w:rPr>
                <w:b w:val="0"/>
                <w:i w:val="0"/>
                <w:color w:val="0B7A3E"/>
                <w:sz w:val="15"/>
              </w:rPr>
              <w:t>+0.17%</w:t>
            </w:r>
          </w:p>
        </w:tc>
        <w:tc>
          <w:tcPr>
            <w:tcW w:type="dxa" w:w="991"/>
            <w:vAlign w:val="center"/>
          </w:tcPr>
          <w:p>
            <w:pPr>
              <w:jc w:val="right"/>
            </w:pPr>
            <w:r>
              <w:rPr>
                <w:b w:val="0"/>
                <w:i w:val="0"/>
                <w:color w:val="1B1B1B"/>
                <w:sz w:val="15"/>
              </w:rPr>
              <w:t>1.25%</w:t>
            </w:r>
          </w:p>
        </w:tc>
        <w:tc>
          <w:tcPr>
            <w:tcW w:type="dxa" w:w="991"/>
            <w:vAlign w:val="center"/>
          </w:tcPr>
          <w:p>
            <w:pPr>
              <w:jc w:val="right"/>
            </w:pPr>
            <w:r>
              <w:rPr>
                <w:b w:val="0"/>
                <w:i w:val="0"/>
                <w:color w:val="C0392B"/>
                <w:sz w:val="15"/>
              </w:rPr>
              <w:t>-0.06%</w:t>
            </w:r>
          </w:p>
        </w:tc>
        <w:tc>
          <w:tcPr>
            <w:tcW w:type="dxa" w:w="991"/>
            <w:vAlign w:val="center"/>
          </w:tcPr>
          <w:p>
            <w:pPr>
              <w:jc w:val="right"/>
            </w:pPr>
            <w:r>
              <w:rPr>
                <w:b w:val="0"/>
                <w:i w:val="0"/>
                <w:color w:val="1B1B1B"/>
                <w:sz w:val="15"/>
              </w:rPr>
              <w:t>-3.38%</w:t>
            </w:r>
          </w:p>
        </w:tc>
        <w:tc>
          <w:tcPr>
            <w:tcW w:type="dxa" w:w="991"/>
            <w:vAlign w:val="center"/>
          </w:tcPr>
          <w:p>
            <w:pPr>
              <w:jc w:val="right"/>
            </w:pPr>
            <w:r>
              <w:rPr>
                <w:b w:val="0"/>
                <w:i w:val="0"/>
                <w:color w:val="0B7A3E"/>
                <w:sz w:val="15"/>
              </w:rPr>
              <w:t>+0.21%</w:t>
            </w:r>
          </w:p>
        </w:tc>
      </w:tr>
      <w:tr>
        <w:tc>
          <w:tcPr>
            <w:tcW w:type="dxa" w:w="2699"/>
            <w:vAlign w:val="center"/>
            <w:shd w:val="clear" w:color="auto" w:fill="F3F2EE"/>
          </w:tcPr>
          <w:p>
            <w:pPr>
              <w:jc w:val="left"/>
            </w:pPr>
            <w:r>
              <w:rPr>
                <w:b/>
                <w:i w:val="0"/>
                <w:color w:val="1B1B1B"/>
                <w:sz w:val="15"/>
              </w:rPr>
              <w:t>Total fund</w:t>
            </w:r>
          </w:p>
        </w:tc>
        <w:tc>
          <w:tcPr>
            <w:tcW w:type="dxa" w:w="991"/>
            <w:vAlign w:val="center"/>
            <w:shd w:val="clear" w:color="auto" w:fill="F3F2EE"/>
          </w:tcPr>
          <w:p>
            <w:pPr>
              <w:jc w:val="right"/>
            </w:pPr>
            <w:r>
              <w:rPr>
                <w:b/>
                <w:i w:val="0"/>
                <w:color w:val="1B1B1B"/>
                <w:sz w:val="15"/>
              </w:rPr>
              <w:t>£1.54bn</w:t>
            </w:r>
          </w:p>
        </w:tc>
        <w:tc>
          <w:tcPr>
            <w:tcW w:type="dxa" w:w="991"/>
            <w:vAlign w:val="center"/>
            <w:shd w:val="clear" w:color="auto" w:fill="F3F2EE"/>
          </w:tcPr>
          <w:p>
            <w:pPr>
              <w:jc w:val="right"/>
            </w:pPr>
            <w:r>
              <w:rPr>
                <w:b/>
                <w:i w:val="0"/>
                <w:color w:val="1B1B1B"/>
                <w:sz w:val="15"/>
              </w:rPr>
              <w:t>4.06%</w:t>
            </w:r>
          </w:p>
        </w:tc>
        <w:tc>
          <w:tcPr>
            <w:tcW w:type="dxa" w:w="991"/>
            <w:vAlign w:val="center"/>
            <w:shd w:val="clear" w:color="auto" w:fill="F3F2EE"/>
          </w:tcPr>
          <w:p>
            <w:pPr>
              <w:jc w:val="right"/>
            </w:pPr>
            <w:r>
              <w:rPr>
                <w:b/>
                <w:i w:val="0"/>
                <w:color w:val="C0392B"/>
                <w:sz w:val="15"/>
              </w:rPr>
              <w:t>-0.25%</w:t>
            </w:r>
          </w:p>
        </w:tc>
        <w:tc>
          <w:tcPr>
            <w:tcW w:type="dxa" w:w="991"/>
            <w:vAlign w:val="center"/>
            <w:shd w:val="clear" w:color="auto" w:fill="F3F2EE"/>
          </w:tcPr>
          <w:p>
            <w:pPr>
              <w:jc w:val="right"/>
            </w:pPr>
            <w:r>
              <w:rPr>
                <w:b/>
                <w:i w:val="0"/>
                <w:color w:val="1B1B1B"/>
                <w:sz w:val="15"/>
              </w:rPr>
              <w:t>11.76%</w:t>
            </w:r>
          </w:p>
        </w:tc>
        <w:tc>
          <w:tcPr>
            <w:tcW w:type="dxa" w:w="991"/>
            <w:vAlign w:val="center"/>
            <w:shd w:val="clear" w:color="auto" w:fill="F3F2EE"/>
          </w:tcPr>
          <w:p>
            <w:pPr>
              <w:jc w:val="right"/>
            </w:pPr>
            <w:r>
              <w:rPr>
                <w:b/>
                <w:i w:val="0"/>
                <w:color w:val="C0392B"/>
                <w:sz w:val="15"/>
              </w:rPr>
              <w:t>-0.68%</w:t>
            </w:r>
          </w:p>
        </w:tc>
        <w:tc>
          <w:tcPr>
            <w:tcW w:type="dxa" w:w="991"/>
            <w:vAlign w:val="center"/>
            <w:shd w:val="clear" w:color="auto" w:fill="F3F2EE"/>
          </w:tcPr>
          <w:p>
            <w:pPr>
              <w:jc w:val="right"/>
            </w:pPr>
            <w:r>
              <w:rPr>
                <w:b/>
                <w:i w:val="0"/>
                <w:color w:val="1B1B1B"/>
                <w:sz w:val="15"/>
              </w:rPr>
              <w:t>9.80%</w:t>
            </w:r>
          </w:p>
        </w:tc>
        <w:tc>
          <w:tcPr>
            <w:tcW w:type="dxa" w:w="991"/>
            <w:vAlign w:val="center"/>
            <w:shd w:val="clear" w:color="auto" w:fill="F3F2EE"/>
          </w:tcPr>
          <w:p>
            <w:pPr>
              <w:jc w:val="right"/>
            </w:pPr>
            <w:r>
              <w:rPr>
                <w:b/>
                <w:i w:val="0"/>
                <w:color w:val="0B7A3E"/>
                <w:sz w:val="15"/>
              </w:rPr>
              <w:t>+0.46%</w:t>
            </w:r>
          </w:p>
        </w:tc>
      </w:tr>
    </w:tbl>
    <w:p>
      <w:pPr>
        <w:spacing w:before="60"/>
      </w:pPr>
      <w:r>
        <w:rPr>
          <w:b w:val="0"/>
          <w:i/>
          <w:color w:val="8A8984"/>
          <w:sz w:val="16"/>
        </w:rPr>
        <w:t>Returns are time-weighted (Modified Dietz monthly, chain-linked); periods over one year are annualised. 'vs bmk' = fund return minus benchmark return.</w:t>
      </w:r>
    </w:p>
    <w:p/>
    <w:p>
      <w:pPr>
        <w:pStyle w:val="Heading2"/>
      </w:pPr>
      <w:r>
        <w:t>Benchmark returns</w:t>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single" w:sz="4" w:color="D9D7D0"/>
          <w:insideV w:val="nil" w:sz="4" w:color="D9D7D0"/>
        </w:tblBorders>
        <w:tblCellMar>
          <w:top w:w="60" w:type="dxa"/>
          <w:bottom w:w="60" w:type="dxa"/>
          <w:left w:w="90" w:type="dxa"/>
          <w:right w:w="90" w:type="dxa"/>
        </w:tblCellMar>
      </w:tblPr>
      <w:tblGrid>
        <w:gridCol w:w="2409"/>
        <w:gridCol w:w="2409"/>
        <w:gridCol w:w="2409"/>
        <w:gridCol w:w="2409"/>
      </w:tblGrid>
      <w:tr>
        <w:trPr>
          <w:tblHeader w:val="true"/>
        </w:trPr>
        <w:tc>
          <w:tcPr>
            <w:tcW w:type="dxa" w:w="3855"/>
            <w:shd w:val="clear" w:color="auto" w:fill="17324D"/>
          </w:tcPr>
          <w:p>
            <w:pPr>
              <w:jc w:val="left"/>
            </w:pPr>
            <w:r>
              <w:rPr>
                <w:b/>
                <w:i w:val="0"/>
                <w:color w:val="FFFFFF"/>
                <w:sz w:val="17"/>
              </w:rPr>
              <w:t>Benchmark</w:t>
            </w:r>
          </w:p>
        </w:tc>
        <w:tc>
          <w:tcPr>
            <w:tcW w:type="dxa" w:w="1928"/>
            <w:shd w:val="clear" w:color="auto" w:fill="17324D"/>
          </w:tcPr>
          <w:p>
            <w:pPr>
              <w:jc w:val="right"/>
            </w:pPr>
            <w:r>
              <w:rPr>
                <w:b/>
                <w:i w:val="0"/>
                <w:color w:val="FFFFFF"/>
                <w:sz w:val="17"/>
              </w:rPr>
              <w:t>Quarter</w:t>
            </w:r>
          </w:p>
        </w:tc>
        <w:tc>
          <w:tcPr>
            <w:tcW w:type="dxa" w:w="1928"/>
            <w:shd w:val="clear" w:color="auto" w:fill="17324D"/>
          </w:tcPr>
          <w:p>
            <w:pPr>
              <w:jc w:val="right"/>
            </w:pPr>
            <w:r>
              <w:rPr>
                <w:b/>
                <w:i w:val="0"/>
                <w:color w:val="FFFFFF"/>
                <w:sz w:val="17"/>
              </w:rPr>
              <w:t>1 year</w:t>
            </w:r>
          </w:p>
        </w:tc>
        <w:tc>
          <w:tcPr>
            <w:tcW w:type="dxa" w:w="1928"/>
            <w:shd w:val="clear" w:color="auto" w:fill="17324D"/>
          </w:tcPr>
          <w:p>
            <w:pPr>
              <w:jc w:val="right"/>
            </w:pPr>
            <w:r>
              <w:rPr>
                <w:b/>
                <w:i w:val="0"/>
                <w:color w:val="FFFFFF"/>
                <w:sz w:val="17"/>
              </w:rPr>
              <w:t>3 years p.a.</w:t>
            </w:r>
          </w:p>
        </w:tc>
      </w:tr>
      <w:tr>
        <w:tc>
          <w:tcPr>
            <w:tcW w:type="dxa" w:w="3855"/>
            <w:vAlign w:val="center"/>
          </w:tcPr>
          <w:p>
            <w:pPr>
              <w:jc w:val="left"/>
            </w:pPr>
            <w:r>
              <w:rPr>
                <w:b w:val="0"/>
                <w:i w:val="0"/>
                <w:color w:val="1B1B1B"/>
                <w:sz w:val="18"/>
              </w:rPr>
              <w:t>Global equity index (GBP)</w:t>
            </w:r>
          </w:p>
        </w:tc>
        <w:tc>
          <w:tcPr>
            <w:tcW w:type="dxa" w:w="1928"/>
            <w:vAlign w:val="center"/>
          </w:tcPr>
          <w:p>
            <w:pPr>
              <w:jc w:val="right"/>
            </w:pPr>
            <w:r>
              <w:rPr>
                <w:b w:val="0"/>
                <w:i w:val="0"/>
                <w:color w:val="1B1B1B"/>
                <w:sz w:val="18"/>
              </w:rPr>
              <w:t>9.86%</w:t>
            </w:r>
          </w:p>
        </w:tc>
        <w:tc>
          <w:tcPr>
            <w:tcW w:type="dxa" w:w="1928"/>
            <w:vAlign w:val="center"/>
          </w:tcPr>
          <w:p>
            <w:pPr>
              <w:jc w:val="right"/>
            </w:pPr>
            <w:r>
              <w:rPr>
                <w:b w:val="0"/>
                <w:i w:val="0"/>
                <w:color w:val="1B1B1B"/>
                <w:sz w:val="18"/>
              </w:rPr>
              <w:t>28.23%</w:t>
            </w:r>
          </w:p>
        </w:tc>
        <w:tc>
          <w:tcPr>
            <w:tcW w:type="dxa" w:w="1928"/>
            <w:vAlign w:val="center"/>
          </w:tcPr>
          <w:p>
            <w:pPr>
              <w:jc w:val="right"/>
            </w:pPr>
            <w:r>
              <w:rPr>
                <w:b w:val="0"/>
                <w:i w:val="0"/>
                <w:color w:val="1B1B1B"/>
                <w:sz w:val="18"/>
              </w:rPr>
              <w:t>19.41%</w:t>
            </w:r>
          </w:p>
        </w:tc>
      </w:tr>
      <w:tr>
        <w:tc>
          <w:tcPr>
            <w:tcW w:type="dxa" w:w="3855"/>
            <w:vAlign w:val="center"/>
          </w:tcPr>
          <w:p>
            <w:pPr>
              <w:jc w:val="left"/>
            </w:pPr>
            <w:r>
              <w:rPr>
                <w:b w:val="0"/>
                <w:i w:val="0"/>
                <w:color w:val="1B1B1B"/>
                <w:sz w:val="18"/>
              </w:rPr>
              <w:t>EM equity index (GBP)</w:t>
            </w:r>
          </w:p>
        </w:tc>
        <w:tc>
          <w:tcPr>
            <w:tcW w:type="dxa" w:w="1928"/>
            <w:vAlign w:val="center"/>
          </w:tcPr>
          <w:p>
            <w:pPr>
              <w:jc w:val="right"/>
            </w:pPr>
            <w:r>
              <w:rPr>
                <w:b w:val="0"/>
                <w:i w:val="0"/>
                <w:color w:val="1B1B1B"/>
                <w:sz w:val="18"/>
              </w:rPr>
              <w:t>-2.37%</w:t>
            </w:r>
          </w:p>
        </w:tc>
        <w:tc>
          <w:tcPr>
            <w:tcW w:type="dxa" w:w="1928"/>
            <w:vAlign w:val="center"/>
          </w:tcPr>
          <w:p>
            <w:pPr>
              <w:jc w:val="right"/>
            </w:pPr>
            <w:r>
              <w:rPr>
                <w:b w:val="0"/>
                <w:i w:val="0"/>
                <w:color w:val="1B1B1B"/>
                <w:sz w:val="18"/>
              </w:rPr>
              <w:t>20.92%</w:t>
            </w:r>
          </w:p>
        </w:tc>
        <w:tc>
          <w:tcPr>
            <w:tcW w:type="dxa" w:w="1928"/>
            <w:vAlign w:val="center"/>
          </w:tcPr>
          <w:p>
            <w:pPr>
              <w:jc w:val="right"/>
            </w:pPr>
            <w:r>
              <w:rPr>
                <w:b w:val="0"/>
                <w:i w:val="0"/>
                <w:color w:val="1B1B1B"/>
                <w:sz w:val="18"/>
              </w:rPr>
              <w:t>17.11%</w:t>
            </w:r>
          </w:p>
        </w:tc>
      </w:tr>
      <w:tr>
        <w:tc>
          <w:tcPr>
            <w:tcW w:type="dxa" w:w="3855"/>
            <w:vAlign w:val="center"/>
          </w:tcPr>
          <w:p>
            <w:pPr>
              <w:jc w:val="left"/>
            </w:pPr>
            <w:r>
              <w:rPr>
                <w:b w:val="0"/>
                <w:i w:val="0"/>
                <w:color w:val="1B1B1B"/>
                <w:sz w:val="18"/>
              </w:rPr>
              <w:t>SONIA + 4% p.a.</w:t>
            </w:r>
          </w:p>
        </w:tc>
        <w:tc>
          <w:tcPr>
            <w:tcW w:type="dxa" w:w="1928"/>
            <w:vAlign w:val="center"/>
          </w:tcPr>
          <w:p>
            <w:pPr>
              <w:jc w:val="right"/>
            </w:pPr>
            <w:r>
              <w:rPr>
                <w:b w:val="0"/>
                <w:i w:val="0"/>
                <w:color w:val="1B1B1B"/>
                <w:sz w:val="18"/>
              </w:rPr>
              <w:t>4.94%</w:t>
            </w:r>
          </w:p>
        </w:tc>
        <w:tc>
          <w:tcPr>
            <w:tcW w:type="dxa" w:w="1928"/>
            <w:vAlign w:val="center"/>
          </w:tcPr>
          <w:p>
            <w:pPr>
              <w:jc w:val="right"/>
            </w:pPr>
            <w:r>
              <w:rPr>
                <w:b w:val="0"/>
                <w:i w:val="0"/>
                <w:color w:val="1B1B1B"/>
                <w:sz w:val="18"/>
              </w:rPr>
              <w:t>12.45%</w:t>
            </w:r>
          </w:p>
        </w:tc>
        <w:tc>
          <w:tcPr>
            <w:tcW w:type="dxa" w:w="1928"/>
            <w:vAlign w:val="center"/>
          </w:tcPr>
          <w:p>
            <w:pPr>
              <w:jc w:val="right"/>
            </w:pPr>
            <w:r>
              <w:rPr>
                <w:b w:val="0"/>
                <w:i w:val="0"/>
                <w:color w:val="1B1B1B"/>
                <w:sz w:val="18"/>
              </w:rPr>
              <w:t>12.14%</w:t>
            </w:r>
          </w:p>
        </w:tc>
      </w:tr>
      <w:tr>
        <w:tc>
          <w:tcPr>
            <w:tcW w:type="dxa" w:w="3855"/>
            <w:vAlign w:val="center"/>
          </w:tcPr>
          <w:p>
            <w:pPr>
              <w:jc w:val="left"/>
            </w:pPr>
            <w:r>
              <w:rPr>
                <w:b w:val="0"/>
                <w:i w:val="0"/>
                <w:color w:val="1B1B1B"/>
                <w:sz w:val="18"/>
              </w:rPr>
              <w:t>UK property index</w:t>
            </w:r>
          </w:p>
        </w:tc>
        <w:tc>
          <w:tcPr>
            <w:tcW w:type="dxa" w:w="1928"/>
            <w:vAlign w:val="center"/>
          </w:tcPr>
          <w:p>
            <w:pPr>
              <w:jc w:val="right"/>
            </w:pPr>
            <w:r>
              <w:rPr>
                <w:b w:val="0"/>
                <w:i w:val="0"/>
                <w:color w:val="1B1B1B"/>
                <w:sz w:val="18"/>
              </w:rPr>
              <w:t>0.98%</w:t>
            </w:r>
          </w:p>
        </w:tc>
        <w:tc>
          <w:tcPr>
            <w:tcW w:type="dxa" w:w="1928"/>
            <w:vAlign w:val="center"/>
          </w:tcPr>
          <w:p>
            <w:pPr>
              <w:jc w:val="right"/>
            </w:pPr>
            <w:r>
              <w:rPr>
                <w:b w:val="0"/>
                <w:i w:val="0"/>
                <w:color w:val="1B1B1B"/>
                <w:sz w:val="18"/>
              </w:rPr>
              <w:t>12.50%</w:t>
            </w:r>
          </w:p>
        </w:tc>
        <w:tc>
          <w:tcPr>
            <w:tcW w:type="dxa" w:w="1928"/>
            <w:vAlign w:val="center"/>
          </w:tcPr>
          <w:p>
            <w:pPr>
              <w:jc w:val="right"/>
            </w:pPr>
            <w:r>
              <w:rPr>
                <w:b w:val="0"/>
                <w:i w:val="0"/>
                <w:color w:val="1B1B1B"/>
                <w:sz w:val="18"/>
              </w:rPr>
              <w:t>17.36%</w:t>
            </w:r>
          </w:p>
        </w:tc>
      </w:tr>
      <w:tr>
        <w:tc>
          <w:tcPr>
            <w:tcW w:type="dxa" w:w="3855"/>
            <w:vAlign w:val="center"/>
          </w:tcPr>
          <w:p>
            <w:pPr>
              <w:jc w:val="left"/>
            </w:pPr>
            <w:r>
              <w:rPr>
                <w:b w:val="0"/>
                <w:i w:val="0"/>
                <w:color w:val="1B1B1B"/>
                <w:sz w:val="18"/>
              </w:rPr>
              <w:t>Sterling corporate bond index</w:t>
            </w:r>
          </w:p>
        </w:tc>
        <w:tc>
          <w:tcPr>
            <w:tcW w:type="dxa" w:w="1928"/>
            <w:vAlign w:val="center"/>
          </w:tcPr>
          <w:p>
            <w:pPr>
              <w:jc w:val="right"/>
            </w:pPr>
            <w:r>
              <w:rPr>
                <w:b w:val="0"/>
                <w:i w:val="0"/>
                <w:color w:val="1B1B1B"/>
                <w:sz w:val="18"/>
              </w:rPr>
              <w:t>2.64%</w:t>
            </w:r>
          </w:p>
        </w:tc>
        <w:tc>
          <w:tcPr>
            <w:tcW w:type="dxa" w:w="1928"/>
            <w:vAlign w:val="center"/>
          </w:tcPr>
          <w:p>
            <w:pPr>
              <w:jc w:val="right"/>
            </w:pPr>
            <w:r>
              <w:rPr>
                <w:b w:val="0"/>
                <w:i w:val="0"/>
                <w:color w:val="1B1B1B"/>
                <w:sz w:val="18"/>
              </w:rPr>
              <w:t>2.95%</w:t>
            </w:r>
          </w:p>
        </w:tc>
        <w:tc>
          <w:tcPr>
            <w:tcW w:type="dxa" w:w="1928"/>
            <w:vAlign w:val="center"/>
          </w:tcPr>
          <w:p>
            <w:pPr>
              <w:jc w:val="right"/>
            </w:pPr>
            <w:r>
              <w:rPr>
                <w:b w:val="0"/>
                <w:i w:val="0"/>
                <w:color w:val="1B1B1B"/>
                <w:sz w:val="18"/>
              </w:rPr>
              <w:t>5.57%</w:t>
            </w:r>
          </w:p>
        </w:tc>
      </w:tr>
      <w:tr>
        <w:tc>
          <w:tcPr>
            <w:tcW w:type="dxa" w:w="3855"/>
            <w:vAlign w:val="center"/>
          </w:tcPr>
          <w:p>
            <w:pPr>
              <w:jc w:val="left"/>
            </w:pPr>
            <w:r>
              <w:rPr>
                <w:b w:val="0"/>
                <w:i w:val="0"/>
                <w:color w:val="1B1B1B"/>
                <w:sz w:val="18"/>
              </w:rPr>
              <w:t>Scheme liability benchmark</w:t>
            </w:r>
          </w:p>
        </w:tc>
        <w:tc>
          <w:tcPr>
            <w:tcW w:type="dxa" w:w="1928"/>
            <w:vAlign w:val="center"/>
          </w:tcPr>
          <w:p>
            <w:pPr>
              <w:jc w:val="right"/>
            </w:pPr>
            <w:r>
              <w:rPr>
                <w:b w:val="0"/>
                <w:i w:val="0"/>
                <w:color w:val="1B1B1B"/>
                <w:sz w:val="18"/>
              </w:rPr>
              <w:t>3.18%</w:t>
            </w:r>
          </w:p>
        </w:tc>
        <w:tc>
          <w:tcPr>
            <w:tcW w:type="dxa" w:w="1928"/>
            <w:vAlign w:val="center"/>
          </w:tcPr>
          <w:p>
            <w:pPr>
              <w:jc w:val="right"/>
            </w:pPr>
            <w:r>
              <w:rPr>
                <w:b w:val="0"/>
                <w:i w:val="0"/>
                <w:color w:val="1B1B1B"/>
                <w:sz w:val="18"/>
              </w:rPr>
              <w:t>1.31%</w:t>
            </w:r>
          </w:p>
        </w:tc>
        <w:tc>
          <w:tcPr>
            <w:tcW w:type="dxa" w:w="1928"/>
            <w:vAlign w:val="center"/>
          </w:tcPr>
          <w:p>
            <w:pPr>
              <w:jc w:val="right"/>
            </w:pPr>
            <w:r>
              <w:rPr>
                <w:b w:val="0"/>
                <w:i w:val="0"/>
                <w:color w:val="1B1B1B"/>
                <w:sz w:val="18"/>
              </w:rPr>
              <w:t>-3.59%</w:t>
            </w:r>
          </w:p>
        </w:tc>
      </w:tr>
      <w:tr>
        <w:tc>
          <w:tcPr>
            <w:tcW w:type="dxa" w:w="3855"/>
            <w:vAlign w:val="center"/>
          </w:tcPr>
          <w:p>
            <w:pPr>
              <w:jc w:val="left"/>
            </w:pPr>
            <w:r>
              <w:rPr>
                <w:b w:val="0"/>
                <w:i w:val="0"/>
                <w:color w:val="1B1B1B"/>
                <w:sz w:val="18"/>
              </w:rPr>
              <w:t>Total benchmark</w:t>
            </w:r>
          </w:p>
        </w:tc>
        <w:tc>
          <w:tcPr>
            <w:tcW w:type="dxa" w:w="1928"/>
            <w:vAlign w:val="center"/>
          </w:tcPr>
          <w:p>
            <w:pPr>
              <w:jc w:val="right"/>
            </w:pPr>
            <w:r>
              <w:rPr>
                <w:b w:val="0"/>
                <w:i w:val="0"/>
                <w:color w:val="1B1B1B"/>
                <w:sz w:val="18"/>
              </w:rPr>
              <w:t>4.32%</w:t>
            </w:r>
          </w:p>
        </w:tc>
        <w:tc>
          <w:tcPr>
            <w:tcW w:type="dxa" w:w="1928"/>
            <w:vAlign w:val="center"/>
          </w:tcPr>
          <w:p>
            <w:pPr>
              <w:jc w:val="right"/>
            </w:pPr>
            <w:r>
              <w:rPr>
                <w:b w:val="0"/>
                <w:i w:val="0"/>
                <w:color w:val="1B1B1B"/>
                <w:sz w:val="18"/>
              </w:rPr>
              <w:t>12.44%</w:t>
            </w:r>
          </w:p>
        </w:tc>
        <w:tc>
          <w:tcPr>
            <w:tcW w:type="dxa" w:w="1928"/>
            <w:vAlign w:val="center"/>
          </w:tcPr>
          <w:p>
            <w:pPr>
              <w:jc w:val="right"/>
            </w:pPr>
            <w:r>
              <w:rPr>
                <w:b w:val="0"/>
                <w:i w:val="0"/>
                <w:color w:val="1B1B1B"/>
                <w:sz w:val="18"/>
              </w:rPr>
              <w:t>9.34%</w:t>
            </w:r>
          </w:p>
        </w:tc>
      </w:tr>
    </w:tbl>
    <w:p/>
    <w:p>
      <w:pPr>
        <w:pStyle w:val="Heading1"/>
      </w:pPr>
      <w:r>
        <w:t>Cumulative performance since inception</w:t>
      </w:r>
    </w:p>
    <w:p>
      <w:r>
        <w:drawing>
          <wp:inline xmlns:a="http://schemas.openxmlformats.org/drawingml/2006/main" xmlns:pic="http://schemas.openxmlformats.org/drawingml/2006/picture">
            <wp:extent cx="6120000" cy="2720000"/>
            <wp:docPr id="1" name="Picture 1"/>
            <wp:cNvGraphicFramePr>
              <a:graphicFrameLocks noChangeAspect="1"/>
            </wp:cNvGraphicFramePr>
            <a:graphic>
              <a:graphicData uri="http://schemas.openxmlformats.org/drawingml/2006/picture">
                <pic:pic>
                  <pic:nvPicPr>
                    <pic:cNvPr id="0" name="cumulative.png"/>
                    <pic:cNvPicPr/>
                  </pic:nvPicPr>
                  <pic:blipFill>
                    <a:blip r:embed="rId10"/>
                    <a:stretch>
                      <a:fillRect/>
                    </a:stretch>
                  </pic:blipFill>
                  <pic:spPr>
                    <a:xfrm>
                      <a:off x="0" y="0"/>
                      <a:ext cx="6120000" cy="2720000"/>
                    </a:xfrm>
                    <a:prstGeom prst="rect"/>
                  </pic:spPr>
                </pic:pic>
              </a:graphicData>
            </a:graphic>
          </wp:inline>
        </w:drawing>
      </w:r>
    </w:p>
    <w:p>
      <w:r>
        <w:rPr>
          <w:b w:val="0"/>
          <w:i/>
          <w:color w:val="8A8984"/>
          <w:sz w:val="16"/>
        </w:rPr>
        <w:t>Growth of the total fund vs its strategic benchmark, cumulative since start of data.</w:t>
      </w:r>
    </w:p>
    <w:p>
      <w:pPr>
        <w:pStyle w:val="Heading1"/>
      </w:pPr>
      <w:r>
        <w:t>What drove relative performance?</w:t>
      </w:r>
    </w:p>
    <w:p>
      <w:r>
        <w:rPr>
          <w:b w:val="0"/>
          <w:i w:val="0"/>
          <w:color w:val="52514E"/>
          <w:sz w:val="21"/>
        </w:rPr>
        <w:t>Over 1 year, the fund underperformed its benchmark by 0.68%. Allocation measures the effect of holding more or less than the strategic weight in each asset class; selection measures each manager against its own benchmark.</w:t>
      </w:r>
    </w:p>
    <w:p>
      <w:pPr>
        <w:pStyle w:val="Heading2"/>
      </w:pPr>
      <w:r>
        <w:t>Attribution by mandate (1 year)</w:t>
      </w:r>
    </w:p>
    <w:p>
      <w:r>
        <w:drawing>
          <wp:inline xmlns:a="http://schemas.openxmlformats.org/drawingml/2006/main" xmlns:pic="http://schemas.openxmlformats.org/drawingml/2006/picture">
            <wp:extent cx="6120000" cy="3315000"/>
            <wp:docPr id="2" name="Picture 2"/>
            <wp:cNvGraphicFramePr>
              <a:graphicFrameLocks noChangeAspect="1"/>
            </wp:cNvGraphicFramePr>
            <a:graphic>
              <a:graphicData uri="http://schemas.openxmlformats.org/drawingml/2006/picture">
                <pic:pic>
                  <pic:nvPicPr>
                    <pic:cNvPr id="0" name="attribution.png"/>
                    <pic:cNvPicPr/>
                  </pic:nvPicPr>
                  <pic:blipFill>
                    <a:blip r:embed="rId11"/>
                    <a:stretch>
                      <a:fillRect/>
                    </a:stretch>
                  </pic:blipFill>
                  <pic:spPr>
                    <a:xfrm>
                      <a:off x="0" y="0"/>
                      <a:ext cx="6120000" cy="3315000"/>
                    </a:xfrm>
                    <a:prstGeom prst="rect"/>
                  </pic:spPr>
                </pic:pic>
              </a:graphicData>
            </a:graphic>
          </wp:inline>
        </w:drawing>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single" w:sz="4" w:color="D9D7D0"/>
          <w:insideV w:val="nil" w:sz="4" w:color="D9D7D0"/>
        </w:tblBorders>
        <w:tblCellMar>
          <w:top w:w="60" w:type="dxa"/>
          <w:bottom w:w="60" w:type="dxa"/>
          <w:left w:w="90" w:type="dxa"/>
          <w:right w:w="90" w:type="dxa"/>
        </w:tblCellMar>
      </w:tblPr>
      <w:tblGrid>
        <w:gridCol w:w="1928"/>
        <w:gridCol w:w="1928"/>
        <w:gridCol w:w="1928"/>
        <w:gridCol w:w="1928"/>
        <w:gridCol w:w="1928"/>
      </w:tblGrid>
      <w:tr>
        <w:trPr>
          <w:tblHeader w:val="true"/>
        </w:trPr>
        <w:tc>
          <w:tcPr>
            <w:tcW w:type="dxa" w:w="2699"/>
            <w:shd w:val="clear" w:color="auto" w:fill="17324D"/>
          </w:tcPr>
          <w:p>
            <w:pPr>
              <w:jc w:val="left"/>
            </w:pPr>
            <w:r>
              <w:rPr>
                <w:b/>
                <w:i w:val="0"/>
                <w:color w:val="FFFFFF"/>
                <w:sz w:val="17"/>
              </w:rPr>
              <w:t>Mandate</w:t>
            </w:r>
          </w:p>
        </w:tc>
        <w:tc>
          <w:tcPr>
            <w:tcW w:type="dxa" w:w="1735"/>
            <w:shd w:val="clear" w:color="auto" w:fill="17324D"/>
          </w:tcPr>
          <w:p>
            <w:pPr>
              <w:jc w:val="right"/>
            </w:pPr>
            <w:r>
              <w:rPr>
                <w:b/>
                <w:i w:val="0"/>
                <w:color w:val="FFFFFF"/>
                <w:sz w:val="17"/>
              </w:rPr>
              <w:t>Allocation</w:t>
            </w:r>
          </w:p>
        </w:tc>
        <w:tc>
          <w:tcPr>
            <w:tcW w:type="dxa" w:w="1735"/>
            <w:shd w:val="clear" w:color="auto" w:fill="17324D"/>
          </w:tcPr>
          <w:p>
            <w:pPr>
              <w:jc w:val="right"/>
            </w:pPr>
            <w:r>
              <w:rPr>
                <w:b/>
                <w:i w:val="0"/>
                <w:color w:val="FFFFFF"/>
                <w:sz w:val="17"/>
              </w:rPr>
              <w:t>Selection</w:t>
            </w:r>
          </w:p>
        </w:tc>
        <w:tc>
          <w:tcPr>
            <w:tcW w:type="dxa" w:w="1735"/>
            <w:shd w:val="clear" w:color="auto" w:fill="17324D"/>
          </w:tcPr>
          <w:p>
            <w:pPr>
              <w:jc w:val="right"/>
            </w:pPr>
            <w:r>
              <w:rPr>
                <w:b/>
                <w:i w:val="0"/>
                <w:color w:val="FFFFFF"/>
                <w:sz w:val="17"/>
              </w:rPr>
              <w:t>Interaction</w:t>
            </w:r>
          </w:p>
        </w:tc>
        <w:tc>
          <w:tcPr>
            <w:tcW w:type="dxa" w:w="1735"/>
            <w:shd w:val="clear" w:color="auto" w:fill="17324D"/>
          </w:tcPr>
          <w:p>
            <w:pPr>
              <w:jc w:val="right"/>
            </w:pPr>
            <w:r>
              <w:rPr>
                <w:b/>
                <w:i w:val="0"/>
                <w:color w:val="FFFFFF"/>
                <w:sz w:val="17"/>
              </w:rPr>
              <w:t>Total</w:t>
            </w:r>
          </w:p>
        </w:tc>
      </w:tr>
      <w:tr>
        <w:tc>
          <w:tcPr>
            <w:tcW w:type="dxa" w:w="2699"/>
            <w:vAlign w:val="center"/>
          </w:tcPr>
          <w:p>
            <w:pPr>
              <w:jc w:val="left"/>
            </w:pPr>
            <w:r>
              <w:rPr>
                <w:b w:val="0"/>
                <w:i w:val="0"/>
                <w:color w:val="1B1B1B"/>
                <w:sz w:val="18"/>
              </w:rPr>
              <w:t>Global Equity</w:t>
            </w:r>
          </w:p>
        </w:tc>
        <w:tc>
          <w:tcPr>
            <w:tcW w:type="dxa" w:w="1735"/>
            <w:vAlign w:val="center"/>
          </w:tcPr>
          <w:p>
            <w:pPr>
              <w:jc w:val="right"/>
            </w:pPr>
            <w:r>
              <w:rPr>
                <w:b w:val="0"/>
                <w:i w:val="0"/>
                <w:color w:val="0B7A3E"/>
                <w:sz w:val="18"/>
              </w:rPr>
              <w:t>+0.15%</w:t>
            </w:r>
          </w:p>
        </w:tc>
        <w:tc>
          <w:tcPr>
            <w:tcW w:type="dxa" w:w="1735"/>
            <w:vAlign w:val="center"/>
          </w:tcPr>
          <w:p>
            <w:pPr>
              <w:jc w:val="right"/>
            </w:pPr>
            <w:r>
              <w:rPr>
                <w:b w:val="0"/>
                <w:i w:val="0"/>
                <w:color w:val="C0392B"/>
                <w:sz w:val="18"/>
              </w:rPr>
              <w:t>-0.46%</w:t>
            </w:r>
          </w:p>
        </w:tc>
        <w:tc>
          <w:tcPr>
            <w:tcW w:type="dxa" w:w="1735"/>
            <w:vAlign w:val="center"/>
          </w:tcPr>
          <w:p>
            <w:pPr>
              <w:jc w:val="right"/>
            </w:pPr>
            <w:r>
              <w:rPr>
                <w:b w:val="0"/>
                <w:i w:val="0"/>
                <w:color w:val="C0392B"/>
                <w:sz w:val="18"/>
              </w:rPr>
              <w:t>-0.04%</w:t>
            </w:r>
          </w:p>
        </w:tc>
        <w:tc>
          <w:tcPr>
            <w:tcW w:type="dxa" w:w="1735"/>
            <w:vAlign w:val="center"/>
          </w:tcPr>
          <w:p>
            <w:pPr>
              <w:jc w:val="right"/>
            </w:pPr>
            <w:r>
              <w:rPr>
                <w:b w:val="0"/>
                <w:i w:val="0"/>
                <w:color w:val="C0392B"/>
                <w:sz w:val="18"/>
              </w:rPr>
              <w:t>-0.36%</w:t>
            </w:r>
          </w:p>
        </w:tc>
      </w:tr>
      <w:tr>
        <w:tc>
          <w:tcPr>
            <w:tcW w:type="dxa" w:w="2699"/>
            <w:vAlign w:val="center"/>
          </w:tcPr>
          <w:p>
            <w:pPr>
              <w:jc w:val="left"/>
            </w:pPr>
            <w:r>
              <w:rPr>
                <w:b w:val="0"/>
                <w:i w:val="0"/>
                <w:color w:val="1B1B1B"/>
                <w:sz w:val="18"/>
              </w:rPr>
              <w:t>Emerging Markets Equity</w:t>
            </w:r>
          </w:p>
        </w:tc>
        <w:tc>
          <w:tcPr>
            <w:tcW w:type="dxa" w:w="1735"/>
            <w:vAlign w:val="center"/>
          </w:tcPr>
          <w:p>
            <w:pPr>
              <w:jc w:val="right"/>
            </w:pPr>
            <w:r>
              <w:rPr>
                <w:b w:val="0"/>
                <w:i w:val="0"/>
                <w:color w:val="C0392B"/>
                <w:sz w:val="18"/>
              </w:rPr>
              <w:t>-0.10%</w:t>
            </w:r>
          </w:p>
        </w:tc>
        <w:tc>
          <w:tcPr>
            <w:tcW w:type="dxa" w:w="1735"/>
            <w:vAlign w:val="center"/>
          </w:tcPr>
          <w:p>
            <w:pPr>
              <w:jc w:val="right"/>
            </w:pPr>
            <w:r>
              <w:rPr>
                <w:b w:val="0"/>
                <w:i w:val="0"/>
                <w:color w:val="C0392B"/>
                <w:sz w:val="18"/>
              </w:rPr>
              <w:t>-0.57%</w:t>
            </w:r>
          </w:p>
        </w:tc>
        <w:tc>
          <w:tcPr>
            <w:tcW w:type="dxa" w:w="1735"/>
            <w:vAlign w:val="center"/>
          </w:tcPr>
          <w:p>
            <w:pPr>
              <w:jc w:val="right"/>
            </w:pPr>
            <w:r>
              <w:rPr>
                <w:b w:val="0"/>
                <w:i w:val="0"/>
                <w:color w:val="C0392B"/>
                <w:sz w:val="18"/>
              </w:rPr>
              <w:t>-0.03%</w:t>
            </w:r>
          </w:p>
        </w:tc>
        <w:tc>
          <w:tcPr>
            <w:tcW w:type="dxa" w:w="1735"/>
            <w:vAlign w:val="center"/>
          </w:tcPr>
          <w:p>
            <w:pPr>
              <w:jc w:val="right"/>
            </w:pPr>
            <w:r>
              <w:rPr>
                <w:b w:val="0"/>
                <w:i w:val="0"/>
                <w:color w:val="C0392B"/>
                <w:sz w:val="18"/>
              </w:rPr>
              <w:t>-0.71%</w:t>
            </w:r>
          </w:p>
        </w:tc>
      </w:tr>
      <w:tr>
        <w:tc>
          <w:tcPr>
            <w:tcW w:type="dxa" w:w="2699"/>
            <w:vAlign w:val="center"/>
          </w:tcPr>
          <w:p>
            <w:pPr>
              <w:jc w:val="left"/>
            </w:pPr>
            <w:r>
              <w:rPr>
                <w:b w:val="0"/>
                <w:i w:val="0"/>
                <w:color w:val="1B1B1B"/>
                <w:sz w:val="18"/>
              </w:rPr>
              <w:t>Diversified Growth</w:t>
            </w:r>
          </w:p>
        </w:tc>
        <w:tc>
          <w:tcPr>
            <w:tcW w:type="dxa" w:w="1735"/>
            <w:vAlign w:val="center"/>
          </w:tcPr>
          <w:p>
            <w:pPr>
              <w:jc w:val="right"/>
            </w:pPr>
            <w:r>
              <w:rPr>
                <w:b w:val="0"/>
                <w:i w:val="0"/>
                <w:color w:val="C0392B"/>
                <w:sz w:val="18"/>
              </w:rPr>
              <w:t>-0.01%</w:t>
            </w:r>
          </w:p>
        </w:tc>
        <w:tc>
          <w:tcPr>
            <w:tcW w:type="dxa" w:w="1735"/>
            <w:vAlign w:val="center"/>
          </w:tcPr>
          <w:p>
            <w:pPr>
              <w:jc w:val="right"/>
            </w:pPr>
            <w:r>
              <w:rPr>
                <w:b w:val="0"/>
                <w:i w:val="0"/>
                <w:color w:val="C0392B"/>
                <w:sz w:val="18"/>
              </w:rPr>
              <w:t>-0.21%</w:t>
            </w:r>
          </w:p>
        </w:tc>
        <w:tc>
          <w:tcPr>
            <w:tcW w:type="dxa" w:w="1735"/>
            <w:vAlign w:val="center"/>
          </w:tcPr>
          <w:p>
            <w:pPr>
              <w:jc w:val="right"/>
            </w:pPr>
            <w:r>
              <w:rPr>
                <w:b w:val="0"/>
                <w:i w:val="0"/>
                <w:color w:val="C0392B"/>
                <w:sz w:val="18"/>
              </w:rPr>
              <w:t>-0.02%</w:t>
            </w:r>
          </w:p>
        </w:tc>
        <w:tc>
          <w:tcPr>
            <w:tcW w:type="dxa" w:w="1735"/>
            <w:vAlign w:val="center"/>
          </w:tcPr>
          <w:p>
            <w:pPr>
              <w:jc w:val="right"/>
            </w:pPr>
            <w:r>
              <w:rPr>
                <w:b w:val="0"/>
                <w:i w:val="0"/>
                <w:color w:val="C0392B"/>
                <w:sz w:val="18"/>
              </w:rPr>
              <w:t>-0.23%</w:t>
            </w:r>
          </w:p>
        </w:tc>
      </w:tr>
      <w:tr>
        <w:tc>
          <w:tcPr>
            <w:tcW w:type="dxa" w:w="2699"/>
            <w:vAlign w:val="center"/>
          </w:tcPr>
          <w:p>
            <w:pPr>
              <w:jc w:val="left"/>
            </w:pPr>
            <w:r>
              <w:rPr>
                <w:b w:val="0"/>
                <w:i w:val="0"/>
                <w:color w:val="1B1B1B"/>
                <w:sz w:val="18"/>
              </w:rPr>
              <w:t>UK Property</w:t>
            </w:r>
          </w:p>
        </w:tc>
        <w:tc>
          <w:tcPr>
            <w:tcW w:type="dxa" w:w="1735"/>
            <w:vAlign w:val="center"/>
          </w:tcPr>
          <w:p>
            <w:pPr>
              <w:jc w:val="right"/>
            </w:pPr>
            <w:r>
              <w:rPr>
                <w:b w:val="0"/>
                <w:i w:val="0"/>
                <w:color w:val="1B1B1B"/>
                <w:sz w:val="18"/>
              </w:rPr>
              <w:t>+0.00%</w:t>
            </w:r>
          </w:p>
        </w:tc>
        <w:tc>
          <w:tcPr>
            <w:tcW w:type="dxa" w:w="1735"/>
            <w:vAlign w:val="center"/>
          </w:tcPr>
          <w:p>
            <w:pPr>
              <w:jc w:val="right"/>
            </w:pPr>
            <w:r>
              <w:rPr>
                <w:b w:val="0"/>
                <w:i w:val="0"/>
                <w:color w:val="0B7A3E"/>
                <w:sz w:val="18"/>
              </w:rPr>
              <w:t>+0.19%</w:t>
            </w:r>
          </w:p>
        </w:tc>
        <w:tc>
          <w:tcPr>
            <w:tcW w:type="dxa" w:w="1735"/>
            <w:vAlign w:val="center"/>
          </w:tcPr>
          <w:p>
            <w:pPr>
              <w:jc w:val="right"/>
            </w:pPr>
            <w:r>
              <w:rPr>
                <w:b w:val="0"/>
                <w:i w:val="0"/>
                <w:color w:val="0B7A3E"/>
                <w:sz w:val="18"/>
              </w:rPr>
              <w:t>+0.01%</w:t>
            </w:r>
          </w:p>
        </w:tc>
        <w:tc>
          <w:tcPr>
            <w:tcW w:type="dxa" w:w="1735"/>
            <w:vAlign w:val="center"/>
          </w:tcPr>
          <w:p>
            <w:pPr>
              <w:jc w:val="right"/>
            </w:pPr>
            <w:r>
              <w:rPr>
                <w:b w:val="0"/>
                <w:i w:val="0"/>
                <w:color w:val="0B7A3E"/>
                <w:sz w:val="18"/>
              </w:rPr>
              <w:t>+0.20%</w:t>
            </w:r>
          </w:p>
        </w:tc>
      </w:tr>
      <w:tr>
        <w:tc>
          <w:tcPr>
            <w:tcW w:type="dxa" w:w="2699"/>
            <w:vAlign w:val="center"/>
          </w:tcPr>
          <w:p>
            <w:pPr>
              <w:jc w:val="left"/>
            </w:pPr>
            <w:r>
              <w:rPr>
                <w:b w:val="0"/>
                <w:i w:val="0"/>
                <w:color w:val="1B1B1B"/>
                <w:sz w:val="18"/>
              </w:rPr>
              <w:t>Buy &amp; Maintain Credit</w:t>
            </w:r>
          </w:p>
        </w:tc>
        <w:tc>
          <w:tcPr>
            <w:tcW w:type="dxa" w:w="1735"/>
            <w:vAlign w:val="center"/>
          </w:tcPr>
          <w:p>
            <w:pPr>
              <w:jc w:val="right"/>
            </w:pPr>
            <w:r>
              <w:rPr>
                <w:b w:val="0"/>
                <w:i w:val="0"/>
                <w:color w:val="0B7A3E"/>
                <w:sz w:val="18"/>
              </w:rPr>
              <w:t>+0.02%</w:t>
            </w:r>
          </w:p>
        </w:tc>
        <w:tc>
          <w:tcPr>
            <w:tcW w:type="dxa" w:w="1735"/>
            <w:vAlign w:val="center"/>
          </w:tcPr>
          <w:p>
            <w:pPr>
              <w:jc w:val="right"/>
            </w:pPr>
            <w:r>
              <w:rPr>
                <w:b w:val="0"/>
                <w:i w:val="0"/>
                <w:color w:val="0B7A3E"/>
                <w:sz w:val="18"/>
              </w:rPr>
              <w:t>+0.28%</w:t>
            </w:r>
          </w:p>
        </w:tc>
        <w:tc>
          <w:tcPr>
            <w:tcW w:type="dxa" w:w="1735"/>
            <w:vAlign w:val="center"/>
          </w:tcPr>
          <w:p>
            <w:pPr>
              <w:jc w:val="right"/>
            </w:pPr>
            <w:r>
              <w:rPr>
                <w:b w:val="0"/>
                <w:i w:val="0"/>
                <w:color w:val="C0392B"/>
                <w:sz w:val="18"/>
              </w:rPr>
              <w:t>-0.01%</w:t>
            </w:r>
          </w:p>
        </w:tc>
        <w:tc>
          <w:tcPr>
            <w:tcW w:type="dxa" w:w="1735"/>
            <w:vAlign w:val="center"/>
          </w:tcPr>
          <w:p>
            <w:pPr>
              <w:jc w:val="right"/>
            </w:pPr>
            <w:r>
              <w:rPr>
                <w:b w:val="0"/>
                <w:i w:val="0"/>
                <w:color w:val="0B7A3E"/>
                <w:sz w:val="18"/>
              </w:rPr>
              <w:t>+0.29%</w:t>
            </w:r>
          </w:p>
        </w:tc>
      </w:tr>
      <w:tr>
        <w:tc>
          <w:tcPr>
            <w:tcW w:type="dxa" w:w="2699"/>
            <w:vAlign w:val="center"/>
          </w:tcPr>
          <w:p>
            <w:pPr>
              <w:jc w:val="left"/>
            </w:pPr>
            <w:r>
              <w:rPr>
                <w:b w:val="0"/>
                <w:i w:val="0"/>
                <w:color w:val="1B1B1B"/>
                <w:sz w:val="18"/>
              </w:rPr>
              <w:t>Liability Driven Investment</w:t>
            </w:r>
          </w:p>
        </w:tc>
        <w:tc>
          <w:tcPr>
            <w:tcW w:type="dxa" w:w="1735"/>
            <w:vAlign w:val="center"/>
          </w:tcPr>
          <w:p>
            <w:pPr>
              <w:jc w:val="right"/>
            </w:pPr>
            <w:r>
              <w:rPr>
                <w:b w:val="0"/>
                <w:i w:val="0"/>
                <w:color w:val="0B7A3E"/>
                <w:sz w:val="18"/>
              </w:rPr>
              <w:t>+0.15%</w:t>
            </w:r>
          </w:p>
        </w:tc>
        <w:tc>
          <w:tcPr>
            <w:tcW w:type="dxa" w:w="1735"/>
            <w:vAlign w:val="center"/>
          </w:tcPr>
          <w:p>
            <w:pPr>
              <w:jc w:val="right"/>
            </w:pPr>
            <w:r>
              <w:rPr>
                <w:b w:val="0"/>
                <w:i w:val="0"/>
                <w:color w:val="C0392B"/>
                <w:sz w:val="18"/>
              </w:rPr>
              <w:t>-0.01%</w:t>
            </w:r>
          </w:p>
        </w:tc>
        <w:tc>
          <w:tcPr>
            <w:tcW w:type="dxa" w:w="1735"/>
            <w:vAlign w:val="center"/>
          </w:tcPr>
          <w:p>
            <w:pPr>
              <w:jc w:val="right"/>
            </w:pPr>
            <w:r>
              <w:rPr>
                <w:b w:val="0"/>
                <w:i w:val="0"/>
                <w:color w:val="C0392B"/>
                <w:sz w:val="18"/>
              </w:rPr>
              <w:t>-0.01%</w:t>
            </w:r>
          </w:p>
        </w:tc>
        <w:tc>
          <w:tcPr>
            <w:tcW w:type="dxa" w:w="1735"/>
            <w:vAlign w:val="center"/>
          </w:tcPr>
          <w:p>
            <w:pPr>
              <w:jc w:val="right"/>
            </w:pPr>
            <w:r>
              <w:rPr>
                <w:b w:val="0"/>
                <w:i w:val="0"/>
                <w:color w:val="0B7A3E"/>
                <w:sz w:val="18"/>
              </w:rPr>
              <w:t>+0.13%</w:t>
            </w:r>
          </w:p>
        </w:tc>
      </w:tr>
      <w:tr>
        <w:tc>
          <w:tcPr>
            <w:tcW w:type="dxa" w:w="2699"/>
            <w:vAlign w:val="center"/>
            <w:shd w:val="clear" w:color="auto" w:fill="F3F2EE"/>
          </w:tcPr>
          <w:p>
            <w:pPr>
              <w:jc w:val="left"/>
            </w:pPr>
            <w:r>
              <w:rPr>
                <w:b/>
                <w:i w:val="0"/>
                <w:color w:val="1B1B1B"/>
                <w:sz w:val="18"/>
              </w:rPr>
              <w:t>Total</w:t>
            </w:r>
          </w:p>
        </w:tc>
        <w:tc>
          <w:tcPr>
            <w:tcW w:type="dxa" w:w="1735"/>
            <w:vAlign w:val="center"/>
            <w:shd w:val="clear" w:color="auto" w:fill="F3F2EE"/>
          </w:tcPr>
          <w:p>
            <w:pPr>
              <w:jc w:val="right"/>
            </w:pPr>
            <w:r>
              <w:rPr>
                <w:b/>
                <w:i w:val="0"/>
                <w:color w:val="0B7A3E"/>
                <w:sz w:val="18"/>
              </w:rPr>
              <w:t>+0.21%</w:t>
            </w:r>
          </w:p>
        </w:tc>
        <w:tc>
          <w:tcPr>
            <w:tcW w:type="dxa" w:w="1735"/>
            <w:vAlign w:val="center"/>
            <w:shd w:val="clear" w:color="auto" w:fill="F3F2EE"/>
          </w:tcPr>
          <w:p>
            <w:pPr>
              <w:jc w:val="right"/>
            </w:pPr>
            <w:r>
              <w:rPr>
                <w:b/>
                <w:i w:val="0"/>
                <w:color w:val="C0392B"/>
                <w:sz w:val="18"/>
              </w:rPr>
              <w:t>-0.79%</w:t>
            </w:r>
          </w:p>
        </w:tc>
        <w:tc>
          <w:tcPr>
            <w:tcW w:type="dxa" w:w="1735"/>
            <w:vAlign w:val="center"/>
            <w:shd w:val="clear" w:color="auto" w:fill="F3F2EE"/>
          </w:tcPr>
          <w:p>
            <w:pPr>
              <w:jc w:val="right"/>
            </w:pPr>
            <w:r>
              <w:rPr>
                <w:b/>
                <w:i w:val="0"/>
                <w:color w:val="C0392B"/>
                <w:sz w:val="18"/>
              </w:rPr>
              <w:t>-0.10%</w:t>
            </w:r>
          </w:p>
        </w:tc>
        <w:tc>
          <w:tcPr>
            <w:tcW w:type="dxa" w:w="1735"/>
            <w:vAlign w:val="center"/>
            <w:shd w:val="clear" w:color="auto" w:fill="F3F2EE"/>
          </w:tcPr>
          <w:p>
            <w:pPr>
              <w:jc w:val="right"/>
            </w:pPr>
            <w:r>
              <w:rPr>
                <w:b/>
                <w:i w:val="0"/>
                <w:color w:val="C0392B"/>
                <w:sz w:val="18"/>
              </w:rPr>
              <w:t>-0.68%</w:t>
            </w:r>
          </w:p>
        </w:tc>
      </w:tr>
    </w:tbl>
    <w:p>
      <w:pPr>
        <w:spacing w:before="60"/>
      </w:pPr>
      <w:r>
        <w:rPr>
          <w:b w:val="0"/>
          <w:i/>
          <w:color w:val="8A8984"/>
          <w:sz w:val="16"/>
        </w:rPr>
        <w:t>Brinson-Fachler attribution, monthly effects Carino-linked so they sum exactly to the compounded excess return (-0.68%).</w:t>
      </w:r>
    </w:p>
    <w:p/>
    <w:p>
      <w:pPr>
        <w:pStyle w:val="Heading1"/>
      </w:pPr>
      <w:r>
        <w:t>Asset allocation vs strategy</w:t>
      </w:r>
    </w:p>
    <w:p>
      <w:pPr>
        <w:pStyle w:val="Heading2"/>
      </w:pPr>
      <w:r>
        <w:t>Actual vs strategic allocation</w:t>
      </w:r>
    </w:p>
    <w:p>
      <w:r>
        <w:drawing>
          <wp:inline xmlns:a="http://schemas.openxmlformats.org/drawingml/2006/main" xmlns:pic="http://schemas.openxmlformats.org/drawingml/2006/picture">
            <wp:extent cx="6120000" cy="2465000"/>
            <wp:docPr id="3" name="Picture 3"/>
            <wp:cNvGraphicFramePr>
              <a:graphicFrameLocks noChangeAspect="1"/>
            </wp:cNvGraphicFramePr>
            <a:graphic>
              <a:graphicData uri="http://schemas.openxmlformats.org/drawingml/2006/picture">
                <pic:pic>
                  <pic:nvPicPr>
                    <pic:cNvPr id="0" name="allocation.png"/>
                    <pic:cNvPicPr/>
                  </pic:nvPicPr>
                  <pic:blipFill>
                    <a:blip r:embed="rId12"/>
                    <a:stretch>
                      <a:fillRect/>
                    </a:stretch>
                  </pic:blipFill>
                  <pic:spPr>
                    <a:xfrm>
                      <a:off x="0" y="0"/>
                      <a:ext cx="6120000" cy="2465000"/>
                    </a:xfrm>
                    <a:prstGeom prst="rect"/>
                  </pic:spPr>
                </pic:pic>
              </a:graphicData>
            </a:graphic>
          </wp:inline>
        </w:drawing>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single" w:sz="4" w:color="D9D7D0"/>
          <w:insideV w:val="nil" w:sz="4" w:color="D9D7D0"/>
        </w:tblBorders>
        <w:tblCellMar>
          <w:top w:w="60" w:type="dxa"/>
          <w:bottom w:w="60" w:type="dxa"/>
          <w:left w:w="90" w:type="dxa"/>
          <w:right w:w="90" w:type="dxa"/>
        </w:tblCellMar>
      </w:tblPr>
      <w:tblGrid>
        <w:gridCol w:w="1928"/>
        <w:gridCol w:w="1928"/>
        <w:gridCol w:w="1928"/>
        <w:gridCol w:w="1928"/>
        <w:gridCol w:w="1928"/>
      </w:tblGrid>
      <w:tr>
        <w:trPr>
          <w:tblHeader w:val="true"/>
        </w:trPr>
        <w:tc>
          <w:tcPr>
            <w:tcW w:type="dxa" w:w="2699"/>
            <w:shd w:val="clear" w:color="auto" w:fill="17324D"/>
          </w:tcPr>
          <w:p>
            <w:pPr>
              <w:jc w:val="left"/>
            </w:pPr>
            <w:r>
              <w:rPr>
                <w:b/>
                <w:i w:val="0"/>
                <w:color w:val="FFFFFF"/>
                <w:sz w:val="17"/>
              </w:rPr>
              <w:t>Mandate</w:t>
            </w:r>
          </w:p>
        </w:tc>
        <w:tc>
          <w:tcPr>
            <w:tcW w:type="dxa" w:w="1735"/>
            <w:shd w:val="clear" w:color="auto" w:fill="17324D"/>
          </w:tcPr>
          <w:p>
            <w:pPr>
              <w:jc w:val="right"/>
            </w:pPr>
            <w:r>
              <w:rPr>
                <w:b/>
                <w:i w:val="0"/>
                <w:color w:val="FFFFFF"/>
                <w:sz w:val="17"/>
              </w:rPr>
              <w:t>Value</w:t>
            </w:r>
          </w:p>
        </w:tc>
        <w:tc>
          <w:tcPr>
            <w:tcW w:type="dxa" w:w="1735"/>
            <w:shd w:val="clear" w:color="auto" w:fill="17324D"/>
          </w:tcPr>
          <w:p>
            <w:pPr>
              <w:jc w:val="right"/>
            </w:pPr>
            <w:r>
              <w:rPr>
                <w:b/>
                <w:i w:val="0"/>
                <w:color w:val="FFFFFF"/>
                <w:sz w:val="17"/>
              </w:rPr>
              <w:t>Actual</w:t>
            </w:r>
          </w:p>
        </w:tc>
        <w:tc>
          <w:tcPr>
            <w:tcW w:type="dxa" w:w="1735"/>
            <w:shd w:val="clear" w:color="auto" w:fill="17324D"/>
          </w:tcPr>
          <w:p>
            <w:pPr>
              <w:jc w:val="right"/>
            </w:pPr>
            <w:r>
              <w:rPr>
                <w:b/>
                <w:i w:val="0"/>
                <w:color w:val="FFFFFF"/>
                <w:sz w:val="17"/>
              </w:rPr>
              <w:t>Target</w:t>
            </w:r>
          </w:p>
        </w:tc>
        <w:tc>
          <w:tcPr>
            <w:tcW w:type="dxa" w:w="1735"/>
            <w:shd w:val="clear" w:color="auto" w:fill="17324D"/>
          </w:tcPr>
          <w:p>
            <w:pPr>
              <w:jc w:val="right"/>
            </w:pPr>
            <w:r>
              <w:rPr>
                <w:b/>
                <w:i w:val="0"/>
                <w:color w:val="FFFFFF"/>
                <w:sz w:val="17"/>
              </w:rPr>
              <w:t>Deviation</w:t>
            </w:r>
          </w:p>
        </w:tc>
      </w:tr>
      <w:tr>
        <w:tc>
          <w:tcPr>
            <w:tcW w:type="dxa" w:w="2699"/>
            <w:vAlign w:val="center"/>
          </w:tcPr>
          <w:p>
            <w:pPr>
              <w:jc w:val="left"/>
            </w:pPr>
            <w:r>
              <w:rPr>
                <w:b w:val="0"/>
                <w:i w:val="0"/>
                <w:color w:val="1B1B1B"/>
                <w:sz w:val="18"/>
              </w:rPr>
              <w:t>Global Equity</w:t>
            </w:r>
          </w:p>
        </w:tc>
        <w:tc>
          <w:tcPr>
            <w:tcW w:type="dxa" w:w="1735"/>
            <w:vAlign w:val="center"/>
          </w:tcPr>
          <w:p>
            <w:pPr>
              <w:jc w:val="right"/>
            </w:pPr>
            <w:r>
              <w:rPr>
                <w:b w:val="0"/>
                <w:i w:val="0"/>
                <w:color w:val="1B1B1B"/>
                <w:sz w:val="18"/>
              </w:rPr>
              <w:t>£429.0m</w:t>
            </w:r>
          </w:p>
        </w:tc>
        <w:tc>
          <w:tcPr>
            <w:tcW w:type="dxa" w:w="1735"/>
            <w:vAlign w:val="center"/>
          </w:tcPr>
          <w:p>
            <w:pPr>
              <w:jc w:val="right"/>
            </w:pPr>
            <w:r>
              <w:rPr>
                <w:b w:val="0"/>
                <w:i w:val="0"/>
                <w:color w:val="1B1B1B"/>
                <w:sz w:val="18"/>
              </w:rPr>
              <w:t>27.92%</w:t>
            </w:r>
          </w:p>
        </w:tc>
        <w:tc>
          <w:tcPr>
            <w:tcW w:type="dxa" w:w="1735"/>
            <w:vAlign w:val="center"/>
          </w:tcPr>
          <w:p>
            <w:pPr>
              <w:jc w:val="right"/>
            </w:pPr>
            <w:r>
              <w:rPr>
                <w:b w:val="0"/>
                <w:i w:val="0"/>
                <w:color w:val="1B1B1B"/>
                <w:sz w:val="18"/>
              </w:rPr>
              <w:t>25.00%</w:t>
            </w:r>
          </w:p>
        </w:tc>
        <w:tc>
          <w:tcPr>
            <w:tcW w:type="dxa" w:w="1735"/>
            <w:vAlign w:val="center"/>
          </w:tcPr>
          <w:p>
            <w:pPr>
              <w:jc w:val="right"/>
            </w:pPr>
            <w:r>
              <w:rPr>
                <w:b w:val="0"/>
                <w:i w:val="0"/>
                <w:color w:val="1B1B1B"/>
                <w:sz w:val="18"/>
              </w:rPr>
              <w:t>+2.92%</w:t>
            </w:r>
          </w:p>
        </w:tc>
      </w:tr>
      <w:tr>
        <w:tc>
          <w:tcPr>
            <w:tcW w:type="dxa" w:w="2699"/>
            <w:vAlign w:val="center"/>
          </w:tcPr>
          <w:p>
            <w:pPr>
              <w:jc w:val="left"/>
            </w:pPr>
            <w:r>
              <w:rPr>
                <w:b w:val="0"/>
                <w:i w:val="0"/>
                <w:color w:val="1B1B1B"/>
                <w:sz w:val="18"/>
              </w:rPr>
              <w:t>Emerging Markets Equity</w:t>
            </w:r>
          </w:p>
        </w:tc>
        <w:tc>
          <w:tcPr>
            <w:tcW w:type="dxa" w:w="1735"/>
            <w:vAlign w:val="center"/>
          </w:tcPr>
          <w:p>
            <w:pPr>
              <w:jc w:val="right"/>
            </w:pPr>
            <w:r>
              <w:rPr>
                <w:b w:val="0"/>
                <w:i w:val="0"/>
                <w:color w:val="1B1B1B"/>
                <w:sz w:val="18"/>
              </w:rPr>
              <w:t>£155.2m</w:t>
            </w:r>
          </w:p>
        </w:tc>
        <w:tc>
          <w:tcPr>
            <w:tcW w:type="dxa" w:w="1735"/>
            <w:vAlign w:val="center"/>
          </w:tcPr>
          <w:p>
            <w:pPr>
              <w:jc w:val="right"/>
            </w:pPr>
            <w:r>
              <w:rPr>
                <w:b w:val="0"/>
                <w:i w:val="0"/>
                <w:color w:val="1B1B1B"/>
                <w:sz w:val="18"/>
              </w:rPr>
              <w:t>10.10%</w:t>
            </w:r>
          </w:p>
        </w:tc>
        <w:tc>
          <w:tcPr>
            <w:tcW w:type="dxa" w:w="1735"/>
            <w:vAlign w:val="center"/>
          </w:tcPr>
          <w:p>
            <w:pPr>
              <w:jc w:val="right"/>
            </w:pPr>
            <w:r>
              <w:rPr>
                <w:b w:val="0"/>
                <w:i w:val="0"/>
                <w:color w:val="1B1B1B"/>
                <w:sz w:val="18"/>
              </w:rPr>
              <w:t>10.00%</w:t>
            </w:r>
          </w:p>
        </w:tc>
        <w:tc>
          <w:tcPr>
            <w:tcW w:type="dxa" w:w="1735"/>
            <w:vAlign w:val="center"/>
          </w:tcPr>
          <w:p>
            <w:pPr>
              <w:jc w:val="right"/>
            </w:pPr>
            <w:r>
              <w:rPr>
                <w:b w:val="0"/>
                <w:i w:val="0"/>
                <w:color w:val="1B1B1B"/>
                <w:sz w:val="18"/>
              </w:rPr>
              <w:t>+0.10%</w:t>
            </w:r>
          </w:p>
        </w:tc>
      </w:tr>
      <w:tr>
        <w:tc>
          <w:tcPr>
            <w:tcW w:type="dxa" w:w="2699"/>
            <w:vAlign w:val="center"/>
          </w:tcPr>
          <w:p>
            <w:pPr>
              <w:jc w:val="left"/>
            </w:pPr>
            <w:r>
              <w:rPr>
                <w:b w:val="0"/>
                <w:i w:val="0"/>
                <w:color w:val="1B1B1B"/>
                <w:sz w:val="18"/>
              </w:rPr>
              <w:t>Diversified Growth</w:t>
            </w:r>
          </w:p>
        </w:tc>
        <w:tc>
          <w:tcPr>
            <w:tcW w:type="dxa" w:w="1735"/>
            <w:vAlign w:val="center"/>
          </w:tcPr>
          <w:p>
            <w:pPr>
              <w:jc w:val="right"/>
            </w:pPr>
            <w:r>
              <w:rPr>
                <w:b w:val="0"/>
                <w:i w:val="0"/>
                <w:color w:val="1B1B1B"/>
                <w:sz w:val="18"/>
              </w:rPr>
              <w:t>£156.3m</w:t>
            </w:r>
          </w:p>
        </w:tc>
        <w:tc>
          <w:tcPr>
            <w:tcW w:type="dxa" w:w="1735"/>
            <w:vAlign w:val="center"/>
          </w:tcPr>
          <w:p>
            <w:pPr>
              <w:jc w:val="right"/>
            </w:pPr>
            <w:r>
              <w:rPr>
                <w:b w:val="0"/>
                <w:i w:val="0"/>
                <w:color w:val="1B1B1B"/>
                <w:sz w:val="18"/>
              </w:rPr>
              <w:t>10.17%</w:t>
            </w:r>
          </w:p>
        </w:tc>
        <w:tc>
          <w:tcPr>
            <w:tcW w:type="dxa" w:w="1735"/>
            <w:vAlign w:val="center"/>
          </w:tcPr>
          <w:p>
            <w:pPr>
              <w:jc w:val="right"/>
            </w:pPr>
            <w:r>
              <w:rPr>
                <w:b w:val="0"/>
                <w:i w:val="0"/>
                <w:color w:val="1B1B1B"/>
                <w:sz w:val="18"/>
              </w:rPr>
              <w:t>10.00%</w:t>
            </w:r>
          </w:p>
        </w:tc>
        <w:tc>
          <w:tcPr>
            <w:tcW w:type="dxa" w:w="1735"/>
            <w:vAlign w:val="center"/>
          </w:tcPr>
          <w:p>
            <w:pPr>
              <w:jc w:val="right"/>
            </w:pPr>
            <w:r>
              <w:rPr>
                <w:b w:val="0"/>
                <w:i w:val="0"/>
                <w:color w:val="1B1B1B"/>
                <w:sz w:val="18"/>
              </w:rPr>
              <w:t>+0.17%</w:t>
            </w:r>
          </w:p>
        </w:tc>
      </w:tr>
      <w:tr>
        <w:tc>
          <w:tcPr>
            <w:tcW w:type="dxa" w:w="2699"/>
            <w:vAlign w:val="center"/>
          </w:tcPr>
          <w:p>
            <w:pPr>
              <w:jc w:val="left"/>
            </w:pPr>
            <w:r>
              <w:rPr>
                <w:b w:val="0"/>
                <w:i w:val="0"/>
                <w:color w:val="1B1B1B"/>
                <w:sz w:val="18"/>
              </w:rPr>
              <w:t>UK Property</w:t>
            </w:r>
          </w:p>
        </w:tc>
        <w:tc>
          <w:tcPr>
            <w:tcW w:type="dxa" w:w="1735"/>
            <w:vAlign w:val="center"/>
          </w:tcPr>
          <w:p>
            <w:pPr>
              <w:jc w:val="right"/>
            </w:pPr>
            <w:r>
              <w:rPr>
                <w:b w:val="0"/>
                <w:i w:val="0"/>
                <w:color w:val="1B1B1B"/>
                <w:sz w:val="18"/>
              </w:rPr>
              <w:t>£156.6m</w:t>
            </w:r>
          </w:p>
        </w:tc>
        <w:tc>
          <w:tcPr>
            <w:tcW w:type="dxa" w:w="1735"/>
            <w:vAlign w:val="center"/>
          </w:tcPr>
          <w:p>
            <w:pPr>
              <w:jc w:val="right"/>
            </w:pPr>
            <w:r>
              <w:rPr>
                <w:b w:val="0"/>
                <w:i w:val="0"/>
                <w:color w:val="1B1B1B"/>
                <w:sz w:val="18"/>
              </w:rPr>
              <w:t>10.19%</w:t>
            </w:r>
          </w:p>
        </w:tc>
        <w:tc>
          <w:tcPr>
            <w:tcW w:type="dxa" w:w="1735"/>
            <w:vAlign w:val="center"/>
          </w:tcPr>
          <w:p>
            <w:pPr>
              <w:jc w:val="right"/>
            </w:pPr>
            <w:r>
              <w:rPr>
                <w:b w:val="0"/>
                <w:i w:val="0"/>
                <w:color w:val="1B1B1B"/>
                <w:sz w:val="18"/>
              </w:rPr>
              <w:t>10.00%</w:t>
            </w:r>
          </w:p>
        </w:tc>
        <w:tc>
          <w:tcPr>
            <w:tcW w:type="dxa" w:w="1735"/>
            <w:vAlign w:val="center"/>
          </w:tcPr>
          <w:p>
            <w:pPr>
              <w:jc w:val="right"/>
            </w:pPr>
            <w:r>
              <w:rPr>
                <w:b w:val="0"/>
                <w:i w:val="0"/>
                <w:color w:val="1B1B1B"/>
                <w:sz w:val="18"/>
              </w:rPr>
              <w:t>+0.19%</w:t>
            </w:r>
          </w:p>
        </w:tc>
      </w:tr>
      <w:tr>
        <w:tc>
          <w:tcPr>
            <w:tcW w:type="dxa" w:w="2699"/>
            <w:vAlign w:val="center"/>
          </w:tcPr>
          <w:p>
            <w:pPr>
              <w:jc w:val="left"/>
            </w:pPr>
            <w:r>
              <w:rPr>
                <w:b w:val="0"/>
                <w:i w:val="0"/>
                <w:color w:val="1B1B1B"/>
                <w:sz w:val="18"/>
              </w:rPr>
              <w:t>Buy &amp; Maintain Credit</w:t>
            </w:r>
          </w:p>
        </w:tc>
        <w:tc>
          <w:tcPr>
            <w:tcW w:type="dxa" w:w="1735"/>
            <w:vAlign w:val="center"/>
          </w:tcPr>
          <w:p>
            <w:pPr>
              <w:jc w:val="right"/>
            </w:pPr>
            <w:r>
              <w:rPr>
                <w:b w:val="0"/>
                <w:i w:val="0"/>
                <w:color w:val="1B1B1B"/>
                <w:sz w:val="18"/>
              </w:rPr>
              <w:t>£216.7m</w:t>
            </w:r>
          </w:p>
        </w:tc>
        <w:tc>
          <w:tcPr>
            <w:tcW w:type="dxa" w:w="1735"/>
            <w:vAlign w:val="center"/>
          </w:tcPr>
          <w:p>
            <w:pPr>
              <w:jc w:val="right"/>
            </w:pPr>
            <w:r>
              <w:rPr>
                <w:b w:val="0"/>
                <w:i w:val="0"/>
                <w:color w:val="1B1B1B"/>
                <w:sz w:val="18"/>
              </w:rPr>
              <w:t>14.10%</w:t>
            </w:r>
          </w:p>
        </w:tc>
        <w:tc>
          <w:tcPr>
            <w:tcW w:type="dxa" w:w="1735"/>
            <w:vAlign w:val="center"/>
          </w:tcPr>
          <w:p>
            <w:pPr>
              <w:jc w:val="right"/>
            </w:pPr>
            <w:r>
              <w:rPr>
                <w:b w:val="0"/>
                <w:i w:val="0"/>
                <w:color w:val="1B1B1B"/>
                <w:sz w:val="18"/>
              </w:rPr>
              <w:t>15.00%</w:t>
            </w:r>
          </w:p>
        </w:tc>
        <w:tc>
          <w:tcPr>
            <w:tcW w:type="dxa" w:w="1735"/>
            <w:vAlign w:val="center"/>
          </w:tcPr>
          <w:p>
            <w:pPr>
              <w:jc w:val="right"/>
            </w:pPr>
            <w:r>
              <w:rPr>
                <w:b w:val="0"/>
                <w:i w:val="0"/>
                <w:color w:val="1B1B1B"/>
                <w:sz w:val="18"/>
              </w:rPr>
              <w:t>-0.90%</w:t>
            </w:r>
          </w:p>
        </w:tc>
      </w:tr>
      <w:tr>
        <w:tc>
          <w:tcPr>
            <w:tcW w:type="dxa" w:w="2699"/>
            <w:vAlign w:val="center"/>
          </w:tcPr>
          <w:p>
            <w:pPr>
              <w:jc w:val="left"/>
            </w:pPr>
            <w:r>
              <w:rPr>
                <w:b w:val="0"/>
                <w:i w:val="0"/>
                <w:color w:val="1B1B1B"/>
                <w:sz w:val="18"/>
              </w:rPr>
              <w:t>Liability Driven Investment</w:t>
            </w:r>
          </w:p>
        </w:tc>
        <w:tc>
          <w:tcPr>
            <w:tcW w:type="dxa" w:w="1735"/>
            <w:vAlign w:val="center"/>
          </w:tcPr>
          <w:p>
            <w:pPr>
              <w:jc w:val="right"/>
            </w:pPr>
            <w:r>
              <w:rPr>
                <w:b w:val="0"/>
                <w:i w:val="0"/>
                <w:color w:val="1B1B1B"/>
                <w:sz w:val="18"/>
              </w:rPr>
              <w:t>£422.9m</w:t>
            </w:r>
          </w:p>
        </w:tc>
        <w:tc>
          <w:tcPr>
            <w:tcW w:type="dxa" w:w="1735"/>
            <w:vAlign w:val="center"/>
          </w:tcPr>
          <w:p>
            <w:pPr>
              <w:jc w:val="right"/>
            </w:pPr>
            <w:r>
              <w:rPr>
                <w:b w:val="0"/>
                <w:i w:val="0"/>
                <w:color w:val="1B1B1B"/>
                <w:sz w:val="18"/>
              </w:rPr>
              <w:t>27.52%</w:t>
            </w:r>
          </w:p>
        </w:tc>
        <w:tc>
          <w:tcPr>
            <w:tcW w:type="dxa" w:w="1735"/>
            <w:vAlign w:val="center"/>
          </w:tcPr>
          <w:p>
            <w:pPr>
              <w:jc w:val="right"/>
            </w:pPr>
            <w:r>
              <w:rPr>
                <w:b w:val="0"/>
                <w:i w:val="0"/>
                <w:color w:val="1B1B1B"/>
                <w:sz w:val="18"/>
              </w:rPr>
              <w:t>30.00%</w:t>
            </w:r>
          </w:p>
        </w:tc>
        <w:tc>
          <w:tcPr>
            <w:tcW w:type="dxa" w:w="1735"/>
            <w:vAlign w:val="center"/>
          </w:tcPr>
          <w:p>
            <w:pPr>
              <w:jc w:val="right"/>
            </w:pPr>
            <w:r>
              <w:rPr>
                <w:b w:val="0"/>
                <w:i w:val="0"/>
                <w:color w:val="1B1B1B"/>
                <w:sz w:val="18"/>
              </w:rPr>
              <w:t>-2.48%</w:t>
            </w:r>
          </w:p>
        </w:tc>
      </w:tr>
      <w:tr>
        <w:tc>
          <w:tcPr>
            <w:tcW w:type="dxa" w:w="2699"/>
            <w:vAlign w:val="center"/>
            <w:shd w:val="clear" w:color="auto" w:fill="F3F2EE"/>
          </w:tcPr>
          <w:p>
            <w:pPr>
              <w:jc w:val="left"/>
            </w:pPr>
            <w:r>
              <w:rPr>
                <w:b/>
                <w:i w:val="0"/>
                <w:color w:val="1B1B1B"/>
                <w:sz w:val="18"/>
              </w:rPr>
              <w:t>Total fund</w:t>
            </w:r>
          </w:p>
        </w:tc>
        <w:tc>
          <w:tcPr>
            <w:tcW w:type="dxa" w:w="1735"/>
            <w:vAlign w:val="center"/>
            <w:shd w:val="clear" w:color="auto" w:fill="F3F2EE"/>
          </w:tcPr>
          <w:p>
            <w:pPr>
              <w:jc w:val="right"/>
            </w:pPr>
            <w:r>
              <w:rPr>
                <w:b/>
                <w:i w:val="0"/>
                <w:color w:val="1B1B1B"/>
                <w:sz w:val="18"/>
              </w:rPr>
              <w:t>£1.54bn</w:t>
            </w:r>
          </w:p>
        </w:tc>
        <w:tc>
          <w:tcPr>
            <w:tcW w:type="dxa" w:w="1735"/>
            <w:vAlign w:val="center"/>
            <w:shd w:val="clear" w:color="auto" w:fill="F3F2EE"/>
          </w:tcPr>
          <w:p>
            <w:pPr>
              <w:jc w:val="right"/>
            </w:pPr>
            <w:r>
              <w:rPr>
                <w:b/>
                <w:i w:val="0"/>
                <w:color w:val="1B1B1B"/>
                <w:sz w:val="18"/>
              </w:rPr>
              <w:t>100.00%</w:t>
            </w:r>
          </w:p>
        </w:tc>
        <w:tc>
          <w:tcPr>
            <w:tcW w:type="dxa" w:w="1735"/>
            <w:vAlign w:val="center"/>
            <w:shd w:val="clear" w:color="auto" w:fill="F3F2EE"/>
          </w:tcPr>
          <w:p>
            <w:pPr>
              <w:jc w:val="right"/>
            </w:pPr>
            <w:r>
              <w:rPr>
                <w:b/>
                <w:i w:val="0"/>
                <w:color w:val="1B1B1B"/>
                <w:sz w:val="18"/>
              </w:rPr>
              <w:t>100.00%</w:t>
            </w:r>
          </w:p>
        </w:tc>
        <w:tc>
          <w:tcPr>
            <w:tcW w:type="dxa" w:w="1735"/>
            <w:vAlign w:val="center"/>
          </w:tcPr>
          <w:p>
            <w:pPr>
              <w:jc w:val="right"/>
            </w:pPr>
            <w:r>
              <w:rPr>
                <w:b w:val="0"/>
                <w:i w:val="0"/>
                <w:color w:val="1B1B1B"/>
                <w:sz w:val="18"/>
              </w:rPr>
            </w:r>
          </w:p>
        </w:tc>
      </w:tr>
    </w:tbl>
    <w:p/>
    <w:p>
      <w:pPr>
        <w:pStyle w:val="Heading1"/>
      </w:pPr>
      <w:r>
        <w:t>Risk (3 years, annualised)</w:t>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single" w:sz="4" w:color="D9D7D0"/>
          <w:insideV w:val="nil" w:sz="4" w:color="D9D7D0"/>
        </w:tblBorders>
        <w:tblCellMar>
          <w:top w:w="60" w:type="dxa"/>
          <w:bottom w:w="60" w:type="dxa"/>
          <w:left w:w="90" w:type="dxa"/>
          <w:right w:w="90" w:type="dxa"/>
        </w:tblCellMar>
      </w:tblPr>
      <w:tblGrid>
        <w:gridCol w:w="1606"/>
        <w:gridCol w:w="1606"/>
        <w:gridCol w:w="1606"/>
        <w:gridCol w:w="1606"/>
        <w:gridCol w:w="1606"/>
        <w:gridCol w:w="1606"/>
      </w:tblGrid>
      <w:tr>
        <w:trPr>
          <w:tblHeader w:val="true"/>
        </w:trPr>
        <w:tc>
          <w:tcPr>
            <w:tcW w:type="dxa" w:w="2699"/>
            <w:shd w:val="clear" w:color="auto" w:fill="17324D"/>
          </w:tcPr>
          <w:p>
            <w:pPr>
              <w:jc w:val="left"/>
            </w:pPr>
            <w:r>
              <w:rPr>
                <w:b/>
                <w:i w:val="0"/>
                <w:color w:val="FFFFFF"/>
                <w:sz w:val="17"/>
              </w:rPr>
              <w:t>Mandate</w:t>
            </w:r>
          </w:p>
        </w:tc>
        <w:tc>
          <w:tcPr>
            <w:tcW w:type="dxa" w:w="1388"/>
            <w:shd w:val="clear" w:color="auto" w:fill="17324D"/>
          </w:tcPr>
          <w:p>
            <w:pPr>
              <w:jc w:val="right"/>
            </w:pPr>
            <w:r>
              <w:rPr>
                <w:b/>
                <w:i w:val="0"/>
                <w:color w:val="FFFFFF"/>
                <w:sz w:val="17"/>
              </w:rPr>
              <w:t>Volatility</w:t>
            </w:r>
          </w:p>
        </w:tc>
        <w:tc>
          <w:tcPr>
            <w:tcW w:type="dxa" w:w="1388"/>
            <w:shd w:val="clear" w:color="auto" w:fill="17324D"/>
          </w:tcPr>
          <w:p>
            <w:pPr>
              <w:jc w:val="right"/>
            </w:pPr>
            <w:r>
              <w:rPr>
                <w:b/>
                <w:i w:val="0"/>
                <w:color w:val="FFFFFF"/>
                <w:sz w:val="17"/>
              </w:rPr>
              <w:t>Tracking error</w:t>
            </w:r>
          </w:p>
        </w:tc>
        <w:tc>
          <w:tcPr>
            <w:tcW w:type="dxa" w:w="1388"/>
            <w:shd w:val="clear" w:color="auto" w:fill="17324D"/>
          </w:tcPr>
          <w:p>
            <w:pPr>
              <w:jc w:val="right"/>
            </w:pPr>
            <w:r>
              <w:rPr>
                <w:b/>
                <w:i w:val="0"/>
                <w:color w:val="FFFFFF"/>
                <w:sz w:val="17"/>
              </w:rPr>
              <w:t>Information ratio</w:t>
            </w:r>
          </w:p>
        </w:tc>
        <w:tc>
          <w:tcPr>
            <w:tcW w:type="dxa" w:w="1388"/>
            <w:shd w:val="clear" w:color="auto" w:fill="17324D"/>
          </w:tcPr>
          <w:p>
            <w:pPr>
              <w:jc w:val="right"/>
            </w:pPr>
            <w:r>
              <w:rPr>
                <w:b/>
                <w:i w:val="0"/>
                <w:color w:val="FFFFFF"/>
                <w:sz w:val="17"/>
              </w:rPr>
              <w:t>Sharpe ratio</w:t>
            </w:r>
          </w:p>
        </w:tc>
        <w:tc>
          <w:tcPr>
            <w:tcW w:type="dxa" w:w="1388"/>
            <w:shd w:val="clear" w:color="auto" w:fill="17324D"/>
          </w:tcPr>
          <w:p>
            <w:pPr>
              <w:jc w:val="right"/>
            </w:pPr>
            <w:r>
              <w:rPr>
                <w:b/>
                <w:i w:val="0"/>
                <w:color w:val="FFFFFF"/>
                <w:sz w:val="17"/>
              </w:rPr>
              <w:t>Max drawdown</w:t>
            </w:r>
          </w:p>
        </w:tc>
      </w:tr>
      <w:tr>
        <w:tc>
          <w:tcPr>
            <w:tcW w:type="dxa" w:w="2699"/>
            <w:vAlign w:val="center"/>
          </w:tcPr>
          <w:p>
            <w:pPr>
              <w:jc w:val="left"/>
            </w:pPr>
            <w:r>
              <w:rPr>
                <w:b w:val="0"/>
                <w:i w:val="0"/>
                <w:color w:val="1B1B1B"/>
                <w:sz w:val="18"/>
              </w:rPr>
              <w:t>Global Equity</w:t>
            </w:r>
          </w:p>
        </w:tc>
        <w:tc>
          <w:tcPr>
            <w:tcW w:type="dxa" w:w="1388"/>
            <w:vAlign w:val="center"/>
          </w:tcPr>
          <w:p>
            <w:pPr>
              <w:jc w:val="right"/>
            </w:pPr>
            <w:r>
              <w:rPr>
                <w:b w:val="0"/>
                <w:i w:val="0"/>
                <w:color w:val="1B1B1B"/>
                <w:sz w:val="18"/>
              </w:rPr>
              <w:t>14.53%</w:t>
            </w:r>
          </w:p>
        </w:tc>
        <w:tc>
          <w:tcPr>
            <w:tcW w:type="dxa" w:w="1388"/>
            <w:vAlign w:val="center"/>
          </w:tcPr>
          <w:p>
            <w:pPr>
              <w:jc w:val="right"/>
            </w:pPr>
            <w:r>
              <w:rPr>
                <w:b w:val="0"/>
                <w:i w:val="0"/>
                <w:color w:val="1B1B1B"/>
                <w:sz w:val="18"/>
              </w:rPr>
              <w:t>3.80%</w:t>
            </w:r>
          </w:p>
        </w:tc>
        <w:tc>
          <w:tcPr>
            <w:tcW w:type="dxa" w:w="1388"/>
            <w:vAlign w:val="center"/>
          </w:tcPr>
          <w:p>
            <w:pPr>
              <w:jc w:val="right"/>
            </w:pPr>
            <w:r>
              <w:rPr>
                <w:b w:val="0"/>
                <w:i w:val="0"/>
                <w:color w:val="1B1B1B"/>
                <w:sz w:val="18"/>
              </w:rPr>
              <w:t>0.05</w:t>
            </w:r>
          </w:p>
        </w:tc>
        <w:tc>
          <w:tcPr>
            <w:tcW w:type="dxa" w:w="1388"/>
            <w:vAlign w:val="center"/>
          </w:tcPr>
          <w:p>
            <w:pPr>
              <w:jc w:val="right"/>
            </w:pPr>
            <w:r>
              <w:rPr>
                <w:b w:val="0"/>
                <w:i w:val="0"/>
                <w:color w:val="1B1B1B"/>
                <w:sz w:val="18"/>
              </w:rPr>
              <w:t>1.07</w:t>
            </w:r>
          </w:p>
        </w:tc>
        <w:tc>
          <w:tcPr>
            <w:tcW w:type="dxa" w:w="1388"/>
            <w:vAlign w:val="center"/>
          </w:tcPr>
          <w:p>
            <w:pPr>
              <w:jc w:val="right"/>
            </w:pPr>
            <w:r>
              <w:rPr>
                <w:b w:val="0"/>
                <w:i w:val="0"/>
                <w:color w:val="1B1B1B"/>
                <w:sz w:val="18"/>
              </w:rPr>
              <w:t>-9.70%</w:t>
            </w:r>
          </w:p>
        </w:tc>
      </w:tr>
      <w:tr>
        <w:tc>
          <w:tcPr>
            <w:tcW w:type="dxa" w:w="2699"/>
            <w:vAlign w:val="center"/>
          </w:tcPr>
          <w:p>
            <w:pPr>
              <w:jc w:val="left"/>
            </w:pPr>
            <w:r>
              <w:rPr>
                <w:b w:val="0"/>
                <w:i w:val="0"/>
                <w:color w:val="1B1B1B"/>
                <w:sz w:val="18"/>
              </w:rPr>
              <w:t>Emerging Markets Equity</w:t>
            </w:r>
          </w:p>
        </w:tc>
        <w:tc>
          <w:tcPr>
            <w:tcW w:type="dxa" w:w="1388"/>
            <w:vAlign w:val="center"/>
          </w:tcPr>
          <w:p>
            <w:pPr>
              <w:jc w:val="right"/>
            </w:pPr>
            <w:r>
              <w:rPr>
                <w:b w:val="0"/>
                <w:i w:val="0"/>
                <w:color w:val="1B1B1B"/>
                <w:sz w:val="18"/>
              </w:rPr>
              <w:t>17.89%</w:t>
            </w:r>
          </w:p>
        </w:tc>
        <w:tc>
          <w:tcPr>
            <w:tcW w:type="dxa" w:w="1388"/>
            <w:vAlign w:val="center"/>
          </w:tcPr>
          <w:p>
            <w:pPr>
              <w:jc w:val="right"/>
            </w:pPr>
            <w:r>
              <w:rPr>
                <w:b w:val="0"/>
                <w:i w:val="0"/>
                <w:color w:val="1B1B1B"/>
                <w:sz w:val="18"/>
              </w:rPr>
              <w:t>4.22%</w:t>
            </w:r>
          </w:p>
        </w:tc>
        <w:tc>
          <w:tcPr>
            <w:tcW w:type="dxa" w:w="1388"/>
            <w:vAlign w:val="center"/>
          </w:tcPr>
          <w:p>
            <w:pPr>
              <w:jc w:val="right"/>
            </w:pPr>
            <w:r>
              <w:rPr>
                <w:b w:val="0"/>
                <w:i w:val="0"/>
                <w:color w:val="1B1B1B"/>
                <w:sz w:val="18"/>
              </w:rPr>
              <w:t>-0.90</w:t>
            </w:r>
          </w:p>
        </w:tc>
        <w:tc>
          <w:tcPr>
            <w:tcW w:type="dxa" w:w="1388"/>
            <w:vAlign w:val="center"/>
          </w:tcPr>
          <w:p>
            <w:pPr>
              <w:jc w:val="right"/>
            </w:pPr>
            <w:r>
              <w:rPr>
                <w:b w:val="0"/>
                <w:i w:val="0"/>
                <w:color w:val="1B1B1B"/>
                <w:sz w:val="18"/>
              </w:rPr>
              <w:t>0.52</w:t>
            </w:r>
          </w:p>
        </w:tc>
        <w:tc>
          <w:tcPr>
            <w:tcW w:type="dxa" w:w="1388"/>
            <w:vAlign w:val="center"/>
          </w:tcPr>
          <w:p>
            <w:pPr>
              <w:jc w:val="right"/>
            </w:pPr>
            <w:r>
              <w:rPr>
                <w:b w:val="0"/>
                <w:i w:val="0"/>
                <w:color w:val="1B1B1B"/>
                <w:sz w:val="18"/>
              </w:rPr>
              <w:t>-8.86%</w:t>
            </w:r>
          </w:p>
        </w:tc>
      </w:tr>
      <w:tr>
        <w:tc>
          <w:tcPr>
            <w:tcW w:type="dxa" w:w="2699"/>
            <w:vAlign w:val="center"/>
          </w:tcPr>
          <w:p>
            <w:pPr>
              <w:jc w:val="left"/>
            </w:pPr>
            <w:r>
              <w:rPr>
                <w:b w:val="0"/>
                <w:i w:val="0"/>
                <w:color w:val="1B1B1B"/>
                <w:sz w:val="18"/>
              </w:rPr>
              <w:t>Diversified Growth</w:t>
            </w:r>
          </w:p>
        </w:tc>
        <w:tc>
          <w:tcPr>
            <w:tcW w:type="dxa" w:w="1388"/>
            <w:vAlign w:val="center"/>
          </w:tcPr>
          <w:p>
            <w:pPr>
              <w:jc w:val="right"/>
            </w:pPr>
            <w:r>
              <w:rPr>
                <w:b w:val="0"/>
                <w:i w:val="0"/>
                <w:color w:val="1B1B1B"/>
                <w:sz w:val="18"/>
              </w:rPr>
              <w:t>7.91%</w:t>
            </w:r>
          </w:p>
        </w:tc>
        <w:tc>
          <w:tcPr>
            <w:tcW w:type="dxa" w:w="1388"/>
            <w:vAlign w:val="center"/>
          </w:tcPr>
          <w:p>
            <w:pPr>
              <w:jc w:val="right"/>
            </w:pPr>
            <w:r>
              <w:rPr>
                <w:b w:val="0"/>
                <w:i w:val="0"/>
                <w:color w:val="1B1B1B"/>
                <w:sz w:val="18"/>
              </w:rPr>
              <w:t>2.82%</w:t>
            </w:r>
          </w:p>
        </w:tc>
        <w:tc>
          <w:tcPr>
            <w:tcW w:type="dxa" w:w="1388"/>
            <w:vAlign w:val="center"/>
          </w:tcPr>
          <w:p>
            <w:pPr>
              <w:jc w:val="right"/>
            </w:pPr>
            <w:r>
              <w:rPr>
                <w:b w:val="0"/>
                <w:i w:val="0"/>
                <w:color w:val="1B1B1B"/>
                <w:sz w:val="18"/>
              </w:rPr>
              <w:t>0.27</w:t>
            </w:r>
          </w:p>
        </w:tc>
        <w:tc>
          <w:tcPr>
            <w:tcW w:type="dxa" w:w="1388"/>
            <w:vAlign w:val="center"/>
          </w:tcPr>
          <w:p>
            <w:pPr>
              <w:jc w:val="right"/>
            </w:pPr>
            <w:r>
              <w:rPr>
                <w:b w:val="0"/>
                <w:i w:val="0"/>
                <w:color w:val="1B1B1B"/>
                <w:sz w:val="18"/>
              </w:rPr>
              <w:t>1.13</w:t>
            </w:r>
          </w:p>
        </w:tc>
        <w:tc>
          <w:tcPr>
            <w:tcW w:type="dxa" w:w="1388"/>
            <w:vAlign w:val="center"/>
          </w:tcPr>
          <w:p>
            <w:pPr>
              <w:jc w:val="right"/>
            </w:pPr>
            <w:r>
              <w:rPr>
                <w:b w:val="0"/>
                <w:i w:val="0"/>
                <w:color w:val="1B1B1B"/>
                <w:sz w:val="18"/>
              </w:rPr>
              <w:t>-4.05%</w:t>
            </w:r>
          </w:p>
        </w:tc>
      </w:tr>
      <w:tr>
        <w:tc>
          <w:tcPr>
            <w:tcW w:type="dxa" w:w="2699"/>
            <w:vAlign w:val="center"/>
          </w:tcPr>
          <w:p>
            <w:pPr>
              <w:jc w:val="left"/>
            </w:pPr>
            <w:r>
              <w:rPr>
                <w:b w:val="0"/>
                <w:i w:val="0"/>
                <w:color w:val="1B1B1B"/>
                <w:sz w:val="18"/>
              </w:rPr>
              <w:t>UK Property</w:t>
            </w:r>
          </w:p>
        </w:tc>
        <w:tc>
          <w:tcPr>
            <w:tcW w:type="dxa" w:w="1388"/>
            <w:vAlign w:val="center"/>
          </w:tcPr>
          <w:p>
            <w:pPr>
              <w:jc w:val="right"/>
            </w:pPr>
            <w:r>
              <w:rPr>
                <w:b w:val="0"/>
                <w:i w:val="0"/>
                <w:color w:val="1B1B1B"/>
                <w:sz w:val="18"/>
              </w:rPr>
              <w:t>7.85%</w:t>
            </w:r>
          </w:p>
        </w:tc>
        <w:tc>
          <w:tcPr>
            <w:tcW w:type="dxa" w:w="1388"/>
            <w:vAlign w:val="center"/>
          </w:tcPr>
          <w:p>
            <w:pPr>
              <w:jc w:val="right"/>
            </w:pPr>
            <w:r>
              <w:rPr>
                <w:b w:val="0"/>
                <w:i w:val="0"/>
                <w:color w:val="1B1B1B"/>
                <w:sz w:val="18"/>
              </w:rPr>
              <w:t>1.79%</w:t>
            </w:r>
          </w:p>
        </w:tc>
        <w:tc>
          <w:tcPr>
            <w:tcW w:type="dxa" w:w="1388"/>
            <w:vAlign w:val="center"/>
          </w:tcPr>
          <w:p>
            <w:pPr>
              <w:jc w:val="right"/>
            </w:pPr>
            <w:r>
              <w:rPr>
                <w:b w:val="0"/>
                <w:i w:val="0"/>
                <w:color w:val="1B1B1B"/>
                <w:sz w:val="18"/>
              </w:rPr>
              <w:t>0.89</w:t>
            </w:r>
          </w:p>
        </w:tc>
        <w:tc>
          <w:tcPr>
            <w:tcW w:type="dxa" w:w="1388"/>
            <w:vAlign w:val="center"/>
          </w:tcPr>
          <w:p>
            <w:pPr>
              <w:jc w:val="right"/>
            </w:pPr>
            <w:r>
              <w:rPr>
                <w:b w:val="0"/>
                <w:i w:val="0"/>
                <w:color w:val="1B1B1B"/>
                <w:sz w:val="18"/>
              </w:rPr>
              <w:t>1.90</w:t>
            </w:r>
          </w:p>
        </w:tc>
        <w:tc>
          <w:tcPr>
            <w:tcW w:type="dxa" w:w="1388"/>
            <w:vAlign w:val="center"/>
          </w:tcPr>
          <w:p>
            <w:pPr>
              <w:jc w:val="right"/>
            </w:pPr>
            <w:r>
              <w:rPr>
                <w:b w:val="0"/>
                <w:i w:val="0"/>
                <w:color w:val="1B1B1B"/>
                <w:sz w:val="18"/>
              </w:rPr>
              <w:t>-2.35%</w:t>
            </w:r>
          </w:p>
        </w:tc>
      </w:tr>
      <w:tr>
        <w:tc>
          <w:tcPr>
            <w:tcW w:type="dxa" w:w="2699"/>
            <w:vAlign w:val="center"/>
          </w:tcPr>
          <w:p>
            <w:pPr>
              <w:jc w:val="left"/>
            </w:pPr>
            <w:r>
              <w:rPr>
                <w:b w:val="0"/>
                <w:i w:val="0"/>
                <w:color w:val="1B1B1B"/>
                <w:sz w:val="18"/>
              </w:rPr>
              <w:t>Buy &amp; Maintain Credit</w:t>
            </w:r>
          </w:p>
        </w:tc>
        <w:tc>
          <w:tcPr>
            <w:tcW w:type="dxa" w:w="1388"/>
            <w:vAlign w:val="center"/>
          </w:tcPr>
          <w:p>
            <w:pPr>
              <w:jc w:val="right"/>
            </w:pPr>
            <w:r>
              <w:rPr>
                <w:b w:val="0"/>
                <w:i w:val="0"/>
                <w:color w:val="1B1B1B"/>
                <w:sz w:val="18"/>
              </w:rPr>
              <w:t>6.91%</w:t>
            </w:r>
          </w:p>
        </w:tc>
        <w:tc>
          <w:tcPr>
            <w:tcW w:type="dxa" w:w="1388"/>
            <w:vAlign w:val="center"/>
          </w:tcPr>
          <w:p>
            <w:pPr>
              <w:jc w:val="right"/>
            </w:pPr>
            <w:r>
              <w:rPr>
                <w:b w:val="0"/>
                <w:i w:val="0"/>
                <w:color w:val="1B1B1B"/>
                <w:sz w:val="18"/>
              </w:rPr>
              <w:t>0.82%</w:t>
            </w:r>
          </w:p>
        </w:tc>
        <w:tc>
          <w:tcPr>
            <w:tcW w:type="dxa" w:w="1388"/>
            <w:vAlign w:val="center"/>
          </w:tcPr>
          <w:p>
            <w:pPr>
              <w:jc w:val="right"/>
            </w:pPr>
            <w:r>
              <w:rPr>
                <w:b w:val="0"/>
                <w:i w:val="0"/>
                <w:color w:val="1B1B1B"/>
                <w:sz w:val="18"/>
              </w:rPr>
              <w:t>1.68</w:t>
            </w:r>
          </w:p>
        </w:tc>
        <w:tc>
          <w:tcPr>
            <w:tcW w:type="dxa" w:w="1388"/>
            <w:vAlign w:val="center"/>
          </w:tcPr>
          <w:p>
            <w:pPr>
              <w:jc w:val="right"/>
            </w:pPr>
            <w:r>
              <w:rPr>
                <w:b w:val="0"/>
                <w:i w:val="0"/>
                <w:color w:val="1B1B1B"/>
                <w:sz w:val="18"/>
              </w:rPr>
              <w:t>0.42</w:t>
            </w:r>
          </w:p>
        </w:tc>
        <w:tc>
          <w:tcPr>
            <w:tcW w:type="dxa" w:w="1388"/>
            <w:vAlign w:val="center"/>
          </w:tcPr>
          <w:p>
            <w:pPr>
              <w:jc w:val="right"/>
            </w:pPr>
            <w:r>
              <w:rPr>
                <w:b w:val="0"/>
                <w:i w:val="0"/>
                <w:color w:val="1B1B1B"/>
                <w:sz w:val="18"/>
              </w:rPr>
              <w:t>-5.99%</w:t>
            </w:r>
          </w:p>
        </w:tc>
      </w:tr>
      <w:tr>
        <w:tc>
          <w:tcPr>
            <w:tcW w:type="dxa" w:w="2699"/>
            <w:vAlign w:val="center"/>
          </w:tcPr>
          <w:p>
            <w:pPr>
              <w:jc w:val="left"/>
            </w:pPr>
            <w:r>
              <w:rPr>
                <w:b w:val="0"/>
                <w:i w:val="0"/>
                <w:color w:val="1B1B1B"/>
                <w:sz w:val="18"/>
              </w:rPr>
              <w:t>Liability Driven Investment</w:t>
            </w:r>
          </w:p>
        </w:tc>
        <w:tc>
          <w:tcPr>
            <w:tcW w:type="dxa" w:w="1388"/>
            <w:vAlign w:val="center"/>
          </w:tcPr>
          <w:p>
            <w:pPr>
              <w:jc w:val="right"/>
            </w:pPr>
            <w:r>
              <w:rPr>
                <w:b w:val="0"/>
                <w:i w:val="0"/>
                <w:color w:val="1B1B1B"/>
                <w:sz w:val="18"/>
              </w:rPr>
              <w:t>15.08%</w:t>
            </w:r>
          </w:p>
        </w:tc>
        <w:tc>
          <w:tcPr>
            <w:tcW w:type="dxa" w:w="1388"/>
            <w:vAlign w:val="center"/>
          </w:tcPr>
          <w:p>
            <w:pPr>
              <w:jc w:val="right"/>
            </w:pPr>
            <w:r>
              <w:rPr>
                <w:b w:val="0"/>
                <w:i w:val="0"/>
                <w:color w:val="1B1B1B"/>
                <w:sz w:val="18"/>
              </w:rPr>
              <w:t>0.38%</w:t>
            </w:r>
          </w:p>
        </w:tc>
        <w:tc>
          <w:tcPr>
            <w:tcW w:type="dxa" w:w="1388"/>
            <w:vAlign w:val="center"/>
          </w:tcPr>
          <w:p>
            <w:pPr>
              <w:jc w:val="right"/>
            </w:pPr>
            <w:r>
              <w:rPr>
                <w:b w:val="0"/>
                <w:i w:val="0"/>
                <w:color w:val="1B1B1B"/>
                <w:sz w:val="18"/>
              </w:rPr>
              <w:t>0.55</w:t>
            </w:r>
          </w:p>
        </w:tc>
        <w:tc>
          <w:tcPr>
            <w:tcW w:type="dxa" w:w="1388"/>
            <w:vAlign w:val="center"/>
          </w:tcPr>
          <w:p>
            <w:pPr>
              <w:jc w:val="right"/>
            </w:pPr>
            <w:r>
              <w:rPr>
                <w:b w:val="0"/>
                <w:i w:val="0"/>
                <w:color w:val="1B1B1B"/>
                <w:sz w:val="18"/>
              </w:rPr>
              <w:t>-0.49</w:t>
            </w:r>
          </w:p>
        </w:tc>
        <w:tc>
          <w:tcPr>
            <w:tcW w:type="dxa" w:w="1388"/>
            <w:vAlign w:val="center"/>
          </w:tcPr>
          <w:p>
            <w:pPr>
              <w:jc w:val="right"/>
            </w:pPr>
            <w:r>
              <w:rPr>
                <w:b w:val="0"/>
                <w:i w:val="0"/>
                <w:color w:val="1B1B1B"/>
                <w:sz w:val="18"/>
              </w:rPr>
              <w:t>-27.21%</w:t>
            </w:r>
          </w:p>
        </w:tc>
      </w:tr>
      <w:tr>
        <w:tc>
          <w:tcPr>
            <w:tcW w:type="dxa" w:w="2699"/>
            <w:vAlign w:val="center"/>
            <w:shd w:val="clear" w:color="auto" w:fill="F3F2EE"/>
          </w:tcPr>
          <w:p>
            <w:pPr>
              <w:jc w:val="left"/>
            </w:pPr>
            <w:r>
              <w:rPr>
                <w:b/>
                <w:i w:val="0"/>
                <w:color w:val="1B1B1B"/>
                <w:sz w:val="18"/>
              </w:rPr>
              <w:t>Total fund</w:t>
            </w:r>
          </w:p>
        </w:tc>
        <w:tc>
          <w:tcPr>
            <w:tcW w:type="dxa" w:w="1388"/>
            <w:vAlign w:val="center"/>
            <w:shd w:val="clear" w:color="auto" w:fill="F3F2EE"/>
          </w:tcPr>
          <w:p>
            <w:pPr>
              <w:jc w:val="right"/>
            </w:pPr>
            <w:r>
              <w:rPr>
                <w:b/>
                <w:i w:val="0"/>
                <w:color w:val="1B1B1B"/>
                <w:sz w:val="18"/>
              </w:rPr>
              <w:t>9.10%</w:t>
            </w:r>
          </w:p>
        </w:tc>
        <w:tc>
          <w:tcPr>
            <w:tcW w:type="dxa" w:w="1388"/>
            <w:vAlign w:val="center"/>
            <w:shd w:val="clear" w:color="auto" w:fill="F3F2EE"/>
          </w:tcPr>
          <w:p>
            <w:pPr>
              <w:jc w:val="right"/>
            </w:pPr>
            <w:r>
              <w:rPr>
                <w:b/>
                <w:i w:val="0"/>
                <w:color w:val="1B1B1B"/>
                <w:sz w:val="18"/>
              </w:rPr>
              <w:t>1.28%</w:t>
            </w:r>
          </w:p>
        </w:tc>
        <w:tc>
          <w:tcPr>
            <w:tcW w:type="dxa" w:w="1388"/>
            <w:vAlign w:val="center"/>
            <w:shd w:val="clear" w:color="auto" w:fill="F3F2EE"/>
          </w:tcPr>
          <w:p>
            <w:pPr>
              <w:jc w:val="right"/>
            </w:pPr>
            <w:r>
              <w:rPr>
                <w:b/>
                <w:i w:val="0"/>
                <w:color w:val="1B1B1B"/>
                <w:sz w:val="18"/>
              </w:rPr>
              <w:t>0.36</w:t>
            </w:r>
          </w:p>
        </w:tc>
        <w:tc>
          <w:tcPr>
            <w:tcW w:type="dxa" w:w="1388"/>
            <w:vAlign w:val="center"/>
            <w:shd w:val="clear" w:color="auto" w:fill="F3F2EE"/>
          </w:tcPr>
          <w:p>
            <w:pPr>
              <w:jc w:val="right"/>
            </w:pPr>
            <w:r>
              <w:rPr>
                <w:b/>
                <w:i w:val="0"/>
                <w:color w:val="1B1B1B"/>
                <w:sz w:val="18"/>
              </w:rPr>
              <w:t>0.64</w:t>
            </w:r>
          </w:p>
        </w:tc>
        <w:tc>
          <w:tcPr>
            <w:tcW w:type="dxa" w:w="1388"/>
            <w:vAlign w:val="center"/>
            <w:shd w:val="clear" w:color="auto" w:fill="F3F2EE"/>
          </w:tcPr>
          <w:p>
            <w:pPr>
              <w:jc w:val="right"/>
            </w:pPr>
            <w:r>
              <w:rPr>
                <w:b/>
                <w:i w:val="0"/>
                <w:color w:val="1B1B1B"/>
                <w:sz w:val="18"/>
              </w:rPr>
              <w:t>-6.09%</w:t>
            </w:r>
          </w:p>
        </w:tc>
      </w:tr>
    </w:tbl>
    <w:p>
      <w:pPr>
        <w:spacing w:before="60"/>
      </w:pPr>
      <w:r>
        <w:rPr>
          <w:b w:val="0"/>
          <w:i/>
          <w:color w:val="8A8984"/>
          <w:sz w:val="16"/>
        </w:rPr>
        <w:t>Volatility and tracking error are annualised standard deviations of monthly returns / excess returns.</w:t>
      </w:r>
    </w:p>
    <w:p/>
    <w:p>
      <w:pPr>
        <w:pStyle w:val="Heading1"/>
      </w:pPr>
      <w:r>
        <w:t>Funding position and interest-rate hedging</w:t>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nil" w:sz="4" w:color="D9D7D0"/>
          <w:insideV w:val="nil" w:sz="4" w:color="D9D7D0"/>
        </w:tblBorders>
        <w:tblCellMar>
          <w:top w:w="120" w:type="dxa"/>
          <w:bottom w:w="120" w:type="dxa"/>
          <w:left w:w="120" w:type="dxa"/>
          <w:right w:w="120" w:type="dxa"/>
        </w:tblCellMar>
      </w:tblPr>
      <w:tblGrid>
        <w:gridCol w:w="1928"/>
        <w:gridCol w:w="1928"/>
        <w:gridCol w:w="1928"/>
        <w:gridCol w:w="1928"/>
        <w:gridCol w:w="1928"/>
      </w:tblGrid>
      <w:tr>
        <w:tc>
          <w:tcPr>
            <w:tcW w:type="dxa" w:w="1928"/>
            <w:shd w:val="clear" w:color="auto" w:fill="F3F2EE"/>
          </w:tcPr>
          <w:p>
            <w:r>
              <w:rPr>
                <w:b/>
                <w:i w:val="0"/>
                <w:color w:val="52514E"/>
                <w:sz w:val="15"/>
              </w:rPr>
              <w:t>FUNDING RATIO</w:t>
            </w:r>
          </w:p>
          <w:p>
            <w:pPr>
              <w:spacing w:before="40"/>
            </w:pPr>
            <w:r>
              <w:rPr>
                <w:b/>
                <w:i w:val="0"/>
                <w:color w:val="17324D"/>
                <w:sz w:val="34"/>
              </w:rPr>
              <w:t>93.40%</w:t>
            </w:r>
          </w:p>
        </w:tc>
        <w:tc>
          <w:tcPr>
            <w:tcW w:type="dxa" w:w="1928"/>
            <w:shd w:val="clear" w:color="auto" w:fill="F3F2EE"/>
          </w:tcPr>
          <w:p>
            <w:r>
              <w:rPr>
                <w:b/>
                <w:i w:val="0"/>
                <w:color w:val="52514E"/>
                <w:sz w:val="15"/>
              </w:rPr>
              <w:t>LIABILITIES</w:t>
            </w:r>
          </w:p>
          <w:p>
            <w:pPr>
              <w:spacing w:before="40"/>
            </w:pPr>
            <w:r>
              <w:rPr>
                <w:b/>
                <w:i w:val="0"/>
                <w:color w:val="17324D"/>
                <w:sz w:val="34"/>
              </w:rPr>
              <w:t>£1.65bn</w:t>
            </w:r>
          </w:p>
        </w:tc>
        <w:tc>
          <w:tcPr>
            <w:tcW w:type="dxa" w:w="1928"/>
            <w:shd w:val="clear" w:color="auto" w:fill="F3F2EE"/>
          </w:tcPr>
          <w:p>
            <w:r>
              <w:rPr>
                <w:b/>
                <w:i w:val="0"/>
                <w:color w:val="52514E"/>
                <w:sz w:val="15"/>
              </w:rPr>
              <w:t>SURPLUS / (DEFICIT)</w:t>
            </w:r>
          </w:p>
          <w:p>
            <w:pPr>
              <w:spacing w:before="40"/>
            </w:pPr>
            <w:r>
              <w:rPr>
                <w:b/>
                <w:i w:val="0"/>
                <w:color w:val="17324D"/>
                <w:sz w:val="34"/>
              </w:rPr>
              <w:t>-£108.6m</w:t>
            </w:r>
          </w:p>
        </w:tc>
        <w:tc>
          <w:tcPr>
            <w:tcW w:type="dxa" w:w="1928"/>
            <w:shd w:val="clear" w:color="auto" w:fill="F3F2EE"/>
          </w:tcPr>
          <w:p>
            <w:r>
              <w:rPr>
                <w:b/>
                <w:i w:val="0"/>
                <w:color w:val="52514E"/>
                <w:sz w:val="15"/>
              </w:rPr>
              <w:t>HEDGE RATIO</w:t>
            </w:r>
          </w:p>
          <w:p>
            <w:pPr>
              <w:spacing w:before="40"/>
            </w:pPr>
            <w:r>
              <w:rPr>
                <w:b/>
                <w:i w:val="0"/>
                <w:color w:val="17324D"/>
                <w:sz w:val="34"/>
              </w:rPr>
              <w:t>81.96%</w:t>
            </w:r>
          </w:p>
        </w:tc>
        <w:tc>
          <w:tcPr>
            <w:tcW w:type="dxa" w:w="1928"/>
            <w:shd w:val="clear" w:color="auto" w:fill="F3F2EE"/>
          </w:tcPr>
          <w:p>
            <w:r>
              <w:rPr>
                <w:b/>
                <w:i w:val="0"/>
                <w:color w:val="52514E"/>
                <w:sz w:val="15"/>
              </w:rPr>
              <w:t>LIABILITY DURATION</w:t>
            </w:r>
          </w:p>
          <w:p>
            <w:pPr>
              <w:spacing w:before="40"/>
            </w:pPr>
            <w:r>
              <w:rPr>
                <w:b/>
                <w:i w:val="0"/>
                <w:color w:val="17324D"/>
                <w:sz w:val="34"/>
              </w:rPr>
              <w:t>15.6 yrs</w:t>
            </w:r>
          </w:p>
        </w:tc>
      </w:tr>
    </w:tbl>
    <w:p/>
    <w:p>
      <w:pPr>
        <w:pStyle w:val="Heading2"/>
      </w:pPr>
      <w:r>
        <w:t>Stress tests: change in funding ratio</w:t>
      </w:r>
    </w:p>
    <w:p>
      <w:r>
        <w:drawing>
          <wp:inline xmlns:a="http://schemas.openxmlformats.org/drawingml/2006/main" xmlns:pic="http://schemas.openxmlformats.org/drawingml/2006/picture">
            <wp:extent cx="6120000" cy="2550000"/>
            <wp:docPr id="4" name="Picture 4"/>
            <wp:cNvGraphicFramePr>
              <a:graphicFrameLocks noChangeAspect="1"/>
            </wp:cNvGraphicFramePr>
            <a:graphic>
              <a:graphicData uri="http://schemas.openxmlformats.org/drawingml/2006/picture">
                <pic:pic>
                  <pic:nvPicPr>
                    <pic:cNvPr id="0" name="stress.png"/>
                    <pic:cNvPicPr/>
                  </pic:nvPicPr>
                  <pic:blipFill>
                    <a:blip r:embed="rId13"/>
                    <a:stretch>
                      <a:fillRect/>
                    </a:stretch>
                  </pic:blipFill>
                  <pic:spPr>
                    <a:xfrm>
                      <a:off x="0" y="0"/>
                      <a:ext cx="6120000" cy="2550000"/>
                    </a:xfrm>
                    <a:prstGeom prst="rect"/>
                  </pic:spPr>
                </pic:pic>
              </a:graphicData>
            </a:graphic>
          </wp:inline>
        </w:drawing>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single" w:sz="4" w:color="D9D7D0"/>
          <w:insideV w:val="nil" w:sz="4" w:color="D9D7D0"/>
        </w:tblBorders>
        <w:tblCellMar>
          <w:top w:w="60" w:type="dxa"/>
          <w:bottom w:w="60" w:type="dxa"/>
          <w:left w:w="90" w:type="dxa"/>
          <w:right w:w="90" w:type="dxa"/>
        </w:tblCellMar>
      </w:tblPr>
      <w:tblGrid>
        <w:gridCol w:w="3213"/>
        <w:gridCol w:w="3213"/>
        <w:gridCol w:w="3213"/>
      </w:tblGrid>
      <w:tr>
        <w:trPr>
          <w:tblHeader w:val="true"/>
        </w:trPr>
        <w:tc>
          <w:tcPr>
            <w:tcW w:type="dxa" w:w="3855"/>
            <w:shd w:val="clear" w:color="auto" w:fill="17324D"/>
          </w:tcPr>
          <w:p>
            <w:pPr>
              <w:jc w:val="left"/>
            </w:pPr>
            <w:r>
              <w:rPr>
                <w:b/>
                <w:i w:val="0"/>
                <w:color w:val="FFFFFF"/>
                <w:sz w:val="17"/>
              </w:rPr>
              <w:t>Scenario</w:t>
            </w:r>
          </w:p>
        </w:tc>
        <w:tc>
          <w:tcPr>
            <w:tcW w:type="dxa" w:w="2891"/>
            <w:shd w:val="clear" w:color="auto" w:fill="17324D"/>
          </w:tcPr>
          <w:p>
            <w:pPr>
              <w:jc w:val="right"/>
            </w:pPr>
            <w:r>
              <w:rPr>
                <w:b/>
                <w:i w:val="0"/>
                <w:color w:val="FFFFFF"/>
                <w:sz w:val="17"/>
              </w:rPr>
              <w:t>Funding ratio after</w:t>
            </w:r>
          </w:p>
        </w:tc>
        <w:tc>
          <w:tcPr>
            <w:tcW w:type="dxa" w:w="2891"/>
            <w:shd w:val="clear" w:color="auto" w:fill="17324D"/>
          </w:tcPr>
          <w:p>
            <w:pPr>
              <w:jc w:val="right"/>
            </w:pPr>
            <w:r>
              <w:rPr>
                <w:b/>
                <w:i w:val="0"/>
                <w:color w:val="FFFFFF"/>
                <w:sz w:val="17"/>
              </w:rPr>
              <w:t>Change</w:t>
            </w:r>
          </w:p>
        </w:tc>
      </w:tr>
      <w:tr>
        <w:tc>
          <w:tcPr>
            <w:tcW w:type="dxa" w:w="3855"/>
            <w:vAlign w:val="center"/>
          </w:tcPr>
          <w:p>
            <w:pPr>
              <w:jc w:val="left"/>
            </w:pPr>
            <w:r>
              <w:rPr>
                <w:b w:val="0"/>
                <w:i w:val="0"/>
                <w:color w:val="1B1B1B"/>
                <w:sz w:val="18"/>
              </w:rPr>
              <w:t>Rates -100bp</w:t>
            </w:r>
          </w:p>
        </w:tc>
        <w:tc>
          <w:tcPr>
            <w:tcW w:type="dxa" w:w="2891"/>
            <w:vAlign w:val="center"/>
          </w:tcPr>
          <w:p>
            <w:pPr>
              <w:jc w:val="right"/>
            </w:pPr>
            <w:r>
              <w:rPr>
                <w:b w:val="0"/>
                <w:i w:val="0"/>
                <w:color w:val="1B1B1B"/>
                <w:sz w:val="18"/>
              </w:rPr>
              <w:t>90.22%</w:t>
            </w:r>
          </w:p>
        </w:tc>
        <w:tc>
          <w:tcPr>
            <w:tcW w:type="dxa" w:w="2891"/>
            <w:vAlign w:val="center"/>
          </w:tcPr>
          <w:p>
            <w:pPr>
              <w:jc w:val="right"/>
            </w:pPr>
            <w:r>
              <w:rPr>
                <w:b w:val="0"/>
                <w:i w:val="0"/>
                <w:color w:val="C0392B"/>
                <w:sz w:val="18"/>
              </w:rPr>
              <w:t>-3.18%</w:t>
            </w:r>
          </w:p>
        </w:tc>
      </w:tr>
      <w:tr>
        <w:tc>
          <w:tcPr>
            <w:tcW w:type="dxa" w:w="3855"/>
            <w:vAlign w:val="center"/>
          </w:tcPr>
          <w:p>
            <w:pPr>
              <w:jc w:val="left"/>
            </w:pPr>
            <w:r>
              <w:rPr>
                <w:b w:val="0"/>
                <w:i w:val="0"/>
                <w:color w:val="1B1B1B"/>
                <w:sz w:val="18"/>
              </w:rPr>
              <w:t>Rates +100bp</w:t>
            </w:r>
          </w:p>
        </w:tc>
        <w:tc>
          <w:tcPr>
            <w:tcW w:type="dxa" w:w="2891"/>
            <w:vAlign w:val="center"/>
          </w:tcPr>
          <w:p>
            <w:pPr>
              <w:jc w:val="right"/>
            </w:pPr>
            <w:r>
              <w:rPr>
                <w:b w:val="0"/>
                <w:i w:val="0"/>
                <w:color w:val="1B1B1B"/>
                <w:sz w:val="18"/>
              </w:rPr>
              <w:t>93.64%</w:t>
            </w:r>
          </w:p>
        </w:tc>
        <w:tc>
          <w:tcPr>
            <w:tcW w:type="dxa" w:w="2891"/>
            <w:vAlign w:val="center"/>
          </w:tcPr>
          <w:p>
            <w:pPr>
              <w:jc w:val="right"/>
            </w:pPr>
            <w:r>
              <w:rPr>
                <w:b w:val="0"/>
                <w:i w:val="0"/>
                <w:color w:val="0B7A3E"/>
                <w:sz w:val="18"/>
              </w:rPr>
              <w:t>+0.24%</w:t>
            </w:r>
          </w:p>
        </w:tc>
      </w:tr>
      <w:tr>
        <w:tc>
          <w:tcPr>
            <w:tcW w:type="dxa" w:w="3855"/>
            <w:vAlign w:val="center"/>
          </w:tcPr>
          <w:p>
            <w:pPr>
              <w:jc w:val="left"/>
            </w:pPr>
            <w:r>
              <w:rPr>
                <w:b w:val="0"/>
                <w:i w:val="0"/>
                <w:color w:val="1B1B1B"/>
                <w:sz w:val="18"/>
              </w:rPr>
              <w:t>Equities -20%</w:t>
            </w:r>
          </w:p>
        </w:tc>
        <w:tc>
          <w:tcPr>
            <w:tcW w:type="dxa" w:w="2891"/>
            <w:vAlign w:val="center"/>
          </w:tcPr>
          <w:p>
            <w:pPr>
              <w:jc w:val="right"/>
            </w:pPr>
            <w:r>
              <w:rPr>
                <w:b w:val="0"/>
                <w:i w:val="0"/>
                <w:color w:val="1B1B1B"/>
                <w:sz w:val="18"/>
              </w:rPr>
              <w:t>82.49%</w:t>
            </w:r>
          </w:p>
        </w:tc>
        <w:tc>
          <w:tcPr>
            <w:tcW w:type="dxa" w:w="2891"/>
            <w:vAlign w:val="center"/>
          </w:tcPr>
          <w:p>
            <w:pPr>
              <w:jc w:val="right"/>
            </w:pPr>
            <w:r>
              <w:rPr>
                <w:b w:val="0"/>
                <w:i w:val="0"/>
                <w:color w:val="C0392B"/>
                <w:sz w:val="18"/>
              </w:rPr>
              <w:t>-10.91%</w:t>
            </w:r>
          </w:p>
        </w:tc>
      </w:tr>
      <w:tr>
        <w:tc>
          <w:tcPr>
            <w:tcW w:type="dxa" w:w="3855"/>
            <w:vAlign w:val="center"/>
          </w:tcPr>
          <w:p>
            <w:pPr>
              <w:jc w:val="left"/>
            </w:pPr>
            <w:r>
              <w:rPr>
                <w:b w:val="0"/>
                <w:i w:val="0"/>
                <w:color w:val="1B1B1B"/>
                <w:sz w:val="18"/>
              </w:rPr>
              <w:t>Equities -20% &amp; rates -50bp</w:t>
            </w:r>
          </w:p>
        </w:tc>
        <w:tc>
          <w:tcPr>
            <w:tcW w:type="dxa" w:w="2891"/>
            <w:vAlign w:val="center"/>
          </w:tcPr>
          <w:p>
            <w:pPr>
              <w:jc w:val="right"/>
            </w:pPr>
            <w:r>
              <w:rPr>
                <w:b w:val="0"/>
                <w:i w:val="0"/>
                <w:color w:val="1B1B1B"/>
                <w:sz w:val="18"/>
              </w:rPr>
              <w:t>82.08%</w:t>
            </w:r>
          </w:p>
        </w:tc>
        <w:tc>
          <w:tcPr>
            <w:tcW w:type="dxa" w:w="2891"/>
            <w:vAlign w:val="center"/>
          </w:tcPr>
          <w:p>
            <w:pPr>
              <w:jc w:val="right"/>
            </w:pPr>
            <w:r>
              <w:rPr>
                <w:b w:val="0"/>
                <w:i w:val="0"/>
                <w:color w:val="C0392B"/>
                <w:sz w:val="18"/>
              </w:rPr>
              <w:t>-11.32%</w:t>
            </w:r>
          </w:p>
        </w:tc>
      </w:tr>
    </w:tbl>
    <w:p>
      <w:pPr>
        <w:spacing w:before="60"/>
      </w:pPr>
      <w:r>
        <w:rPr>
          <w:b w:val="0"/>
          <w:i/>
          <w:color w:val="8A8984"/>
          <w:sz w:val="16"/>
        </w:rPr>
        <w:t>Liabilities are revalued on a shifted zero curve bootstrapped from government par yields; rate-sensitive assets move by -duration x shift; growth assets take the equity shock.</w:t>
      </w:r>
    </w:p>
    <w:p/>
    <w:p>
      <w:r>
        <w:rPr>
          <w:b w:val="0"/>
          <w:i w:val="0"/>
          <w:color w:val="52514E"/>
          <w:sz w:val="21"/>
        </w:rPr>
        <w:t>The median projected funding ratio in ten years is 97.29%, with a 47% probability of being fully funded, assuming the deficit is paid off by the sponsor over ten years. This illustrates the range of outcomes and is not an actuarial valuation.</w:t>
      </w:r>
    </w:p>
    <w:p>
      <w:pPr>
        <w:pStyle w:val="Heading2"/>
      </w:pPr>
      <w:r>
        <w:t>Projected funding ratio (10 years)</w:t>
      </w:r>
    </w:p>
    <w:p>
      <w:r>
        <w:drawing>
          <wp:inline xmlns:a="http://schemas.openxmlformats.org/drawingml/2006/main" xmlns:pic="http://schemas.openxmlformats.org/drawingml/2006/picture">
            <wp:extent cx="6120000" cy="2550000"/>
            <wp:docPr id="5" name="Picture 5"/>
            <wp:cNvGraphicFramePr>
              <a:graphicFrameLocks noChangeAspect="1"/>
            </wp:cNvGraphicFramePr>
            <a:graphic>
              <a:graphicData uri="http://schemas.openxmlformats.org/drawingml/2006/picture">
                <pic:pic>
                  <pic:nvPicPr>
                    <pic:cNvPr id="0" name="funding_fan.png"/>
                    <pic:cNvPicPr/>
                  </pic:nvPicPr>
                  <pic:blipFill>
                    <a:blip r:embed="rId14"/>
                    <a:stretch>
                      <a:fillRect/>
                    </a:stretch>
                  </pic:blipFill>
                  <pic:spPr>
                    <a:xfrm>
                      <a:off x="0" y="0"/>
                      <a:ext cx="6120000" cy="2550000"/>
                    </a:xfrm>
                    <a:prstGeom prst="rect"/>
                  </pic:spPr>
                </pic:pic>
              </a:graphicData>
            </a:graphic>
          </wp:inline>
        </w:drawing>
      </w:r>
    </w:p>
    <w:p>
      <w:r>
        <w:rPr>
          <w:b w:val="0"/>
          <w:i/>
          <w:color w:val="8A8984"/>
          <w:sz w:val="16"/>
        </w:rPr>
        <w:t>10,000 simulated paths of interest rates and growth-asset returns.</w:t>
      </w:r>
    </w:p>
    <w:p>
      <w:pPr>
        <w:pStyle w:val="Heading1"/>
      </w:pPr>
      <w:r>
        <w:t>Data quality and reconciliation</w:t>
      </w:r>
    </w:p>
    <w:p>
      <w:r>
        <w:rPr>
          <w:b w:val="0"/>
          <w:i w:val="0"/>
          <w:color w:val="52514E"/>
          <w:sz w:val="21"/>
        </w:rPr>
        <w:t>Every monthly return was checked against the fund manager's own figures. 4 difference(s) above tolerance were found in the reporting history; 0 material item(s) remain open.</w:t>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single" w:sz="4" w:color="D9D7D0"/>
          <w:insideV w:val="nil" w:sz="4" w:color="D9D7D0"/>
        </w:tblBorders>
        <w:tblCellMar>
          <w:top w:w="60" w:type="dxa"/>
          <w:bottom w:w="60" w:type="dxa"/>
          <w:left w:w="90" w:type="dxa"/>
          <w:right w:w="90" w:type="dxa"/>
        </w:tblCellMar>
      </w:tblPr>
      <w:tblGrid>
        <w:gridCol w:w="1377"/>
        <w:gridCol w:w="1377"/>
        <w:gridCol w:w="1377"/>
        <w:gridCol w:w="1377"/>
        <w:gridCol w:w="1377"/>
        <w:gridCol w:w="1377"/>
        <w:gridCol w:w="1377"/>
      </w:tblGrid>
      <w:tr>
        <w:trPr>
          <w:tblHeader w:val="true"/>
        </w:trPr>
        <w:tc>
          <w:tcPr>
            <w:tcW w:type="dxa" w:w="2699"/>
            <w:shd w:val="clear" w:color="auto" w:fill="17324D"/>
          </w:tcPr>
          <w:p>
            <w:pPr>
              <w:jc w:val="left"/>
            </w:pPr>
            <w:r>
              <w:rPr>
                <w:b/>
                <w:i w:val="0"/>
                <w:color w:val="FFFFFF"/>
                <w:sz w:val="15"/>
              </w:rPr>
              <w:t>Mandate</w:t>
            </w:r>
          </w:p>
        </w:tc>
        <w:tc>
          <w:tcPr>
            <w:tcW w:type="dxa" w:w="1157"/>
            <w:shd w:val="clear" w:color="auto" w:fill="17324D"/>
          </w:tcPr>
          <w:p>
            <w:pPr>
              <w:jc w:val="right"/>
            </w:pPr>
            <w:r>
              <w:rPr>
                <w:b/>
                <w:i w:val="0"/>
                <w:color w:val="FFFFFF"/>
                <w:sz w:val="15"/>
              </w:rPr>
              <w:t>Month</w:t>
            </w:r>
          </w:p>
        </w:tc>
        <w:tc>
          <w:tcPr>
            <w:tcW w:type="dxa" w:w="1157"/>
            <w:shd w:val="clear" w:color="auto" w:fill="17324D"/>
          </w:tcPr>
          <w:p>
            <w:pPr>
              <w:jc w:val="right"/>
            </w:pPr>
            <w:r>
              <w:rPr>
                <w:b/>
                <w:i w:val="0"/>
                <w:color w:val="FFFFFF"/>
                <w:sz w:val="15"/>
              </w:rPr>
              <w:t>Issue</w:t>
            </w:r>
          </w:p>
        </w:tc>
        <w:tc>
          <w:tcPr>
            <w:tcW w:type="dxa" w:w="1157"/>
            <w:shd w:val="clear" w:color="auto" w:fill="17324D"/>
          </w:tcPr>
          <w:p>
            <w:pPr>
              <w:jc w:val="right"/>
            </w:pPr>
            <w:r>
              <w:rPr>
                <w:b/>
                <w:i w:val="0"/>
                <w:color w:val="FFFFFF"/>
                <w:sz w:val="15"/>
              </w:rPr>
              <w:t>Custodian</w:t>
            </w:r>
          </w:p>
        </w:tc>
        <w:tc>
          <w:tcPr>
            <w:tcW w:type="dxa" w:w="1157"/>
            <w:shd w:val="clear" w:color="auto" w:fill="17324D"/>
          </w:tcPr>
          <w:p>
            <w:pPr>
              <w:jc w:val="right"/>
            </w:pPr>
            <w:r>
              <w:rPr>
                <w:b/>
                <w:i w:val="0"/>
                <w:color w:val="FFFFFF"/>
                <w:sz w:val="15"/>
              </w:rPr>
              <w:t>Manager</w:t>
            </w:r>
          </w:p>
        </w:tc>
        <w:tc>
          <w:tcPr>
            <w:tcW w:type="dxa" w:w="1157"/>
            <w:shd w:val="clear" w:color="auto" w:fill="17324D"/>
          </w:tcPr>
          <w:p>
            <w:pPr>
              <w:jc w:val="right"/>
            </w:pPr>
            <w:r>
              <w:rPr>
                <w:b/>
                <w:i w:val="0"/>
                <w:color w:val="FFFFFF"/>
                <w:sz w:val="15"/>
              </w:rPr>
              <w:t>Outcome</w:t>
            </w:r>
          </w:p>
        </w:tc>
        <w:tc>
          <w:tcPr>
            <w:tcW w:type="dxa" w:w="1157"/>
            <w:shd w:val="clear" w:color="auto" w:fill="17324D"/>
          </w:tcPr>
          <w:p>
            <w:pPr>
              <w:jc w:val="right"/>
            </w:pPr>
            <w:r>
              <w:rPr>
                <w:b/>
                <w:i w:val="0"/>
                <w:color w:val="FFFFFF"/>
                <w:sz w:val="15"/>
              </w:rPr>
              <w:t>Reason</w:t>
            </w:r>
          </w:p>
        </w:tc>
      </w:tr>
      <w:tr>
        <w:tc>
          <w:tcPr>
            <w:tcW w:type="dxa" w:w="2699"/>
            <w:vAlign w:val="center"/>
          </w:tcPr>
          <w:p>
            <w:pPr>
              <w:jc w:val="left"/>
            </w:pPr>
            <w:r>
              <w:rPr>
                <w:b w:val="0"/>
                <w:i w:val="0"/>
                <w:color w:val="1B1B1B"/>
                <w:sz w:val="15"/>
              </w:rPr>
              <w:t>Global Equity</w:t>
            </w:r>
          </w:p>
        </w:tc>
        <w:tc>
          <w:tcPr>
            <w:tcW w:type="dxa" w:w="1157"/>
            <w:vAlign w:val="center"/>
          </w:tcPr>
          <w:p>
            <w:pPr>
              <w:jc w:val="left"/>
            </w:pPr>
            <w:r>
              <w:rPr>
                <w:b w:val="0"/>
                <w:i w:val="0"/>
                <w:color w:val="1B1B1B"/>
                <w:sz w:val="15"/>
              </w:rPr>
              <w:t>2026-05</w:t>
            </w:r>
          </w:p>
        </w:tc>
        <w:tc>
          <w:tcPr>
            <w:tcW w:type="dxa" w:w="1157"/>
            <w:vAlign w:val="center"/>
          </w:tcPr>
          <w:p>
            <w:pPr>
              <w:jc w:val="left"/>
            </w:pPr>
            <w:r>
              <w:rPr>
                <w:b w:val="0"/>
                <w:i w:val="0"/>
                <w:color w:val="1B1B1B"/>
                <w:sz w:val="15"/>
              </w:rPr>
              <w:t>value mismatch</w:t>
            </w:r>
          </w:p>
        </w:tc>
        <w:tc>
          <w:tcPr>
            <w:tcW w:type="dxa" w:w="1157"/>
            <w:vAlign w:val="center"/>
          </w:tcPr>
          <w:p>
            <w:pPr>
              <w:jc w:val="right"/>
            </w:pPr>
            <w:r>
              <w:rPr>
                <w:b w:val="0"/>
                <w:i w:val="0"/>
                <w:color w:val="1B1B1B"/>
                <w:sz w:val="15"/>
              </w:rPr>
              <w:t>-1.37%</w:t>
            </w:r>
          </w:p>
        </w:tc>
        <w:tc>
          <w:tcPr>
            <w:tcW w:type="dxa" w:w="1157"/>
            <w:vAlign w:val="center"/>
          </w:tcPr>
          <w:p>
            <w:pPr>
              <w:jc w:val="right"/>
            </w:pPr>
            <w:r>
              <w:rPr>
                <w:b w:val="0"/>
                <w:i w:val="0"/>
                <w:color w:val="1B1B1B"/>
                <w:sz w:val="15"/>
              </w:rPr>
              <w:t>-1.06%</w:t>
            </w:r>
          </w:p>
        </w:tc>
        <w:tc>
          <w:tcPr>
            <w:tcW w:type="dxa" w:w="1157"/>
            <w:vAlign w:val="center"/>
          </w:tcPr>
          <w:p>
            <w:pPr>
              <w:jc w:val="left"/>
            </w:pPr>
            <w:r>
              <w:rPr>
                <w:b w:val="0"/>
                <w:i w:val="0"/>
                <w:color w:val="1B1B1B"/>
                <w:sz w:val="15"/>
              </w:rPr>
              <w:t>custodian accepted</w:t>
            </w:r>
          </w:p>
        </w:tc>
        <w:tc>
          <w:tcPr>
            <w:tcW w:type="dxa" w:w="1157"/>
            <w:vAlign w:val="center"/>
          </w:tcPr>
          <w:p>
            <w:pPr>
              <w:jc w:val="left"/>
            </w:pPr>
            <w:r>
              <w:rPr>
                <w:b w:val="0"/>
                <w:i w:val="0"/>
                <w:color w:val="1B1B1B"/>
                <w:sz w:val="15"/>
              </w:rPr>
              <w:t>Manager quoted gross of fees; the custodian's net-of-fee figure is correct</w:t>
            </w:r>
          </w:p>
        </w:tc>
      </w:tr>
      <w:tr>
        <w:tc>
          <w:tcPr>
            <w:tcW w:type="dxa" w:w="2699"/>
            <w:vAlign w:val="center"/>
          </w:tcPr>
          <w:p>
            <w:pPr>
              <w:jc w:val="left"/>
            </w:pPr>
            <w:r>
              <w:rPr>
                <w:b w:val="0"/>
                <w:i w:val="0"/>
                <w:color w:val="1B1B1B"/>
                <w:sz w:val="15"/>
              </w:rPr>
              <w:t>Buy &amp; Maintain Credit</w:t>
            </w:r>
          </w:p>
        </w:tc>
        <w:tc>
          <w:tcPr>
            <w:tcW w:type="dxa" w:w="1157"/>
            <w:vAlign w:val="center"/>
          </w:tcPr>
          <w:p>
            <w:pPr>
              <w:jc w:val="left"/>
            </w:pPr>
            <w:r>
              <w:rPr>
                <w:b w:val="0"/>
                <w:i w:val="0"/>
                <w:color w:val="1B1B1B"/>
                <w:sz w:val="15"/>
              </w:rPr>
              <w:t>2026-06</w:t>
            </w:r>
          </w:p>
        </w:tc>
        <w:tc>
          <w:tcPr>
            <w:tcW w:type="dxa" w:w="1157"/>
            <w:vAlign w:val="center"/>
          </w:tcPr>
          <w:p>
            <w:pPr>
              <w:jc w:val="left"/>
            </w:pPr>
            <w:r>
              <w:rPr>
                <w:b w:val="0"/>
                <w:i w:val="0"/>
                <w:color w:val="1B1B1B"/>
                <w:sz w:val="15"/>
              </w:rPr>
              <w:t>value mismatch</w:t>
            </w:r>
          </w:p>
        </w:tc>
        <w:tc>
          <w:tcPr>
            <w:tcW w:type="dxa" w:w="1157"/>
            <w:vAlign w:val="center"/>
          </w:tcPr>
          <w:p>
            <w:pPr>
              <w:jc w:val="right"/>
            </w:pPr>
            <w:r>
              <w:rPr>
                <w:b w:val="0"/>
                <w:i w:val="0"/>
                <w:color w:val="1B1B1B"/>
                <w:sz w:val="15"/>
              </w:rPr>
              <w:t>0.33%</w:t>
            </w:r>
          </w:p>
        </w:tc>
        <w:tc>
          <w:tcPr>
            <w:tcW w:type="dxa" w:w="1157"/>
            <w:vAlign w:val="center"/>
          </w:tcPr>
          <w:p>
            <w:pPr>
              <w:jc w:val="right"/>
            </w:pPr>
            <w:r>
              <w:rPr>
                <w:b w:val="0"/>
                <w:i w:val="0"/>
                <w:color w:val="1B1B1B"/>
                <w:sz w:val="15"/>
              </w:rPr>
              <w:t>0.42%</w:t>
            </w:r>
          </w:p>
        </w:tc>
        <w:tc>
          <w:tcPr>
            <w:tcW w:type="dxa" w:w="1157"/>
            <w:vAlign w:val="center"/>
          </w:tcPr>
          <w:p>
            <w:pPr>
              <w:jc w:val="left"/>
            </w:pPr>
            <w:r>
              <w:rPr>
                <w:b w:val="0"/>
                <w:i w:val="0"/>
                <w:color w:val="1B1B1B"/>
                <w:sz w:val="15"/>
              </w:rPr>
              <w:t>custodian accepted</w:t>
            </w:r>
          </w:p>
        </w:tc>
        <w:tc>
          <w:tcPr>
            <w:tcW w:type="dxa" w:w="1157"/>
            <w:vAlign w:val="center"/>
          </w:tcPr>
          <w:p>
            <w:pPr>
              <w:jc w:val="left"/>
            </w:pPr>
            <w:r>
              <w:rPr>
                <w:b w:val="0"/>
                <w:i w:val="0"/>
                <w:color w:val="1B1B1B"/>
                <w:sz w:val="15"/>
              </w:rPr>
              <w:t>Pricing-source timing difference within expected range</w:t>
            </w:r>
          </w:p>
        </w:tc>
      </w:tr>
      <w:tr>
        <w:tc>
          <w:tcPr>
            <w:tcW w:type="dxa" w:w="2699"/>
            <w:vAlign w:val="center"/>
          </w:tcPr>
          <w:p>
            <w:pPr>
              <w:jc w:val="left"/>
            </w:pPr>
            <w:r>
              <w:rPr>
                <w:b w:val="0"/>
                <w:i w:val="0"/>
                <w:color w:val="1B1B1B"/>
                <w:sz w:val="15"/>
              </w:rPr>
              <w:t>Emerging Markets Equity</w:t>
            </w:r>
          </w:p>
        </w:tc>
        <w:tc>
          <w:tcPr>
            <w:tcW w:type="dxa" w:w="1157"/>
            <w:vAlign w:val="center"/>
          </w:tcPr>
          <w:p>
            <w:pPr>
              <w:jc w:val="left"/>
            </w:pPr>
            <w:r>
              <w:rPr>
                <w:b w:val="0"/>
                <w:i w:val="0"/>
                <w:color w:val="1B1B1B"/>
                <w:sz w:val="15"/>
              </w:rPr>
              <w:t>2026-08</w:t>
            </w:r>
          </w:p>
        </w:tc>
        <w:tc>
          <w:tcPr>
            <w:tcW w:type="dxa" w:w="1157"/>
            <w:vAlign w:val="center"/>
          </w:tcPr>
          <w:p>
            <w:pPr>
              <w:jc w:val="left"/>
            </w:pPr>
            <w:r>
              <w:rPr>
                <w:b w:val="0"/>
                <w:i w:val="0"/>
                <w:color w:val="1B1B1B"/>
                <w:sz w:val="15"/>
              </w:rPr>
              <w:t>value mismatch</w:t>
            </w:r>
          </w:p>
        </w:tc>
        <w:tc>
          <w:tcPr>
            <w:tcW w:type="dxa" w:w="1157"/>
            <w:vAlign w:val="center"/>
          </w:tcPr>
          <w:p>
            <w:pPr>
              <w:jc w:val="right"/>
            </w:pPr>
            <w:r>
              <w:rPr>
                <w:b w:val="0"/>
                <w:i w:val="0"/>
                <w:color w:val="1B1B1B"/>
                <w:sz w:val="15"/>
              </w:rPr>
              <w:t>11.85%</w:t>
            </w:r>
          </w:p>
        </w:tc>
        <w:tc>
          <w:tcPr>
            <w:tcW w:type="dxa" w:w="1157"/>
            <w:vAlign w:val="center"/>
          </w:tcPr>
          <w:p>
            <w:pPr>
              <w:jc w:val="right"/>
            </w:pPr>
            <w:r>
              <w:rPr>
                <w:b w:val="0"/>
                <w:i w:val="0"/>
                <w:color w:val="1B1B1B"/>
                <w:sz w:val="15"/>
              </w:rPr>
              <w:t>-11.85%</w:t>
            </w:r>
          </w:p>
        </w:tc>
        <w:tc>
          <w:tcPr>
            <w:tcW w:type="dxa" w:w="1157"/>
            <w:vAlign w:val="center"/>
          </w:tcPr>
          <w:p>
            <w:pPr>
              <w:jc w:val="left"/>
            </w:pPr>
            <w:r>
              <w:rPr>
                <w:b w:val="0"/>
                <w:i w:val="0"/>
                <w:color w:val="1B1B1B"/>
                <w:sz w:val="15"/>
              </w:rPr>
              <w:t>custodian accepted</w:t>
            </w:r>
          </w:p>
        </w:tc>
        <w:tc>
          <w:tcPr>
            <w:tcW w:type="dxa" w:w="1157"/>
            <w:vAlign w:val="center"/>
          </w:tcPr>
          <w:p>
            <w:pPr>
              <w:jc w:val="left"/>
            </w:pPr>
            <w:r>
              <w:rPr>
                <w:b w:val="0"/>
                <w:i w:val="0"/>
                <w:color w:val="1B1B1B"/>
                <w:sz w:val="15"/>
              </w:rPr>
              <w:t>Sign error in the manager pack, confirmed by the manager</w:t>
            </w:r>
          </w:p>
        </w:tc>
      </w:tr>
      <w:tr>
        <w:tc>
          <w:tcPr>
            <w:tcW w:type="dxa" w:w="2699"/>
            <w:vAlign w:val="center"/>
          </w:tcPr>
          <w:p>
            <w:pPr>
              <w:jc w:val="left"/>
            </w:pPr>
            <w:r>
              <w:rPr>
                <w:b w:val="0"/>
                <w:i w:val="0"/>
                <w:color w:val="1B1B1B"/>
                <w:sz w:val="15"/>
              </w:rPr>
              <w:t>Diversified Growth</w:t>
            </w:r>
          </w:p>
        </w:tc>
        <w:tc>
          <w:tcPr>
            <w:tcW w:type="dxa" w:w="1157"/>
            <w:vAlign w:val="center"/>
          </w:tcPr>
          <w:p>
            <w:pPr>
              <w:jc w:val="left"/>
            </w:pPr>
            <w:r>
              <w:rPr>
                <w:b w:val="0"/>
                <w:i w:val="0"/>
                <w:color w:val="1B1B1B"/>
                <w:sz w:val="15"/>
              </w:rPr>
              <w:t>2026-09</w:t>
            </w:r>
          </w:p>
        </w:tc>
        <w:tc>
          <w:tcPr>
            <w:tcW w:type="dxa" w:w="1157"/>
            <w:vAlign w:val="center"/>
          </w:tcPr>
          <w:p>
            <w:pPr>
              <w:jc w:val="left"/>
            </w:pPr>
            <w:r>
              <w:rPr>
                <w:b w:val="0"/>
                <w:i w:val="0"/>
                <w:color w:val="1B1B1B"/>
                <w:sz w:val="15"/>
              </w:rPr>
              <w:t>missing manager</w:t>
            </w:r>
          </w:p>
        </w:tc>
        <w:tc>
          <w:tcPr>
            <w:tcW w:type="dxa" w:w="1157"/>
            <w:vAlign w:val="center"/>
          </w:tcPr>
          <w:p>
            <w:pPr>
              <w:jc w:val="right"/>
            </w:pPr>
            <w:r>
              <w:rPr>
                <w:b w:val="0"/>
                <w:i w:val="0"/>
                <w:color w:val="1B1B1B"/>
                <w:sz w:val="15"/>
              </w:rPr>
              <w:t>-2.33%</w:t>
            </w:r>
          </w:p>
        </w:tc>
        <w:tc>
          <w:tcPr>
            <w:tcW w:type="dxa" w:w="1157"/>
            <w:vAlign w:val="center"/>
          </w:tcPr>
          <w:p>
            <w:pPr>
              <w:jc w:val="right"/>
            </w:pPr>
            <w:r>
              <w:rPr>
                <w:b w:val="0"/>
                <w:i w:val="0"/>
                <w:color w:val="1B1B1B"/>
                <w:sz w:val="15"/>
              </w:rPr>
              <w:t>–</w:t>
            </w:r>
          </w:p>
        </w:tc>
        <w:tc>
          <w:tcPr>
            <w:tcW w:type="dxa" w:w="1157"/>
            <w:vAlign w:val="center"/>
          </w:tcPr>
          <w:p>
            <w:pPr>
              <w:jc w:val="left"/>
            </w:pPr>
            <w:r>
              <w:rPr>
                <w:b w:val="0"/>
                <w:i w:val="0"/>
                <w:color w:val="1B1B1B"/>
                <w:sz w:val="15"/>
              </w:rPr>
              <w:t>custodian accepted</w:t>
            </w:r>
          </w:p>
        </w:tc>
        <w:tc>
          <w:tcPr>
            <w:tcW w:type="dxa" w:w="1157"/>
            <w:vAlign w:val="center"/>
          </w:tcPr>
          <w:p>
            <w:pPr>
              <w:jc w:val="left"/>
            </w:pPr>
            <w:r>
              <w:rPr>
                <w:b w:val="0"/>
                <w:i w:val="0"/>
                <w:color w:val="1B1B1B"/>
                <w:sz w:val="15"/>
              </w:rPr>
              <w:t>Manager figure not yet published; custodian valuation used</w:t>
            </w:r>
          </w:p>
        </w:tc>
      </w:tr>
    </w:tbl>
    <w:p/>
    <w:p>
      <w:pPr>
        <w:pStyle w:val="Heading1"/>
      </w:pPr>
      <w:r>
        <w:t>Appendix: where the headline numbers come from</w:t>
      </w:r>
    </w:p>
    <w:p>
      <w:r>
        <w:rPr>
          <w:b w:val="0"/>
          <w:i w:val="0"/>
          <w:color w:val="52514E"/>
          <w:sz w:val="21"/>
        </w:rPr>
        <w:t>Every figure in this report is traceable: it is computed by a documented formula from other figures, down to individual cells in the custodian, manager, benchmark and actuarial files. The interactive (HTML) version lets you click any number to see its full derivation.</w:t>
      </w:r>
    </w:p>
    <w:tbl>
      <w:tblPr>
        <w:tblW w:type="auto" w:w="0"/>
        <w:jc w:val="center"/>
        <w:tblLook w:firstColumn="1" w:firstRow="1" w:lastColumn="0" w:lastRow="0" w:noHBand="0" w:noVBand="1" w:val="04A0"/>
        <w:tblBorders>
          <w:top w:val="single" w:sz="4" w:color="D9D7D0"/>
          <w:left w:val="nil" w:sz="4" w:color="D9D7D0"/>
          <w:bottom w:val="single" w:sz="4" w:color="D9D7D0"/>
          <w:right w:val="nil" w:sz="4" w:color="D9D7D0"/>
          <w:insideH w:val="single" w:sz="4" w:color="D9D7D0"/>
          <w:insideV w:val="nil" w:sz="4" w:color="D9D7D0"/>
        </w:tblBorders>
        <w:tblCellMar>
          <w:top w:w="60" w:type="dxa"/>
          <w:bottom w:w="60" w:type="dxa"/>
          <w:left w:w="90" w:type="dxa"/>
          <w:right w:w="90" w:type="dxa"/>
        </w:tblCellMar>
      </w:tblPr>
      <w:tblGrid>
        <w:gridCol w:w="2409"/>
        <w:gridCol w:w="2409"/>
        <w:gridCol w:w="2409"/>
        <w:gridCol w:w="2409"/>
      </w:tblGrid>
      <w:tr>
        <w:trPr>
          <w:tblHeader w:val="true"/>
        </w:trPr>
        <w:tc>
          <w:tcPr>
            <w:tcW w:type="dxa" w:w="3855"/>
            <w:shd w:val="clear" w:color="auto" w:fill="17324D"/>
          </w:tcPr>
          <w:p>
            <w:pPr>
              <w:jc w:val="left"/>
            </w:pPr>
            <w:r>
              <w:rPr>
                <w:b/>
                <w:i w:val="0"/>
                <w:color w:val="FFFFFF"/>
                <w:sz w:val="17"/>
              </w:rPr>
              <w:t>Figure</w:t>
            </w:r>
          </w:p>
        </w:tc>
        <w:tc>
          <w:tcPr>
            <w:tcW w:type="dxa" w:w="1928"/>
            <w:shd w:val="clear" w:color="auto" w:fill="17324D"/>
          </w:tcPr>
          <w:p>
            <w:pPr>
              <w:jc w:val="right"/>
            </w:pPr>
            <w:r>
              <w:rPr>
                <w:b/>
                <w:i w:val="0"/>
                <w:color w:val="FFFFFF"/>
                <w:sz w:val="17"/>
              </w:rPr>
              <w:t>Value</w:t>
            </w:r>
          </w:p>
        </w:tc>
        <w:tc>
          <w:tcPr>
            <w:tcW w:type="dxa" w:w="1928"/>
            <w:shd w:val="clear" w:color="auto" w:fill="17324D"/>
          </w:tcPr>
          <w:p>
            <w:pPr>
              <w:jc w:val="right"/>
            </w:pPr>
            <w:r>
              <w:rPr>
                <w:b/>
                <w:i w:val="0"/>
                <w:color w:val="FFFFFF"/>
                <w:sz w:val="17"/>
              </w:rPr>
              <w:t>How it is calculated</w:t>
            </w:r>
          </w:p>
        </w:tc>
        <w:tc>
          <w:tcPr>
            <w:tcW w:type="dxa" w:w="1928"/>
            <w:shd w:val="clear" w:color="auto" w:fill="17324D"/>
          </w:tcPr>
          <w:p>
            <w:pPr>
              <w:jc w:val="right"/>
            </w:pPr>
            <w:r>
              <w:rPr>
                <w:b/>
                <w:i w:val="0"/>
                <w:color w:val="FFFFFF"/>
                <w:sz w:val="17"/>
              </w:rPr>
              <w:t>Built from</w:t>
            </w:r>
          </w:p>
        </w:tc>
      </w:tr>
      <w:tr>
        <w:tc>
          <w:tcPr>
            <w:tcW w:type="dxa" w:w="3855"/>
            <w:vAlign w:val="center"/>
          </w:tcPr>
          <w:p>
            <w:pPr>
              <w:jc w:val="left"/>
            </w:pPr>
            <w:r>
              <w:rPr>
                <w:b w:val="0"/>
                <w:i w:val="0"/>
                <w:color w:val="1B1B1B"/>
                <w:sz w:val="18"/>
              </w:rPr>
              <w:t>Total market value at 2026-09-30</w:t>
            </w:r>
          </w:p>
        </w:tc>
        <w:tc>
          <w:tcPr>
            <w:tcW w:type="dxa" w:w="1928"/>
            <w:vAlign w:val="center"/>
          </w:tcPr>
          <w:p>
            <w:pPr>
              <w:jc w:val="right"/>
            </w:pPr>
            <w:r>
              <w:rPr>
                <w:b w:val="0"/>
                <w:i w:val="0"/>
                <w:color w:val="1B1B1B"/>
                <w:sz w:val="18"/>
              </w:rPr>
              <w:t>£1.54bn</w:t>
            </w:r>
          </w:p>
        </w:tc>
        <w:tc>
          <w:tcPr>
            <w:tcW w:type="dxa" w:w="1928"/>
            <w:vAlign w:val="center"/>
          </w:tcPr>
          <w:p>
            <w:pPr>
              <w:jc w:val="left"/>
            </w:pPr>
            <w:r>
              <w:rPr>
                <w:b w:val="0"/>
                <w:i w:val="0"/>
                <w:color w:val="1B1B1B"/>
                <w:sz w:val="18"/>
              </w:rPr>
              <w:t>Sum of mandate closing values</w:t>
            </w:r>
          </w:p>
        </w:tc>
        <w:tc>
          <w:tcPr>
            <w:tcW w:type="dxa" w:w="1928"/>
            <w:vAlign w:val="center"/>
          </w:tcPr>
          <w:p>
            <w:pPr>
              <w:jc w:val="left"/>
            </w:pPr>
            <w:r>
              <w:rPr>
                <w:b w:val="0"/>
                <w:i w:val="0"/>
                <w:color w:val="1B1B1B"/>
                <w:sz w:val="18"/>
              </w:rPr>
              <w:t>6 input figures</w:t>
            </w:r>
          </w:p>
        </w:tc>
      </w:tr>
      <w:tr>
        <w:tc>
          <w:tcPr>
            <w:tcW w:type="dxa" w:w="3855"/>
            <w:vAlign w:val="center"/>
          </w:tcPr>
          <w:p>
            <w:pPr>
              <w:jc w:val="left"/>
            </w:pPr>
            <w:r>
              <w:rPr>
                <w:b w:val="0"/>
                <w:i w:val="0"/>
                <w:color w:val="1B1B1B"/>
                <w:sz w:val="18"/>
              </w:rPr>
              <w:t>Total fund return, 3 months</w:t>
            </w:r>
          </w:p>
        </w:tc>
        <w:tc>
          <w:tcPr>
            <w:tcW w:type="dxa" w:w="1928"/>
            <w:vAlign w:val="center"/>
          </w:tcPr>
          <w:p>
            <w:pPr>
              <w:jc w:val="right"/>
            </w:pPr>
            <w:r>
              <w:rPr>
                <w:b w:val="0"/>
                <w:i w:val="0"/>
                <w:color w:val="1B1B1B"/>
                <w:sz w:val="18"/>
              </w:rPr>
              <w:t>4.06%</w:t>
            </w:r>
          </w:p>
        </w:tc>
        <w:tc>
          <w:tcPr>
            <w:tcW w:type="dxa" w:w="1928"/>
            <w:vAlign w:val="center"/>
          </w:tcPr>
          <w:p>
            <w:pPr>
              <w:jc w:val="left"/>
            </w:pPr>
            <w:r>
              <w:rPr>
                <w:b w:val="0"/>
                <w:i w:val="0"/>
                <w:color w:val="1B1B1B"/>
                <w:sz w:val="18"/>
              </w:rPr>
              <w:t>Chain-linked over 3 months: prod(1 + r_t) - 1</w:t>
            </w:r>
          </w:p>
        </w:tc>
        <w:tc>
          <w:tcPr>
            <w:tcW w:type="dxa" w:w="1928"/>
            <w:vAlign w:val="center"/>
          </w:tcPr>
          <w:p>
            <w:pPr>
              <w:jc w:val="left"/>
            </w:pPr>
            <w:r>
              <w:rPr>
                <w:b w:val="0"/>
                <w:i w:val="0"/>
                <w:color w:val="1B1B1B"/>
                <w:sz w:val="18"/>
              </w:rPr>
              <w:t>3 input figures</w:t>
            </w:r>
          </w:p>
        </w:tc>
      </w:tr>
      <w:tr>
        <w:tc>
          <w:tcPr>
            <w:tcW w:type="dxa" w:w="3855"/>
            <w:vAlign w:val="center"/>
          </w:tcPr>
          <w:p>
            <w:pPr>
              <w:jc w:val="left"/>
            </w:pPr>
            <w:r>
              <w:rPr>
                <w:b w:val="0"/>
                <w:i w:val="0"/>
                <w:color w:val="1B1B1B"/>
                <w:sz w:val="18"/>
              </w:rPr>
              <w:t>Total fund excess return, 3 months</w:t>
            </w:r>
          </w:p>
        </w:tc>
        <w:tc>
          <w:tcPr>
            <w:tcW w:type="dxa" w:w="1928"/>
            <w:vAlign w:val="center"/>
          </w:tcPr>
          <w:p>
            <w:pPr>
              <w:jc w:val="right"/>
            </w:pPr>
            <w:r>
              <w:rPr>
                <w:b w:val="0"/>
                <w:i w:val="0"/>
                <w:color w:val="1B1B1B"/>
                <w:sz w:val="18"/>
              </w:rPr>
              <w:t>-0.25%</w:t>
            </w:r>
          </w:p>
        </w:tc>
        <w:tc>
          <w:tcPr>
            <w:tcW w:type="dxa" w:w="1928"/>
            <w:vAlign w:val="center"/>
          </w:tcPr>
          <w:p>
            <w:pPr>
              <w:jc w:val="left"/>
            </w:pPr>
            <w:r>
              <w:rPr>
                <w:b w:val="0"/>
                <w:i w:val="0"/>
                <w:color w:val="1B1B1B"/>
                <w:sz w:val="18"/>
              </w:rPr>
              <w:t>Fund return - benchmark return (arithmetic difference)</w:t>
            </w:r>
          </w:p>
        </w:tc>
        <w:tc>
          <w:tcPr>
            <w:tcW w:type="dxa" w:w="1928"/>
            <w:vAlign w:val="center"/>
          </w:tcPr>
          <w:p>
            <w:pPr>
              <w:jc w:val="left"/>
            </w:pPr>
            <w:r>
              <w:rPr>
                <w:b w:val="0"/>
                <w:i w:val="0"/>
                <w:color w:val="1B1B1B"/>
                <w:sz w:val="18"/>
              </w:rPr>
              <w:t>2 input figures</w:t>
            </w:r>
          </w:p>
        </w:tc>
      </w:tr>
      <w:tr>
        <w:tc>
          <w:tcPr>
            <w:tcW w:type="dxa" w:w="3855"/>
            <w:vAlign w:val="center"/>
          </w:tcPr>
          <w:p>
            <w:pPr>
              <w:jc w:val="left"/>
            </w:pPr>
            <w:r>
              <w:rPr>
                <w:b w:val="0"/>
                <w:i w:val="0"/>
                <w:color w:val="1B1B1B"/>
                <w:sz w:val="18"/>
              </w:rPr>
              <w:t>Total fund return, 1 year</w:t>
            </w:r>
          </w:p>
        </w:tc>
        <w:tc>
          <w:tcPr>
            <w:tcW w:type="dxa" w:w="1928"/>
            <w:vAlign w:val="center"/>
          </w:tcPr>
          <w:p>
            <w:pPr>
              <w:jc w:val="right"/>
            </w:pPr>
            <w:r>
              <w:rPr>
                <w:b w:val="0"/>
                <w:i w:val="0"/>
                <w:color w:val="1B1B1B"/>
                <w:sz w:val="18"/>
              </w:rPr>
              <w:t>11.76%</w:t>
            </w:r>
          </w:p>
        </w:tc>
        <w:tc>
          <w:tcPr>
            <w:tcW w:type="dxa" w:w="1928"/>
            <w:vAlign w:val="center"/>
          </w:tcPr>
          <w:p>
            <w:pPr>
              <w:jc w:val="left"/>
            </w:pPr>
            <w:r>
              <w:rPr>
                <w:b w:val="0"/>
                <w:i w:val="0"/>
                <w:color w:val="1B1B1B"/>
                <w:sz w:val="18"/>
              </w:rPr>
              <w:t>Chain-linked over 12 months: prod(1 + r_t) - 1</w:t>
            </w:r>
          </w:p>
        </w:tc>
        <w:tc>
          <w:tcPr>
            <w:tcW w:type="dxa" w:w="1928"/>
            <w:vAlign w:val="center"/>
          </w:tcPr>
          <w:p>
            <w:pPr>
              <w:jc w:val="left"/>
            </w:pPr>
            <w:r>
              <w:rPr>
                <w:b w:val="0"/>
                <w:i w:val="0"/>
                <w:color w:val="1B1B1B"/>
                <w:sz w:val="18"/>
              </w:rPr>
              <w:t>12 input figures</w:t>
            </w:r>
          </w:p>
        </w:tc>
      </w:tr>
      <w:tr>
        <w:tc>
          <w:tcPr>
            <w:tcW w:type="dxa" w:w="3855"/>
            <w:vAlign w:val="center"/>
          </w:tcPr>
          <w:p>
            <w:pPr>
              <w:jc w:val="left"/>
            </w:pPr>
            <w:r>
              <w:rPr>
                <w:b w:val="0"/>
                <w:i w:val="0"/>
                <w:color w:val="1B1B1B"/>
                <w:sz w:val="18"/>
              </w:rPr>
              <w:t>Total active return explained, 1 year</w:t>
            </w:r>
          </w:p>
        </w:tc>
        <w:tc>
          <w:tcPr>
            <w:tcW w:type="dxa" w:w="1928"/>
            <w:vAlign w:val="center"/>
          </w:tcPr>
          <w:p>
            <w:pPr>
              <w:jc w:val="right"/>
            </w:pPr>
            <w:r>
              <w:rPr>
                <w:b w:val="0"/>
                <w:i w:val="0"/>
                <w:color w:val="1B1B1B"/>
                <w:sz w:val="18"/>
              </w:rPr>
              <w:t>-0.68%</w:t>
            </w:r>
          </w:p>
        </w:tc>
        <w:tc>
          <w:tcPr>
            <w:tcW w:type="dxa" w:w="1928"/>
            <w:vAlign w:val="center"/>
          </w:tcPr>
          <w:p>
            <w:pPr>
              <w:jc w:val="left"/>
            </w:pPr>
            <w:r>
              <w:rPr>
                <w:b w:val="0"/>
                <w:i w:val="0"/>
                <w:color w:val="1B1B1B"/>
                <w:sz w:val="18"/>
              </w:rPr>
              <w:t>Allocation + selection + interaction; equals compounded fund return - compounded benchmark return</w:t>
            </w:r>
          </w:p>
        </w:tc>
        <w:tc>
          <w:tcPr>
            <w:tcW w:type="dxa" w:w="1928"/>
            <w:vAlign w:val="center"/>
          </w:tcPr>
          <w:p>
            <w:pPr>
              <w:jc w:val="left"/>
            </w:pPr>
            <w:r>
              <w:rPr>
                <w:b w:val="0"/>
                <w:i w:val="0"/>
                <w:color w:val="1B1B1B"/>
                <w:sz w:val="18"/>
              </w:rPr>
              <w:t>3 input figures</w:t>
            </w:r>
          </w:p>
        </w:tc>
      </w:tr>
      <w:tr>
        <w:tc>
          <w:tcPr>
            <w:tcW w:type="dxa" w:w="3855"/>
            <w:vAlign w:val="center"/>
          </w:tcPr>
          <w:p>
            <w:pPr>
              <w:jc w:val="left"/>
            </w:pPr>
            <w:r>
              <w:rPr>
                <w:b w:val="0"/>
                <w:i w:val="0"/>
                <w:color w:val="1B1B1B"/>
                <w:sz w:val="18"/>
              </w:rPr>
              <w:t>Value of liabilities (PV of projected benefits)</w:t>
            </w:r>
          </w:p>
        </w:tc>
        <w:tc>
          <w:tcPr>
            <w:tcW w:type="dxa" w:w="1928"/>
            <w:vAlign w:val="center"/>
          </w:tcPr>
          <w:p>
            <w:pPr>
              <w:jc w:val="right"/>
            </w:pPr>
            <w:r>
              <w:rPr>
                <w:b w:val="0"/>
                <w:i w:val="0"/>
                <w:color w:val="1B1B1B"/>
                <w:sz w:val="18"/>
              </w:rPr>
              <w:t>£1.65bn</w:t>
            </w:r>
          </w:p>
        </w:tc>
        <w:tc>
          <w:tcPr>
            <w:tcW w:type="dxa" w:w="1928"/>
            <w:vAlign w:val="center"/>
          </w:tcPr>
          <w:p>
            <w:pPr>
              <w:jc w:val="left"/>
            </w:pPr>
            <w:r>
              <w:rPr>
                <w:b w:val="0"/>
                <w:i w:val="0"/>
                <w:color w:val="1B1B1B"/>
                <w:sz w:val="18"/>
              </w:rPr>
              <w:t>Sum of cashflow_t x discount factor_t, zero curve bootstrapped from government par yields</w:t>
            </w:r>
          </w:p>
        </w:tc>
        <w:tc>
          <w:tcPr>
            <w:tcW w:type="dxa" w:w="1928"/>
            <w:vAlign w:val="center"/>
          </w:tcPr>
          <w:p>
            <w:pPr>
              <w:jc w:val="left"/>
            </w:pPr>
            <w:r>
              <w:rPr>
                <w:b w:val="0"/>
                <w:i w:val="0"/>
                <w:color w:val="1B1B1B"/>
                <w:sz w:val="18"/>
              </w:rPr>
              <w:t>liability_cashflows_actuary_2026.csv (70 annual cashflows, dataset v4); gilt_par_curve_2026-09-30.csv (as of 2026-09-30, dataset v5)</w:t>
            </w:r>
          </w:p>
        </w:tc>
      </w:tr>
      <w:tr>
        <w:tc>
          <w:tcPr>
            <w:tcW w:type="dxa" w:w="3855"/>
            <w:vAlign w:val="center"/>
          </w:tcPr>
          <w:p>
            <w:pPr>
              <w:jc w:val="left"/>
            </w:pPr>
            <w:r>
              <w:rPr>
                <w:b w:val="0"/>
                <w:i w:val="0"/>
                <w:color w:val="1B1B1B"/>
                <w:sz w:val="18"/>
              </w:rPr>
              <w:t>Funding ratio</w:t>
            </w:r>
          </w:p>
        </w:tc>
        <w:tc>
          <w:tcPr>
            <w:tcW w:type="dxa" w:w="1928"/>
            <w:vAlign w:val="center"/>
          </w:tcPr>
          <w:p>
            <w:pPr>
              <w:jc w:val="right"/>
            </w:pPr>
            <w:r>
              <w:rPr>
                <w:b w:val="0"/>
                <w:i w:val="0"/>
                <w:color w:val="1B1B1B"/>
                <w:sz w:val="18"/>
              </w:rPr>
              <w:t>93.40%</w:t>
            </w:r>
          </w:p>
        </w:tc>
        <w:tc>
          <w:tcPr>
            <w:tcW w:type="dxa" w:w="1928"/>
            <w:vAlign w:val="center"/>
          </w:tcPr>
          <w:p>
            <w:pPr>
              <w:jc w:val="left"/>
            </w:pPr>
            <w:r>
              <w:rPr>
                <w:b w:val="0"/>
                <w:i w:val="0"/>
                <w:color w:val="1B1B1B"/>
                <w:sz w:val="18"/>
              </w:rPr>
              <w:t>Assets / liabilities</w:t>
            </w:r>
          </w:p>
        </w:tc>
        <w:tc>
          <w:tcPr>
            <w:tcW w:type="dxa" w:w="1928"/>
            <w:vAlign w:val="center"/>
          </w:tcPr>
          <w:p>
            <w:pPr>
              <w:jc w:val="left"/>
            </w:pPr>
            <w:r>
              <w:rPr>
                <w:b w:val="0"/>
                <w:i w:val="0"/>
                <w:color w:val="1B1B1B"/>
                <w:sz w:val="18"/>
              </w:rPr>
              <w:t>2 input figures</w:t>
            </w:r>
          </w:p>
        </w:tc>
      </w:tr>
      <w:tr>
        <w:tc>
          <w:tcPr>
            <w:tcW w:type="dxa" w:w="3855"/>
            <w:vAlign w:val="center"/>
          </w:tcPr>
          <w:p>
            <w:pPr>
              <w:jc w:val="left"/>
            </w:pPr>
            <w:r>
              <w:rPr>
                <w:b w:val="0"/>
                <w:i w:val="0"/>
                <w:color w:val="1B1B1B"/>
                <w:sz w:val="18"/>
              </w:rPr>
              <w:t>Interest-rate hedge ratio</w:t>
            </w:r>
          </w:p>
        </w:tc>
        <w:tc>
          <w:tcPr>
            <w:tcW w:type="dxa" w:w="1928"/>
            <w:vAlign w:val="center"/>
          </w:tcPr>
          <w:p>
            <w:pPr>
              <w:jc w:val="right"/>
            </w:pPr>
            <w:r>
              <w:rPr>
                <w:b w:val="0"/>
                <w:i w:val="0"/>
                <w:color w:val="1B1B1B"/>
                <w:sz w:val="18"/>
              </w:rPr>
              <w:t>81.96%</w:t>
            </w:r>
          </w:p>
        </w:tc>
        <w:tc>
          <w:tcPr>
            <w:tcW w:type="dxa" w:w="1928"/>
            <w:vAlign w:val="center"/>
          </w:tcPr>
          <w:p>
            <w:pPr>
              <w:jc w:val="left"/>
            </w:pPr>
            <w:r>
              <w:rPr>
                <w:b w:val="0"/>
                <w:i w:val="0"/>
                <w:color w:val="1B1B1B"/>
                <w:sz w:val="18"/>
              </w:rPr>
              <w:t>Asset PV01 / liability PV01</w:t>
            </w:r>
          </w:p>
        </w:tc>
        <w:tc>
          <w:tcPr>
            <w:tcW w:type="dxa" w:w="1928"/>
            <w:vAlign w:val="center"/>
          </w:tcPr>
          <w:p>
            <w:pPr>
              <w:jc w:val="left"/>
            </w:pPr>
            <w:r>
              <w:rPr>
                <w:b w:val="0"/>
                <w:i w:val="0"/>
                <w:color w:val="1B1B1B"/>
                <w:sz w:val="18"/>
              </w:rPr>
              <w:t>2 input figures</w:t>
            </w:r>
          </w:p>
        </w:tc>
      </w:tr>
    </w:tbl>
    <w:p/>
    <w:sectPr w:rsidR="00FC693F" w:rsidRPr="0006063C" w:rsidSect="00034616">
      <w:footerReference w:type="default" r:id="rId9"/>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val="0"/>
        <w:i w:val="0"/>
        <w:color w:val="8A8984"/>
        <w:sz w:val="16"/>
      </w:rPr>
      <w:t xml:space="preserve">Northbridge Engineering Pension Scheme  |  Quarterly Investment Report  |  September 2026  |  Confidential  |  Page </w:t>
    </w:r>
    <w:r>
      <w:rPr>
        <w:color w:val="8A8984"/>
        <w:sz w:val="16"/>
      </w:rPr>
      <w:fldChar w:fldCharType="begin"/>
    </w:r>
    <w:r>
      <w:rPr>
        <w:color w:val="8A8984"/>
        <w:sz w:val="16"/>
      </w:rPr>
      <w:instrText xml:space="preserve"> PAGE </w:instrText>
    </w:r>
    <w:r>
      <w:rPr>
        <w:color w:val="8A8984"/>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Investment Report - Northbridge Engineering Pension Scheme</dc:title>
  <dc:subject/>
  <dc:creator>Ledgerline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