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rPr>
          <w:b/>
          <w:i w:val="0"/>
          <w:color w:val="2A78D6"/>
          <w:sz w:val="22"/>
        </w:rPr>
        <w:t>NORTHBRIDGE ENGINEERING PENSION SCHEME</w:t>
      </w:r>
    </w:p>
    <w:p>
      <w:r>
        <w:rPr>
          <w:b/>
          <w:i w:val="0"/>
          <w:color w:val="17324D"/>
          <w:sz w:val="60"/>
        </w:rPr>
        <w:t>Investment Summary</w:t>
      </w:r>
    </w:p>
    <w:p>
      <w:pPr>
        <w:spacing w:after="800"/>
      </w:pPr>
      <w:r>
        <w:rPr>
          <w:b w:val="0"/>
          <w:i w:val="0"/>
          <w:color w:val="52514E"/>
          <w:sz w:val="28"/>
        </w:rPr>
        <w:t>Quarter to 30 September 2026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17324D"/>
          <w:left w:val="nil" w:sz="4" w:color="17324D"/>
          <w:bottom w:val="single" w:sz="4" w:color="17324D"/>
          <w:right w:val="nil" w:sz="4" w:color="17324D"/>
          <w:insideH w:val="nil" w:sz="4" w:color="17324D"/>
          <w:insideV w:val="nil" w:sz="4" w:color="17324D"/>
        </w:tblBorders>
      </w:tblPr>
      <w:tblGrid>
        <w:gridCol w:w="9638"/>
      </w:tblGrid>
      <w:tr>
        <w:trPr>
          <w:trHeight w:val="57"/>
        </w:trPr>
        <w:tc>
          <w:tcPr>
            <w:tcW w:type="dxa" w:w="9638"/>
          </w:tcPr>
          <w:p/>
        </w:tc>
      </w:tr>
    </w:tbl>
    <w:p>
      <w:pPr>
        <w:spacing w:before="360"/>
      </w:pPr>
      <w:r>
        <w:rPr>
          <w:b w:val="0"/>
          <w:i w:val="0"/>
          <w:color w:val="52514E"/>
          <w:sz w:val="20"/>
        </w:rPr>
        <w:t>Prepared for: Trustees (summary)</w:t>
      </w:r>
    </w:p>
    <w:p>
      <w:r>
        <w:rPr>
          <w:b w:val="0"/>
          <w:i/>
          <w:color w:val="8A8984"/>
          <w:sz w:val="18"/>
        </w:rPr>
        <w:t>Generated by Ledgerline from reconciled source data. Every figure is traceable to its source.</w:t>
      </w:r>
    </w:p>
    <w:p>
      <w:r>
        <w:br w:type="page"/>
      </w:r>
    </w:p>
    <w:p>
      <w:pPr>
        <w:pStyle w:val="Heading1"/>
      </w:pPr>
      <w:r>
        <w:t>Headlines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7D0"/>
          <w:left w:val="nil" w:sz="4" w:color="D9D7D0"/>
          <w:bottom w:val="single" w:sz="4" w:color="D9D7D0"/>
          <w:right w:val="nil" w:sz="4" w:color="D9D7D0"/>
          <w:insideH w:val="nil" w:sz="4" w:color="D9D7D0"/>
          <w:insideV w:val="nil" w:sz="4" w:color="D9D7D0"/>
        </w:tblBorders>
        <w:tblCellMar>
          <w:top w:w="120" w:type="dxa"/>
          <w:bottom w:w="120" w:type="dxa"/>
          <w:left w:w="120" w:type="dxa"/>
          <w:right w:w="12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3F2EE"/>
          </w:tcPr>
          <w:p>
            <w:r>
              <w:rPr>
                <w:b/>
                <w:i w:val="0"/>
                <w:color w:val="52514E"/>
                <w:sz w:val="15"/>
              </w:rPr>
              <w:t>QUARTER RETURN</w:t>
            </w:r>
          </w:p>
          <w:p>
            <w:pPr>
              <w:spacing w:before="40"/>
            </w:pPr>
            <w:r>
              <w:rPr>
                <w:b/>
                <w:i w:val="0"/>
                <w:color w:val="17324D"/>
                <w:sz w:val="34"/>
              </w:rPr>
              <w:t>4.06%</w:t>
            </w:r>
          </w:p>
          <w:p>
            <w:r>
              <w:rPr>
                <w:b w:val="0"/>
                <w:i w:val="0"/>
                <w:color w:val="C0392B"/>
                <w:sz w:val="16"/>
              </w:rPr>
              <w:t>-0.25% vs benchmark</w:t>
            </w:r>
          </w:p>
        </w:tc>
        <w:tc>
          <w:tcPr>
            <w:tcW w:type="dxa" w:w="3213"/>
            <w:shd w:val="clear" w:color="auto" w:fill="F3F2EE"/>
          </w:tcPr>
          <w:p>
            <w:r>
              <w:rPr>
                <w:b/>
                <w:i w:val="0"/>
                <w:color w:val="52514E"/>
                <w:sz w:val="15"/>
              </w:rPr>
              <w:t>FUNDING RATIO</w:t>
            </w:r>
          </w:p>
          <w:p>
            <w:pPr>
              <w:spacing w:before="40"/>
            </w:pPr>
            <w:r>
              <w:rPr>
                <w:b/>
                <w:i w:val="0"/>
                <w:color w:val="17324D"/>
                <w:sz w:val="34"/>
              </w:rPr>
              <w:t>93.40%</w:t>
            </w:r>
          </w:p>
        </w:tc>
        <w:tc>
          <w:tcPr>
            <w:tcW w:type="dxa" w:w="3213"/>
            <w:shd w:val="clear" w:color="auto" w:fill="F3F2EE"/>
          </w:tcPr>
          <w:p>
            <w:r>
              <w:rPr>
                <w:b/>
                <w:i w:val="0"/>
                <w:color w:val="52514E"/>
                <w:sz w:val="15"/>
              </w:rPr>
              <w:t>HEDGE RATIO</w:t>
            </w:r>
          </w:p>
          <w:p>
            <w:pPr>
              <w:spacing w:before="40"/>
            </w:pPr>
            <w:r>
              <w:rPr>
                <w:b/>
                <w:i w:val="0"/>
                <w:color w:val="17324D"/>
                <w:sz w:val="34"/>
              </w:rPr>
              <w:t>81.96%</w:t>
            </w:r>
          </w:p>
        </w:tc>
      </w:tr>
    </w:tbl>
    <w:p/>
    <w:p>
      <w:pPr>
        <w:pStyle w:val="Heading1"/>
      </w:pPr>
      <w:r>
        <w:t>Summary</w:t>
      </w:r>
    </w:p>
    <w:p>
      <w:pPr>
        <w:spacing w:line="288" w:lineRule="auto"/>
      </w:pPr>
      <w:r>
        <w:rPr>
          <w:b w:val="0"/>
          <w:i w:val="0"/>
          <w:color w:val="1B1B1B"/>
          <w:sz w:val="21"/>
        </w:rPr>
        <w:t>Over the quarter the Scheme's assets returned 4.06%, behind the benchmark return of 4.32% by 0.25%. Over one year the fund returned 11.76% against a benchmark of 12.44%, underperforming by 0.68%. Relative to benchmark, UK Property was the strongest mandate this quarter, ahead by 0.43%, while Diversified Growth lagged by 1.45%. Attribution over one year shows asset allocation added 0.21% and manager selection detracted 0.79%. The funding ratio stands at 93.40%, a deficit of £108.6m, and the interest-rate hedge covers 81.96% of the liabilities' sensitivity to rates. In our stress tests, a fall of one percentage point in interest rates would reduce the funding ratio by 3.18 percentage points, while a fall of a fifth in growth asset values would reduce it by 10.91 percentage points.</w:t>
      </w:r>
    </w:p>
    <w:p>
      <w:r>
        <w:rPr>
          <w:b w:val="0"/>
          <w:i/>
          <w:color w:val="0B7A3E"/>
          <w:sz w:val="16"/>
        </w:rPr>
        <w:t>✓ Commentary generated from the computed figures and verified.</w:t>
      </w:r>
    </w:p>
    <w:p>
      <w:pPr>
        <w:pStyle w:val="Heading1"/>
      </w:pPr>
      <w:r>
        <w:t>Performance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7D0"/>
          <w:left w:val="nil" w:sz="4" w:color="D9D7D0"/>
          <w:bottom w:val="single" w:sz="4" w:color="D9D7D0"/>
          <w:right w:val="nil" w:sz="4" w:color="D9D7D0"/>
          <w:insideH w:val="single" w:sz="4" w:color="D9D7D0"/>
          <w:insideV w:val="nil" w:sz="4" w:color="D9D7D0"/>
        </w:tblBorders>
        <w:tblCellMar>
          <w:top w:w="60" w:type="dxa"/>
          <w:bottom w:w="60" w:type="dxa"/>
          <w:left w:w="90" w:type="dxa"/>
          <w:right w:w="9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2699"/>
            <w:shd w:val="clear" w:color="auto" w:fill="17324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Mandate</w:t>
            </w:r>
          </w:p>
        </w:tc>
        <w:tc>
          <w:tcPr>
            <w:tcW w:type="dxa" w:w="1388"/>
            <w:shd w:val="clear" w:color="auto" w:fill="17324D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7"/>
              </w:rPr>
              <w:t>Value</w:t>
            </w:r>
          </w:p>
        </w:tc>
        <w:tc>
          <w:tcPr>
            <w:tcW w:type="dxa" w:w="1388"/>
            <w:shd w:val="clear" w:color="auto" w:fill="17324D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7"/>
              </w:rPr>
              <w:t>Quarter</w:t>
            </w:r>
          </w:p>
        </w:tc>
        <w:tc>
          <w:tcPr>
            <w:tcW w:type="dxa" w:w="1388"/>
            <w:shd w:val="clear" w:color="auto" w:fill="17324D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7"/>
              </w:rPr>
              <w:t>vs bmk</w:t>
            </w:r>
          </w:p>
        </w:tc>
        <w:tc>
          <w:tcPr>
            <w:tcW w:type="dxa" w:w="1388"/>
            <w:shd w:val="clear" w:color="auto" w:fill="17324D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7"/>
              </w:rPr>
              <w:t>1 year</w:t>
            </w:r>
          </w:p>
        </w:tc>
        <w:tc>
          <w:tcPr>
            <w:tcW w:type="dxa" w:w="1388"/>
            <w:shd w:val="clear" w:color="auto" w:fill="17324D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7"/>
              </w:rPr>
              <w:t>vs bmk</w:t>
            </w:r>
          </w:p>
        </w:tc>
      </w:tr>
      <w:tr>
        <w:tc>
          <w:tcPr>
            <w:tcW w:type="dxa" w:w="2699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B1B1B"/>
                <w:sz w:val="18"/>
              </w:rPr>
              <w:t>Global Equity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£429.0m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10.26%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B7A3E"/>
                <w:sz w:val="18"/>
              </w:rPr>
              <w:t>+0.41%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26.16%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392B"/>
                <w:sz w:val="18"/>
              </w:rPr>
              <w:t>-2.08%</w:t>
            </w:r>
          </w:p>
        </w:tc>
      </w:tr>
      <w:tr>
        <w:tc>
          <w:tcPr>
            <w:tcW w:type="dxa" w:w="2699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B1B1B"/>
                <w:sz w:val="18"/>
              </w:rPr>
              <w:t>Emerging Markets Equity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£155.2m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-3.11%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392B"/>
                <w:sz w:val="18"/>
              </w:rPr>
              <w:t>-0.74%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15.08%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392B"/>
                <w:sz w:val="18"/>
              </w:rPr>
              <w:t>-5.84%</w:t>
            </w:r>
          </w:p>
        </w:tc>
      </w:tr>
      <w:tr>
        <w:tc>
          <w:tcPr>
            <w:tcW w:type="dxa" w:w="2699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B1B1B"/>
                <w:sz w:val="18"/>
              </w:rPr>
              <w:t>Diversified Growth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£156.3m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3.49%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392B"/>
                <w:sz w:val="18"/>
              </w:rPr>
              <w:t>-1.45%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10.35%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392B"/>
                <w:sz w:val="18"/>
              </w:rPr>
              <w:t>-2.10%</w:t>
            </w:r>
          </w:p>
        </w:tc>
      </w:tr>
      <w:tr>
        <w:tc>
          <w:tcPr>
            <w:tcW w:type="dxa" w:w="2699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B1B1B"/>
                <w:sz w:val="18"/>
              </w:rPr>
              <w:t>UK Property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£156.6m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1.41%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B7A3E"/>
                <w:sz w:val="18"/>
              </w:rPr>
              <w:t>+0.43%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14.41%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B7A3E"/>
                <w:sz w:val="18"/>
              </w:rPr>
              <w:t>+1.91%</w:t>
            </w:r>
          </w:p>
        </w:tc>
      </w:tr>
      <w:tr>
        <w:tc>
          <w:tcPr>
            <w:tcW w:type="dxa" w:w="2699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B1B1B"/>
                <w:sz w:val="18"/>
              </w:rPr>
              <w:t>Buy &amp; Maintain Credit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£216.7m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2.79%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B7A3E"/>
                <w:sz w:val="18"/>
              </w:rPr>
              <w:t>+0.16%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4.66%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B7A3E"/>
                <w:sz w:val="18"/>
              </w:rPr>
              <w:t>+1.72%</w:t>
            </w:r>
          </w:p>
        </w:tc>
      </w:tr>
      <w:tr>
        <w:tc>
          <w:tcPr>
            <w:tcW w:type="dxa" w:w="2699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B1B1B"/>
                <w:sz w:val="18"/>
              </w:rPr>
              <w:t>Liability Driven Investment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£422.9m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3.36%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B7A3E"/>
                <w:sz w:val="18"/>
              </w:rPr>
              <w:t>+0.17%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1.25%</w:t>
            </w:r>
          </w:p>
        </w:tc>
        <w:tc>
          <w:tcPr>
            <w:tcW w:type="dxa" w:w="1388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392B"/>
                <w:sz w:val="18"/>
              </w:rPr>
              <w:t>-0.06%</w:t>
            </w:r>
          </w:p>
        </w:tc>
      </w:tr>
      <w:tr>
        <w:tc>
          <w:tcPr>
            <w:tcW w:type="dxa" w:w="2699"/>
            <w:vAlign w:val="center"/>
            <w:shd w:val="clear" w:color="auto" w:fill="F3F2EE"/>
          </w:tcPr>
          <w:p>
            <w:pPr>
              <w:jc w:val="left"/>
            </w:pPr>
            <w:r>
              <w:rPr>
                <w:b/>
                <w:i w:val="0"/>
                <w:color w:val="1B1B1B"/>
                <w:sz w:val="18"/>
              </w:rPr>
              <w:t>Total fund</w:t>
            </w:r>
          </w:p>
        </w:tc>
        <w:tc>
          <w:tcPr>
            <w:tcW w:type="dxa" w:w="1388"/>
            <w:vAlign w:val="center"/>
            <w:shd w:val="clear" w:color="auto" w:fill="F3F2EE"/>
          </w:tcPr>
          <w:p>
            <w:pPr>
              <w:jc w:val="right"/>
            </w:pPr>
            <w:r>
              <w:rPr>
                <w:b/>
                <w:i w:val="0"/>
                <w:color w:val="1B1B1B"/>
                <w:sz w:val="18"/>
              </w:rPr>
              <w:t>£1.54bn</w:t>
            </w:r>
          </w:p>
        </w:tc>
        <w:tc>
          <w:tcPr>
            <w:tcW w:type="dxa" w:w="1388"/>
            <w:vAlign w:val="center"/>
            <w:shd w:val="clear" w:color="auto" w:fill="F3F2EE"/>
          </w:tcPr>
          <w:p>
            <w:pPr>
              <w:jc w:val="right"/>
            </w:pPr>
            <w:r>
              <w:rPr>
                <w:b/>
                <w:i w:val="0"/>
                <w:color w:val="1B1B1B"/>
                <w:sz w:val="18"/>
              </w:rPr>
              <w:t>4.06%</w:t>
            </w:r>
          </w:p>
        </w:tc>
        <w:tc>
          <w:tcPr>
            <w:tcW w:type="dxa" w:w="1388"/>
            <w:vAlign w:val="center"/>
            <w:shd w:val="clear" w:color="auto" w:fill="F3F2EE"/>
          </w:tcPr>
          <w:p>
            <w:pPr>
              <w:jc w:val="right"/>
            </w:pPr>
            <w:r>
              <w:rPr>
                <w:b/>
                <w:i w:val="0"/>
                <w:color w:val="C0392B"/>
                <w:sz w:val="18"/>
              </w:rPr>
              <w:t>-0.25%</w:t>
            </w:r>
          </w:p>
        </w:tc>
        <w:tc>
          <w:tcPr>
            <w:tcW w:type="dxa" w:w="1388"/>
            <w:vAlign w:val="center"/>
            <w:shd w:val="clear" w:color="auto" w:fill="F3F2EE"/>
          </w:tcPr>
          <w:p>
            <w:pPr>
              <w:jc w:val="right"/>
            </w:pPr>
            <w:r>
              <w:rPr>
                <w:b/>
                <w:i w:val="0"/>
                <w:color w:val="1B1B1B"/>
                <w:sz w:val="18"/>
              </w:rPr>
              <w:t>11.76%</w:t>
            </w:r>
          </w:p>
        </w:tc>
        <w:tc>
          <w:tcPr>
            <w:tcW w:type="dxa" w:w="1388"/>
            <w:vAlign w:val="center"/>
            <w:shd w:val="clear" w:color="auto" w:fill="F3F2EE"/>
          </w:tcPr>
          <w:p>
            <w:pPr>
              <w:jc w:val="right"/>
            </w:pPr>
            <w:r>
              <w:rPr>
                <w:b/>
                <w:i w:val="0"/>
                <w:color w:val="C0392B"/>
                <w:sz w:val="18"/>
              </w:rPr>
              <w:t>-0.68%</w:t>
            </w:r>
          </w:p>
        </w:tc>
      </w:tr>
    </w:tbl>
    <w:p>
      <w:pPr>
        <w:spacing w:before="60"/>
      </w:pPr>
      <w:r>
        <w:rPr>
          <w:b w:val="0"/>
          <w:i/>
          <w:color w:val="8A8984"/>
          <w:sz w:val="16"/>
        </w:rPr>
        <w:t>Returns are time-weighted (Modified Dietz monthly, chain-linked); periods over one year are annualised. 'vs bmk' = fund return minus benchmark return.</w:t>
      </w:r>
    </w:p>
    <w:p/>
    <w:p>
      <w:pPr>
        <w:pStyle w:val="Heading2"/>
      </w:pPr>
      <w:r>
        <w:t>Benchmark returns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7D0"/>
          <w:left w:val="nil" w:sz="4" w:color="D9D7D0"/>
          <w:bottom w:val="single" w:sz="4" w:color="D9D7D0"/>
          <w:right w:val="nil" w:sz="4" w:color="D9D7D0"/>
          <w:insideH w:val="single" w:sz="4" w:color="D9D7D0"/>
          <w:insideV w:val="nil" w:sz="4" w:color="D9D7D0"/>
        </w:tblBorders>
        <w:tblCellMar>
          <w:top w:w="60" w:type="dxa"/>
          <w:bottom w:w="60" w:type="dxa"/>
          <w:left w:w="90" w:type="dxa"/>
          <w:right w:w="9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855"/>
            <w:shd w:val="clear" w:color="auto" w:fill="17324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Benchmark</w:t>
            </w:r>
          </w:p>
        </w:tc>
        <w:tc>
          <w:tcPr>
            <w:tcW w:type="dxa" w:w="2891"/>
            <w:shd w:val="clear" w:color="auto" w:fill="17324D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7"/>
              </w:rPr>
              <w:t>Quarter</w:t>
            </w:r>
          </w:p>
        </w:tc>
        <w:tc>
          <w:tcPr>
            <w:tcW w:type="dxa" w:w="2891"/>
            <w:shd w:val="clear" w:color="auto" w:fill="17324D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7"/>
              </w:rPr>
              <w:t>1 year</w:t>
            </w:r>
          </w:p>
        </w:tc>
      </w:tr>
      <w:tr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B1B1B"/>
                <w:sz w:val="18"/>
              </w:rPr>
              <w:t>Global equity index (GBP)</w:t>
            </w:r>
          </w:p>
        </w:tc>
        <w:tc>
          <w:tcPr>
            <w:tcW w:type="dxa" w:w="2891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9.86%</w:t>
            </w:r>
          </w:p>
        </w:tc>
        <w:tc>
          <w:tcPr>
            <w:tcW w:type="dxa" w:w="2891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28.23%</w:t>
            </w:r>
          </w:p>
        </w:tc>
      </w:tr>
      <w:tr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B1B1B"/>
                <w:sz w:val="18"/>
              </w:rPr>
              <w:t>EM equity index (GBP)</w:t>
            </w:r>
          </w:p>
        </w:tc>
        <w:tc>
          <w:tcPr>
            <w:tcW w:type="dxa" w:w="2891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-2.37%</w:t>
            </w:r>
          </w:p>
        </w:tc>
        <w:tc>
          <w:tcPr>
            <w:tcW w:type="dxa" w:w="2891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20.92%</w:t>
            </w:r>
          </w:p>
        </w:tc>
      </w:tr>
      <w:tr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B1B1B"/>
                <w:sz w:val="18"/>
              </w:rPr>
              <w:t>SONIA + 4% p.a.</w:t>
            </w:r>
          </w:p>
        </w:tc>
        <w:tc>
          <w:tcPr>
            <w:tcW w:type="dxa" w:w="2891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4.94%</w:t>
            </w:r>
          </w:p>
        </w:tc>
        <w:tc>
          <w:tcPr>
            <w:tcW w:type="dxa" w:w="2891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12.45%</w:t>
            </w:r>
          </w:p>
        </w:tc>
      </w:tr>
      <w:tr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B1B1B"/>
                <w:sz w:val="18"/>
              </w:rPr>
              <w:t>UK property index</w:t>
            </w:r>
          </w:p>
        </w:tc>
        <w:tc>
          <w:tcPr>
            <w:tcW w:type="dxa" w:w="2891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0.98%</w:t>
            </w:r>
          </w:p>
        </w:tc>
        <w:tc>
          <w:tcPr>
            <w:tcW w:type="dxa" w:w="2891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12.50%</w:t>
            </w:r>
          </w:p>
        </w:tc>
      </w:tr>
      <w:tr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B1B1B"/>
                <w:sz w:val="18"/>
              </w:rPr>
              <w:t>Sterling corporate bond index</w:t>
            </w:r>
          </w:p>
        </w:tc>
        <w:tc>
          <w:tcPr>
            <w:tcW w:type="dxa" w:w="2891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2.64%</w:t>
            </w:r>
          </w:p>
        </w:tc>
        <w:tc>
          <w:tcPr>
            <w:tcW w:type="dxa" w:w="2891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2.95%</w:t>
            </w:r>
          </w:p>
        </w:tc>
      </w:tr>
      <w:tr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B1B1B"/>
                <w:sz w:val="18"/>
              </w:rPr>
              <w:t>Scheme liability benchmark</w:t>
            </w:r>
          </w:p>
        </w:tc>
        <w:tc>
          <w:tcPr>
            <w:tcW w:type="dxa" w:w="2891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3.18%</w:t>
            </w:r>
          </w:p>
        </w:tc>
        <w:tc>
          <w:tcPr>
            <w:tcW w:type="dxa" w:w="2891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1.31%</w:t>
            </w:r>
          </w:p>
        </w:tc>
      </w:tr>
      <w:tr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B1B1B"/>
                <w:sz w:val="18"/>
              </w:rPr>
              <w:t>Total benchmark</w:t>
            </w:r>
          </w:p>
        </w:tc>
        <w:tc>
          <w:tcPr>
            <w:tcW w:type="dxa" w:w="2891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4.32%</w:t>
            </w:r>
          </w:p>
        </w:tc>
        <w:tc>
          <w:tcPr>
            <w:tcW w:type="dxa" w:w="2891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12.44%</w:t>
            </w:r>
          </w:p>
        </w:tc>
      </w:tr>
    </w:tbl>
    <w:p/>
    <w:p>
      <w:pPr>
        <w:pStyle w:val="Heading1"/>
      </w:pPr>
      <w:r>
        <w:t>Funding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7D0"/>
          <w:left w:val="nil" w:sz="4" w:color="D9D7D0"/>
          <w:bottom w:val="single" w:sz="4" w:color="D9D7D0"/>
          <w:right w:val="nil" w:sz="4" w:color="D9D7D0"/>
          <w:insideH w:val="nil" w:sz="4" w:color="D9D7D0"/>
          <w:insideV w:val="nil" w:sz="4" w:color="D9D7D0"/>
        </w:tblBorders>
        <w:tblCellMar>
          <w:top w:w="120" w:type="dxa"/>
          <w:bottom w:w="120" w:type="dxa"/>
          <w:left w:w="120" w:type="dxa"/>
          <w:right w:w="12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F3F2EE"/>
          </w:tcPr>
          <w:p>
            <w:r>
              <w:rPr>
                <w:b/>
                <w:i w:val="0"/>
                <w:color w:val="52514E"/>
                <w:sz w:val="15"/>
              </w:rPr>
              <w:t>FUNDING RATIO</w:t>
            </w:r>
          </w:p>
          <w:p>
            <w:pPr>
              <w:spacing w:before="40"/>
            </w:pPr>
            <w:r>
              <w:rPr>
                <w:b/>
                <w:i w:val="0"/>
                <w:color w:val="17324D"/>
                <w:sz w:val="34"/>
              </w:rPr>
              <w:t>93.40%</w:t>
            </w:r>
          </w:p>
        </w:tc>
        <w:tc>
          <w:tcPr>
            <w:tcW w:type="dxa" w:w="1928"/>
            <w:shd w:val="clear" w:color="auto" w:fill="F3F2EE"/>
          </w:tcPr>
          <w:p>
            <w:r>
              <w:rPr>
                <w:b/>
                <w:i w:val="0"/>
                <w:color w:val="52514E"/>
                <w:sz w:val="15"/>
              </w:rPr>
              <w:t>LIABILITIES</w:t>
            </w:r>
          </w:p>
          <w:p>
            <w:pPr>
              <w:spacing w:before="40"/>
            </w:pPr>
            <w:r>
              <w:rPr>
                <w:b/>
                <w:i w:val="0"/>
                <w:color w:val="17324D"/>
                <w:sz w:val="34"/>
              </w:rPr>
              <w:t>£1.65bn</w:t>
            </w:r>
          </w:p>
        </w:tc>
        <w:tc>
          <w:tcPr>
            <w:tcW w:type="dxa" w:w="1928"/>
            <w:shd w:val="clear" w:color="auto" w:fill="F3F2EE"/>
          </w:tcPr>
          <w:p>
            <w:r>
              <w:rPr>
                <w:b/>
                <w:i w:val="0"/>
                <w:color w:val="52514E"/>
                <w:sz w:val="15"/>
              </w:rPr>
              <w:t>SURPLUS / (DEFICIT)</w:t>
            </w:r>
          </w:p>
          <w:p>
            <w:pPr>
              <w:spacing w:before="40"/>
            </w:pPr>
            <w:r>
              <w:rPr>
                <w:b/>
                <w:i w:val="0"/>
                <w:color w:val="17324D"/>
                <w:sz w:val="34"/>
              </w:rPr>
              <w:t>-£108.6m</w:t>
            </w:r>
          </w:p>
        </w:tc>
        <w:tc>
          <w:tcPr>
            <w:tcW w:type="dxa" w:w="1928"/>
            <w:shd w:val="clear" w:color="auto" w:fill="F3F2EE"/>
          </w:tcPr>
          <w:p>
            <w:r>
              <w:rPr>
                <w:b/>
                <w:i w:val="0"/>
                <w:color w:val="52514E"/>
                <w:sz w:val="15"/>
              </w:rPr>
              <w:t>HEDGE RATIO</w:t>
            </w:r>
          </w:p>
          <w:p>
            <w:pPr>
              <w:spacing w:before="40"/>
            </w:pPr>
            <w:r>
              <w:rPr>
                <w:b/>
                <w:i w:val="0"/>
                <w:color w:val="17324D"/>
                <w:sz w:val="34"/>
              </w:rPr>
              <w:t>81.96%</w:t>
            </w:r>
          </w:p>
        </w:tc>
        <w:tc>
          <w:tcPr>
            <w:tcW w:type="dxa" w:w="1928"/>
            <w:shd w:val="clear" w:color="auto" w:fill="F3F2EE"/>
          </w:tcPr>
          <w:p>
            <w:r>
              <w:rPr>
                <w:b/>
                <w:i w:val="0"/>
                <w:color w:val="52514E"/>
                <w:sz w:val="15"/>
              </w:rPr>
              <w:t>LIABILITY DURATION</w:t>
            </w:r>
          </w:p>
          <w:p>
            <w:pPr>
              <w:spacing w:before="40"/>
            </w:pPr>
            <w:r>
              <w:rPr>
                <w:b/>
                <w:i w:val="0"/>
                <w:color w:val="17324D"/>
                <w:sz w:val="34"/>
              </w:rPr>
              <w:t>15.6 yrs</w:t>
            </w:r>
          </w:p>
        </w:tc>
      </w:tr>
    </w:tbl>
    <w:p/>
    <w:p>
      <w:pPr>
        <w:pStyle w:val="Heading2"/>
      </w:pPr>
      <w:r>
        <w:t>Stress tests: change in funding ratio</w:t>
      </w:r>
    </w:p>
    <w:p>
      <w:r>
        <w:drawing>
          <wp:inline xmlns:a="http://schemas.openxmlformats.org/drawingml/2006/main" xmlns:pic="http://schemas.openxmlformats.org/drawingml/2006/picture">
            <wp:extent cx="6120000" cy="25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7D0"/>
          <w:left w:val="nil" w:sz="4" w:color="D9D7D0"/>
          <w:bottom w:val="single" w:sz="4" w:color="D9D7D0"/>
          <w:right w:val="nil" w:sz="4" w:color="D9D7D0"/>
          <w:insideH w:val="single" w:sz="4" w:color="D9D7D0"/>
          <w:insideV w:val="nil" w:sz="4" w:color="D9D7D0"/>
        </w:tblBorders>
        <w:tblCellMar>
          <w:top w:w="60" w:type="dxa"/>
          <w:bottom w:w="60" w:type="dxa"/>
          <w:left w:w="90" w:type="dxa"/>
          <w:right w:w="9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855"/>
            <w:shd w:val="clear" w:color="auto" w:fill="17324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Scenario</w:t>
            </w:r>
          </w:p>
        </w:tc>
        <w:tc>
          <w:tcPr>
            <w:tcW w:type="dxa" w:w="2891"/>
            <w:shd w:val="clear" w:color="auto" w:fill="17324D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7"/>
              </w:rPr>
              <w:t>Funding ratio after</w:t>
            </w:r>
          </w:p>
        </w:tc>
        <w:tc>
          <w:tcPr>
            <w:tcW w:type="dxa" w:w="2891"/>
            <w:shd w:val="clear" w:color="auto" w:fill="17324D"/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7"/>
              </w:rPr>
              <w:t>Change</w:t>
            </w:r>
          </w:p>
        </w:tc>
      </w:tr>
      <w:tr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B1B1B"/>
                <w:sz w:val="18"/>
              </w:rPr>
              <w:t>Rates -100bp</w:t>
            </w:r>
          </w:p>
        </w:tc>
        <w:tc>
          <w:tcPr>
            <w:tcW w:type="dxa" w:w="2891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90.22%</w:t>
            </w:r>
          </w:p>
        </w:tc>
        <w:tc>
          <w:tcPr>
            <w:tcW w:type="dxa" w:w="2891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392B"/>
                <w:sz w:val="18"/>
              </w:rPr>
              <w:t>-3.18%</w:t>
            </w:r>
          </w:p>
        </w:tc>
      </w:tr>
      <w:tr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B1B1B"/>
                <w:sz w:val="18"/>
              </w:rPr>
              <w:t>Rates +100bp</w:t>
            </w:r>
          </w:p>
        </w:tc>
        <w:tc>
          <w:tcPr>
            <w:tcW w:type="dxa" w:w="2891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93.64%</w:t>
            </w:r>
          </w:p>
        </w:tc>
        <w:tc>
          <w:tcPr>
            <w:tcW w:type="dxa" w:w="2891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0B7A3E"/>
                <w:sz w:val="18"/>
              </w:rPr>
              <w:t>+0.24%</w:t>
            </w:r>
          </w:p>
        </w:tc>
      </w:tr>
      <w:tr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B1B1B"/>
                <w:sz w:val="18"/>
              </w:rPr>
              <w:t>Equities -20%</w:t>
            </w:r>
          </w:p>
        </w:tc>
        <w:tc>
          <w:tcPr>
            <w:tcW w:type="dxa" w:w="2891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82.49%</w:t>
            </w:r>
          </w:p>
        </w:tc>
        <w:tc>
          <w:tcPr>
            <w:tcW w:type="dxa" w:w="2891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392B"/>
                <w:sz w:val="18"/>
              </w:rPr>
              <w:t>-10.91%</w:t>
            </w:r>
          </w:p>
        </w:tc>
      </w:tr>
      <w:tr>
        <w:tc>
          <w:tcPr>
            <w:tcW w:type="dxa" w:w="3855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B1B1B"/>
                <w:sz w:val="18"/>
              </w:rPr>
              <w:t>Equities -20% &amp; rates -50bp</w:t>
            </w:r>
          </w:p>
        </w:tc>
        <w:tc>
          <w:tcPr>
            <w:tcW w:type="dxa" w:w="2891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1B1B1B"/>
                <w:sz w:val="18"/>
              </w:rPr>
              <w:t>82.08%</w:t>
            </w:r>
          </w:p>
        </w:tc>
        <w:tc>
          <w:tcPr>
            <w:tcW w:type="dxa" w:w="2891"/>
            <w:vAlign w:val="center"/>
          </w:tcPr>
          <w:p>
            <w:pPr>
              <w:jc w:val="right"/>
            </w:pPr>
            <w:r>
              <w:rPr>
                <w:b w:val="0"/>
                <w:i w:val="0"/>
                <w:color w:val="C0392B"/>
                <w:sz w:val="18"/>
              </w:rPr>
              <w:t>-11.32%</w:t>
            </w:r>
          </w:p>
        </w:tc>
      </w:tr>
    </w:tbl>
    <w:p>
      <w:pPr>
        <w:spacing w:before="60"/>
      </w:pPr>
      <w:r>
        <w:rPr>
          <w:b w:val="0"/>
          <w:i/>
          <w:color w:val="8A8984"/>
          <w:sz w:val="16"/>
        </w:rPr>
        <w:t>Liabilities are revalued on a shifted zero curve bootstrapped from government par yields; rate-sensitive assets move by -duration x shift; growth assets take the equity shock.</w:t>
      </w:r>
    </w:p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b w:val="0"/>
        <w:i w:val="0"/>
        <w:color w:val="8A8984"/>
        <w:sz w:val="16"/>
      </w:rPr>
      <w:t xml:space="preserve">Northbridge Engineering Pension Scheme  |  Investment Summary  |  September 2026  |  Confidential  |  Page </w:t>
    </w:r>
    <w:r>
      <w:rPr>
        <w:color w:val="8A8984"/>
        <w:sz w:val="16"/>
      </w:rPr>
      <w:fldChar w:fldCharType="begin"/>
    </w:r>
    <w:r>
      <w:rPr>
        <w:color w:val="8A8984"/>
        <w:sz w:val="16"/>
      </w:rPr>
      <w:instrText xml:space="preserve"> PAGE </w:instrText>
    </w:r>
    <w:r>
      <w:rPr>
        <w:color w:val="8A8984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732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Investment Summary - Northbridge Engineering Pension Scheme</dc:title>
  <dc:subject/>
  <dc:creator>Ledgerline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