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Quarterly Report</w:t>
      </w:r>
    </w:p>
    <w:p>
      <w:pPr>
        <w:pStyle w:val="Subtitle"/>
      </w:pPr>
      <w:r>
        <w:t xml:space="preserve">Prepared for the board</w:t>
      </w:r>
    </w:p>
    <w:p>
      <w:pPr>
        <w:pStyle w:val="Heading1"/>
      </w:pPr>
      <w:r>
        <w:t xml:space="preserve">Overview</w:t>
      </w:r>
    </w:p>
    <w:p>
      <w:r>
        <w:t xml:space="preserve">Revenue grew by </w:t>
      </w:r>
      <w:r>
        <w:rPr>
          <w:b/>
        </w:rPr>
        <w:t xml:space="preserve">42%</w:t>
      </w:r>
      <w:r>
        <w:t xml:space="preserve"> this quarter, ahead of the </w:t>
      </w:r>
      <w:r>
        <w:rPr>
          <w:i/>
        </w:rPr>
        <w:t xml:space="preserve">conservative</w:t>
      </w:r>
      <w:r>
        <w:t xml:space="preserve"> forecast. </w:t>
      </w:r>
      <w:r>
        <w:rPr>
          <w:strike/>
        </w:rPr>
        <w:t xml:space="preserve">Down 3%</w:t>
      </w:r>
      <w:r>
        <w:t xml:space="preserve"> was the earlier estimate.</w:t>
      </w:r>
    </w:p>
    <w:p>
      <w:pPr>
        <w:pStyle w:val="ListParagraph"/>
        <w:numPr>
          <w:ilvl w:val="0"/>
          <w:numId w:val="1"/>
        </w:numPr>
      </w:pPr>
      <w:r>
        <w:t xml:space="preserve">First key result</w:t>
      </w:r>
    </w:p>
    <w:p>
      <w:pPr>
        <w:pStyle w:val="ListParagraph"/>
        <w:numPr>
          <w:ilvl w:val="0"/>
          <w:numId w:val="1"/>
        </w:numPr>
      </w:pPr>
      <w:r>
        <w:t xml:space="preserve">Second key result</w:t>
      </w:r>
    </w:p>
    <w:p>
      <w:pPr>
        <w:pStyle w:val="Heading2"/>
      </w:pPr>
      <w:r>
        <w:t xml:space="preserve">Details</w:t>
      </w:r>
    </w:p>
    <w:p>
      <w:pPr>
        <w:pStyle w:val="Quote"/>
      </w:pPr>
      <w:r>
        <w:t xml:space="preserve">Growth was broad-based across every region.</w:t>
      </w:r>
    </w:p>
    <w:tbl>
      <w:t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Revenue</w:t>
            </w:r>
          </w:p>
        </w:tc>
      </w:tr>
      <w:tr>
        <w:tc>
          <w:tcPr/>
          <w:p>
            <w:r>
              <w:t xml:space="preserve">EMEA</w:t>
            </w:r>
          </w:p>
        </w:tc>
        <w:tc>
          <w:tcPr/>
          <w:p>
            <w:r>
              <w:t xml:space="preserve">1.2M</w:t>
            </w:r>
          </w:p>
        </w:tc>
      </w:tr>
    </w:tbl>
    <w:p>
      <w:r>
        <w:t xml:space="preserve">See </w:t>
      </w:r>
      <w:hyperlink r:id="rHyper">
        <w:r>
          <w:t xml:space="preserve">the full breakdown</w:t>
        </w:r>
      </w:hyperlink>
      <w:r>
        <w:t xml:space="preserve"> for more.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Hyper" Type="http://schemas.openxmlformats.org/officeDocument/2006/relationships/hyperlink" Target="https://example.com/q3" TargetMode="External"/>
</Relationships>
</file>