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Chart below.</w:t>
      </w:r>
    </w:p>
    <w:p>
      <w:r>
        <w:drawing>
          <wp:inline>
            <wp:docPr id="1" name="Picture" descr="Revenue chart"/>
            <a:graphic>
              <a:graphicData>
                <pic:pic>
                  <pic:blipFill>
                    <a:blip r:embed="rIdSmall"/>
                  </pic:blipFill>
                </pic:pic>
              </a:graphicData>
            </a:graphic>
          </wp:inline>
        </w:drawing>
      </w:r>
    </w:p>
    <w:p>
      <w:r>
        <w:drawing>
          <wp:inline>
            <wp:docPr id="1" name="Picture" descr="Full page scan"/>
            <a:graphic>
              <a:graphicData>
                <pic:pic>
                  <pic:blipFill>
                    <a:blip r:embed="rIdBig"/>
                  </pic:blipFill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  <Relationship Id="rIdSmall" Type="http://schemas.openxmlformats.org/officeDocument/2006/relationships/image" Target="media/small.png"/>
  <Relationship Id="rIdBig" Type="http://schemas.openxmlformats.org/officeDocument/2006/relationships/image" Target="media/big.png"/>
</Relationships>
</file>