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i/>
          <w:iCs/>
          <w:color w:val="555555"/>
          <w:sz w:val="20"/>
          <w:szCs w:val="20"/>
        </w:rPr>
        <w:t xml:space="preserve">DecodeLabs — Cybersecurity Training Track</w:t>
      </w:r>
    </w:p>
    <w:p>
      <w:pPr>
        <w:spacing w:after="60"/>
      </w:pPr>
      <w:r>
        <w:rPr>
          <w:b/>
          <w:bCs/>
          <w:color w:val="1A1A1A"/>
          <w:sz w:val="40"/>
          <w:szCs w:val="40"/>
        </w:rPr>
        <w:t xml:space="preserve">Project 3: Phishing Awareness Analysis</w:t>
      </w:r>
    </w:p>
    <w:p>
      <w:pPr>
        <w:spacing w:after="150" w:line="300"/>
      </w:pPr>
      <w:r>
        <w:rPr>
          <w:i/>
          <w:iCs/>
          <w:color w:val="555555"/>
          <w:sz w:val="20"/>
          <w:szCs w:val="20"/>
        </w:rPr>
        <w:t xml:space="preserve">Submitted as part of the Detection Phase — Batch 2026</w:t>
      </w:r>
    </w:p>
    <w:p>
      <w:pPr>
        <w:spacing w:after="200"/>
      </w:pPr>
    </w:p>
    <w:p>
      <w:pPr>
        <w:pStyle w:val="Heading1"/>
        <w:spacing w:after="200" w:before="400"/>
      </w:pPr>
      <w:r>
        <w:rPr>
          <w:b/>
          <w:bCs/>
          <w:color w:val="1A1A1A"/>
          <w:sz w:val="32"/>
          <w:szCs w:val="32"/>
        </w:rPr>
        <w:t xml:space="preserve">1. Objective</w:t>
      </w:r>
    </w:p>
    <w:p>
      <w:pPr>
        <w:spacing w:after="150" w:line="300"/>
      </w:pPr>
      <w:r>
        <w:rPr>
          <w:sz w:val="22"/>
          <w:szCs w:val="22"/>
        </w:rPr>
        <w:t xml:space="preserve">This report analyzes four sample messages collected as part of a simulated inbox audit. For each sample I've broken down the delivery method, flagged every indicator that suggested the message was not legitimate, and explained in plain terms why an average employee should not act on it. The last section pulls everything together into a short checklist and a triage decision tree that a non-technical staff member could actually use.</w:t>
      </w:r>
    </w:p>
    <w:p>
      <w:pPr>
        <w:pStyle w:val="Heading1"/>
        <w:spacing w:after="200" w:before="400"/>
      </w:pPr>
      <w:r>
        <w:rPr>
          <w:b/>
          <w:bCs/>
          <w:color w:val="1A1A1A"/>
          <w:sz w:val="32"/>
          <w:szCs w:val="32"/>
        </w:rPr>
        <w:t xml:space="preserve">2. Sample Analysis</w:t>
      </w:r>
    </w:p>
    <w:p>
      <w:pPr>
        <w:pStyle w:val="Heading2"/>
        <w:spacing w:after="150" w:before="300"/>
      </w:pPr>
      <w:r>
        <w:rPr>
          <w:b/>
          <w:bCs/>
          <w:color w:val="2C4A6E"/>
          <w:sz w:val="26"/>
          <w:szCs w:val="26"/>
        </w:rPr>
        <w:t xml:space="preserve">Sample 1 — Fake Microsoft Account Alert (Mass Phishing)</w:t>
      </w:r>
    </w:p>
    <w:tbl>
      <w:tblPr>
        <w:tblW w:type="dxa" w:w="9000"/>
        <w:tblBorders>
          <w:top w:val="single" w:color="CCCCCC" w:sz="4"/>
          <w:left w:val="single" w:color="CCCCCC" w:sz="4"/>
          <w:bottom w:val="single" w:color="CCCCCC" w:sz="4"/>
          <w:right w:val="single" w:color="CCCCCC" w:sz="4"/>
          <w:insideH w:val="single" w:color="DDDDDD" w:sz="4"/>
          <w:insideV w:val="none"/>
        </w:tblBorders>
      </w:tblPr>
      <w:tblGrid>
        <w:gridCol w:w="1600"/>
        <w:gridCol w:w="7400"/>
      </w:tblGrid>
      <w:tr>
        <w:tc>
          <w:tcPr>
            <w:tcW w:type="dxa" w:w="1600"/>
            <w:shd w:fill="F0F0F0" w:val="clear"/>
            <w:tcMar>
              <w:top w:type="dxa" w:w="80"/>
              <w:left w:type="dxa" w:w="150"/>
              <w:bottom w:type="dxa" w:w="80"/>
              <w:right w:type="dxa" w:w="100"/>
            </w:tcMar>
          </w:tcPr>
          <w:p>
            <w:r>
              <w:rPr>
                <w:b/>
                <w:bCs/>
                <w:sz w:val="20"/>
                <w:szCs w:val="20"/>
              </w:rPr>
              <w:t xml:space="preserve">From:</w:t>
            </w:r>
          </w:p>
        </w:tc>
        <w:tc>
          <w:tcPr>
            <w:tcW w:type="dxa" w:w="7400"/>
            <w:shd w:fill="FAFAFA" w:val="clear"/>
            <w:tcMar>
              <w:top w:type="dxa" w:w="80"/>
              <w:left w:type="dxa" w:w="150"/>
              <w:bottom w:type="dxa" w:w="80"/>
              <w:right w:type="dxa" w:w="150"/>
            </w:tcMar>
          </w:tcPr>
          <w:p>
            <w:r>
              <w:rPr>
                <w:rFonts w:ascii="Consolas" w:cs="Consolas" w:eastAsia="Consolas" w:hAnsi="Consolas"/>
                <w:sz w:val="20"/>
                <w:szCs w:val="20"/>
              </w:rPr>
              <w:t xml:space="preserve">Microsoft Support &lt;support@logins-updates.com&gt;</w:t>
            </w:r>
          </w:p>
        </w:tc>
      </w:tr>
      <w:tr>
        <w:tc>
          <w:tcPr>
            <w:tcW w:type="dxa" w:w="1600"/>
            <w:shd w:fill="F0F0F0" w:val="clear"/>
            <w:tcMar>
              <w:top w:type="dxa" w:w="80"/>
              <w:left w:type="dxa" w:w="150"/>
              <w:bottom w:type="dxa" w:w="80"/>
              <w:right w:type="dxa" w:w="100"/>
            </w:tcMar>
          </w:tcPr>
          <w:p>
            <w:r>
              <w:rPr>
                <w:b/>
                <w:bCs/>
                <w:sz w:val="20"/>
                <w:szCs w:val="20"/>
              </w:rPr>
              <w:t xml:space="preserve">Subject:</w:t>
            </w:r>
          </w:p>
        </w:tc>
        <w:tc>
          <w:tcPr>
            <w:tcW w:type="dxa" w:w="7400"/>
            <w:shd w:fill="FAFAFA" w:val="clear"/>
            <w:tcMar>
              <w:top w:type="dxa" w:w="80"/>
              <w:left w:type="dxa" w:w="150"/>
              <w:bottom w:type="dxa" w:w="80"/>
              <w:right w:type="dxa" w:w="150"/>
            </w:tcMar>
          </w:tcPr>
          <w:p>
            <w:r>
              <w:rPr>
                <w:rFonts w:ascii="Consolas" w:cs="Consolas" w:eastAsia="Consolas" w:hAnsi="Consolas"/>
                <w:sz w:val="20"/>
                <w:szCs w:val="20"/>
              </w:rPr>
              <w:t xml:space="preserve">FW: Urgent Your Account Security Alert</w:t>
            </w:r>
          </w:p>
        </w:tc>
      </w:tr>
      <w:tr>
        <w:tc>
          <w:tcPr>
            <w:tcW w:type="dxa" w:w="1600"/>
            <w:shd w:fill="F0F0F0" w:val="clear"/>
            <w:tcMar>
              <w:top w:type="dxa" w:w="80"/>
              <w:left w:type="dxa" w:w="150"/>
              <w:bottom w:type="dxa" w:w="80"/>
              <w:right w:type="dxa" w:w="100"/>
            </w:tcMar>
          </w:tcPr>
          <w:p>
            <w:r>
              <w:rPr>
                <w:b/>
                <w:bCs/>
                <w:sz w:val="20"/>
                <w:szCs w:val="20"/>
              </w:rPr>
              <w:t xml:space="preserve">Attachment:</w:t>
            </w:r>
          </w:p>
        </w:tc>
        <w:tc>
          <w:tcPr>
            <w:tcW w:type="dxa" w:w="7400"/>
            <w:shd w:fill="FAFAFA" w:val="clear"/>
            <w:tcMar>
              <w:top w:type="dxa" w:w="80"/>
              <w:left w:type="dxa" w:w="150"/>
              <w:bottom w:type="dxa" w:w="80"/>
              <w:right w:type="dxa" w:w="150"/>
            </w:tcMar>
          </w:tcPr>
          <w:p>
            <w:r>
              <w:rPr>
                <w:rFonts w:ascii="Consolas" w:cs="Consolas" w:eastAsia="Consolas" w:hAnsi="Consolas"/>
                <w:sz w:val="20"/>
                <w:szCs w:val="20"/>
              </w:rPr>
              <w:t xml:space="preserve">Security_Update_2024.iso</w:t>
            </w:r>
          </w:p>
        </w:tc>
      </w:tr>
      <w:tr>
        <w:tc>
          <w:tcPr>
            <w:tcW w:type="dxa" w:w="1600"/>
            <w:shd w:fill="F0F0F0" w:val="clear"/>
            <w:tcMar>
              <w:top w:type="dxa" w:w="80"/>
              <w:left w:type="dxa" w:w="150"/>
              <w:bottom w:type="dxa" w:w="80"/>
              <w:right w:type="dxa" w:w="100"/>
            </w:tcMar>
          </w:tcPr>
          <w:p>
            <w:r>
              <w:rPr>
                <w:b/>
                <w:bCs/>
                <w:sz w:val="20"/>
                <w:szCs w:val="20"/>
              </w:rPr>
              <w:t xml:space="preserve">Body:</w:t>
            </w:r>
          </w:p>
        </w:tc>
        <w:tc>
          <w:tcPr>
            <w:tcW w:type="dxa" w:w="7400"/>
            <w:shd w:fill="FAFAFA" w:val="clear"/>
            <w:tcMar>
              <w:top w:type="dxa" w:w="80"/>
              <w:left w:type="dxa" w:w="150"/>
              <w:bottom w:type="dxa" w:w="80"/>
              <w:right w:type="dxa" w:w="150"/>
            </w:tcMar>
          </w:tcPr>
          <w:p>
            <w:r>
              <w:rPr>
                <w:rFonts w:ascii="Consolas" w:cs="Consolas" w:eastAsia="Consolas" w:hAnsi="Consolas"/>
                <w:sz w:val="20"/>
                <w:szCs w:val="20"/>
              </w:rPr>
              <w:t xml:space="preserve">Your account was accessed from an unrecognized device. Sign in within 30 minutes or your account will be permanently locked. [Sign In]</w:t>
            </w:r>
          </w:p>
        </w:tc>
      </w:tr>
    </w:tbl>
    <w:p>
      <w:pPr>
        <w:spacing w:after="150"/>
      </w:pPr>
    </w:p>
    <w:p>
      <w:pPr>
        <w:spacing w:after="150" w:line="300"/>
      </w:pPr>
      <w:r>
        <w:rPr>
          <w:sz w:val="22"/>
          <w:szCs w:val="22"/>
        </w:rPr>
        <w:t xml:space="preserve">Red flags identified:</w:t>
      </w:r>
    </w:p>
    <w:p>
      <w:pPr>
        <w:pStyle w:val="ListParagraph"/>
        <w:numPr>
          <w:ilvl w:val="0"/>
          <w:numId w:val="2"/>
        </w:numPr>
        <w:spacing w:after="90"/>
      </w:pPr>
      <w:r>
        <w:rPr>
          <w:sz w:val="22"/>
          <w:szCs w:val="22"/>
        </w:rPr>
        <w:t xml:space="preserve">The display name says “Microsoft Support” but the actual sending domain, logins-updates.com, has nothing to do with Microsoft — classic display-name spoofing.</w:t>
      </w:r>
    </w:p>
    <w:p>
      <w:pPr>
        <w:pStyle w:val="ListParagraph"/>
        <w:numPr>
          <w:ilvl w:val="0"/>
          <w:numId w:val="2"/>
        </w:numPr>
        <w:spacing w:after="90"/>
      </w:pPr>
      <w:r>
        <w:rPr>
          <w:sz w:val="22"/>
          <w:szCs w:val="22"/>
        </w:rPr>
        <w:t xml:space="preserve">The subject line still carries an “FW:” tag even though this is presented as a first-contact alert, which usually means the header was copy-pasted from an older forwarded thread to look established.</w:t>
      </w:r>
    </w:p>
    <w:p>
      <w:pPr>
        <w:pStyle w:val="ListParagraph"/>
        <w:numPr>
          <w:ilvl w:val="0"/>
          <w:numId w:val="2"/>
        </w:numPr>
        <w:spacing w:after="90"/>
      </w:pPr>
      <w:r>
        <w:rPr>
          <w:sz w:val="22"/>
          <w:szCs w:val="22"/>
        </w:rPr>
        <w:t xml:space="preserve">A 30-minute lockout window is an artificial urgency trigger meant to short-circuit careful reading.</w:t>
      </w:r>
    </w:p>
    <w:p>
      <w:pPr>
        <w:pStyle w:val="ListParagraph"/>
        <w:numPr>
          <w:ilvl w:val="0"/>
          <w:numId w:val="2"/>
        </w:numPr>
        <w:spacing w:after="90"/>
      </w:pPr>
      <w:r>
        <w:rPr>
          <w:sz w:val="22"/>
          <w:szCs w:val="22"/>
        </w:rPr>
        <w:t xml:space="preserve">The attachment is an .iso file, which is not something a security alert would ever need to send — this extension is commonly used to smuggle malware past basic filters.</w:t>
      </w:r>
    </w:p>
    <w:p>
      <w:pPr>
        <w:spacing w:after="150" w:line="300"/>
      </w:pPr>
      <w:r>
        <w:rPr>
          <w:i/>
          <w:iCs/>
          <w:color w:val="555555"/>
          <w:sz w:val="22"/>
          <w:szCs w:val="22"/>
        </w:rPr>
        <w:t xml:space="preserve">Why it's unsafe: nothing about this message can be verified through the domain it came from, and the combination of a fear-based subject line, a countdown, and an executable-style attachment is a textbook credential-and-malware combo. It should be reported and never clicked, even out of curiosity.</w:t>
      </w:r>
    </w:p>
    <w:p>
      <w:pPr>
        <w:spacing w:after="150"/>
      </w:pPr>
    </w:p>
    <w:p>
      <w:pPr>
        <w:pStyle w:val="Heading2"/>
        <w:spacing w:after="150" w:before="300"/>
      </w:pPr>
      <w:r>
        <w:rPr>
          <w:b/>
          <w:bCs/>
          <w:color w:val="2C4A6E"/>
          <w:sz w:val="26"/>
          <w:szCs w:val="26"/>
        </w:rPr>
        <w:t xml:space="preserve">Sample 2 — CEO Wire Transfer Request (Business Email Compromise)</w:t>
      </w:r>
    </w:p>
    <w:tbl>
      <w:tblPr>
        <w:tblW w:type="dxa" w:w="9000"/>
        <w:tblBorders>
          <w:top w:val="single" w:color="CCCCCC" w:sz="4"/>
          <w:left w:val="single" w:color="CCCCCC" w:sz="4"/>
          <w:bottom w:val="single" w:color="CCCCCC" w:sz="4"/>
          <w:right w:val="single" w:color="CCCCCC" w:sz="4"/>
          <w:insideH w:val="single" w:color="DDDDDD" w:sz="4"/>
          <w:insideV w:val="none"/>
        </w:tblBorders>
      </w:tblPr>
      <w:tblGrid>
        <w:gridCol w:w="1600"/>
        <w:gridCol w:w="7400"/>
      </w:tblGrid>
      <w:tr>
        <w:tc>
          <w:tcPr>
            <w:tcW w:type="dxa" w:w="1600"/>
            <w:shd w:fill="F0F0F0" w:val="clear"/>
            <w:tcMar>
              <w:top w:type="dxa" w:w="80"/>
              <w:left w:type="dxa" w:w="150"/>
              <w:bottom w:type="dxa" w:w="80"/>
              <w:right w:type="dxa" w:w="100"/>
            </w:tcMar>
          </w:tcPr>
          <w:p>
            <w:r>
              <w:rPr>
                <w:b/>
                <w:bCs/>
                <w:sz w:val="20"/>
                <w:szCs w:val="20"/>
              </w:rPr>
              <w:t xml:space="preserve">From:</w:t>
            </w:r>
          </w:p>
        </w:tc>
        <w:tc>
          <w:tcPr>
            <w:tcW w:type="dxa" w:w="7400"/>
            <w:shd w:fill="FAFAFA" w:val="clear"/>
            <w:tcMar>
              <w:top w:type="dxa" w:w="80"/>
              <w:left w:type="dxa" w:w="150"/>
              <w:bottom w:type="dxa" w:w="80"/>
              <w:right w:type="dxa" w:w="150"/>
            </w:tcMar>
          </w:tcPr>
          <w:p>
            <w:r>
              <w:rPr>
                <w:rFonts w:ascii="Consolas" w:cs="Consolas" w:eastAsia="Consolas" w:hAnsi="Consolas"/>
                <w:sz w:val="20"/>
                <w:szCs w:val="20"/>
              </w:rPr>
              <w:t xml:space="preserve">CEO — STRICTLY CONFIDENTIAL &lt;ceo.urgent@executive-update.com&gt;</w:t>
            </w:r>
          </w:p>
        </w:tc>
      </w:tr>
      <w:tr>
        <w:tc>
          <w:tcPr>
            <w:tcW w:type="dxa" w:w="1600"/>
            <w:shd w:fill="F0F0F0" w:val="clear"/>
            <w:tcMar>
              <w:top w:type="dxa" w:w="80"/>
              <w:left w:type="dxa" w:w="150"/>
              <w:bottom w:type="dxa" w:w="80"/>
              <w:right w:type="dxa" w:w="100"/>
            </w:tcMar>
          </w:tcPr>
          <w:p>
            <w:r>
              <w:rPr>
                <w:b/>
                <w:bCs/>
                <w:sz w:val="20"/>
                <w:szCs w:val="20"/>
              </w:rPr>
              <w:t xml:space="preserve">Subject:</w:t>
            </w:r>
          </w:p>
        </w:tc>
        <w:tc>
          <w:tcPr>
            <w:tcW w:type="dxa" w:w="7400"/>
            <w:shd w:fill="FAFAFA" w:val="clear"/>
            <w:tcMar>
              <w:top w:type="dxa" w:w="80"/>
              <w:left w:type="dxa" w:w="150"/>
              <w:bottom w:type="dxa" w:w="80"/>
              <w:right w:type="dxa" w:w="150"/>
            </w:tcMar>
          </w:tcPr>
          <w:p>
            <w:r>
              <w:rPr>
                <w:rFonts w:ascii="Consolas" w:cs="Consolas" w:eastAsia="Consolas" w:hAnsi="Consolas"/>
                <w:sz w:val="20"/>
                <w:szCs w:val="20"/>
              </w:rPr>
              <w:t xml:space="preserve">IMMEDIATE ACTION REQUIRED: Transfer Authorization</w:t>
            </w:r>
          </w:p>
        </w:tc>
      </w:tr>
      <w:tr>
        <w:tc>
          <w:tcPr>
            <w:tcW w:type="dxa" w:w="1600"/>
            <w:shd w:fill="F0F0F0" w:val="clear"/>
            <w:tcMar>
              <w:top w:type="dxa" w:w="80"/>
              <w:left w:type="dxa" w:w="150"/>
              <w:bottom w:type="dxa" w:w="80"/>
              <w:right w:type="dxa" w:w="100"/>
            </w:tcMar>
          </w:tcPr>
          <w:p>
            <w:r>
              <w:rPr>
                <w:b/>
                <w:bCs/>
                <w:sz w:val="20"/>
                <w:szCs w:val="20"/>
              </w:rPr>
              <w:t xml:space="preserve">Body:</w:t>
            </w:r>
          </w:p>
        </w:tc>
        <w:tc>
          <w:tcPr>
            <w:tcW w:type="dxa" w:w="7400"/>
            <w:shd w:fill="FAFAFA" w:val="clear"/>
            <w:tcMar>
              <w:top w:type="dxa" w:w="80"/>
              <w:left w:type="dxa" w:w="150"/>
              <w:bottom w:type="dxa" w:w="80"/>
              <w:right w:type="dxa" w:w="150"/>
            </w:tcMar>
          </w:tcPr>
          <w:p>
            <w:r>
              <w:rPr>
                <w:rFonts w:ascii="Consolas" w:cs="Consolas" w:eastAsia="Consolas" w:hAnsi="Consolas"/>
                <w:sz w:val="20"/>
                <w:szCs w:val="20"/>
              </w:rPr>
              <w:t xml:space="preserve">Process the attached wire transfer instruction immediately. This is critical and must remain strictly confidential. Do not discuss with anyone. Bypass standard procedure. Thank you.</w:t>
            </w:r>
          </w:p>
        </w:tc>
      </w:tr>
    </w:tbl>
    <w:p>
      <w:pPr>
        <w:spacing w:after="150"/>
      </w:pPr>
    </w:p>
    <w:p>
      <w:pPr>
        <w:spacing w:after="150" w:line="300"/>
      </w:pPr>
      <w:r>
        <w:rPr>
          <w:sz w:val="22"/>
          <w:szCs w:val="22"/>
        </w:rPr>
        <w:t xml:space="preserve">Red flags identified:</w:t>
      </w:r>
    </w:p>
    <w:p>
      <w:pPr>
        <w:pStyle w:val="ListParagraph"/>
        <w:numPr>
          <w:ilvl w:val="0"/>
          <w:numId w:val="2"/>
        </w:numPr>
        <w:spacing w:after="90"/>
      </w:pPr>
      <w:r>
        <w:rPr>
          <w:sz w:val="22"/>
          <w:szCs w:val="22"/>
        </w:rPr>
        <w:t xml:space="preserve">The sender domain (executive-update.com) does not match the company's real domain — a quick header check would show this instantly.</w:t>
      </w:r>
    </w:p>
    <w:p>
      <w:pPr>
        <w:pStyle w:val="ListParagraph"/>
        <w:numPr>
          <w:ilvl w:val="0"/>
          <w:numId w:val="2"/>
        </w:numPr>
        <w:spacing w:after="90"/>
      </w:pPr>
      <w:r>
        <w:rPr>
          <w:sz w:val="22"/>
          <w:szCs w:val="22"/>
        </w:rPr>
        <w:t xml:space="preserve">The request explicitly asks the recipient to keep it secret and skip standard approval steps, which is one of the strongest social-engineering tells there is: legitimate finance requests are never allergic to a second pair of eyes.</w:t>
      </w:r>
    </w:p>
    <w:p>
      <w:pPr>
        <w:pStyle w:val="ListParagraph"/>
        <w:numPr>
          <w:ilvl w:val="0"/>
          <w:numId w:val="2"/>
        </w:numPr>
        <w:spacing w:after="90"/>
      </w:pPr>
      <w:r>
        <w:rPr>
          <w:sz w:val="22"/>
          <w:szCs w:val="22"/>
        </w:rPr>
        <w:t xml:space="preserve">Authority is being used as leverage — impersonating the CEO to make an employee feel they can't say no.</w:t>
      </w:r>
    </w:p>
    <w:p>
      <w:pPr>
        <w:pStyle w:val="ListParagraph"/>
        <w:numPr>
          <w:ilvl w:val="0"/>
          <w:numId w:val="2"/>
        </w:numPr>
        <w:spacing w:after="90"/>
      </w:pPr>
      <w:r>
        <w:rPr>
          <w:sz w:val="22"/>
          <w:szCs w:val="22"/>
        </w:rPr>
        <w:t xml:space="preserve">There is no way to verify identity through a callback number or a second channel anywhere in the message.</w:t>
      </w:r>
    </w:p>
    <w:p>
      <w:pPr>
        <w:spacing w:after="150" w:line="300"/>
      </w:pPr>
      <w:r>
        <w:rPr>
          <w:i/>
          <w:iCs/>
          <w:color w:val="555555"/>
          <w:sz w:val="22"/>
          <w:szCs w:val="22"/>
        </w:rPr>
        <w:t xml:space="preserve">Why it's unsafe: this fits the classic BEC (Business Email Compromise) pattern responsible for some of the largest phishing losses on record. The correct response is to stop, and confirm the request by calling the CEO directly on a known number — never by replying to the email.</w:t>
      </w:r>
    </w:p>
    <w:p>
      <w:pPr>
        <w:spacing w:after="150"/>
      </w:pPr>
    </w:p>
    <w:p>
      <w:pPr>
        <w:pStyle w:val="Heading2"/>
        <w:spacing w:after="150" w:before="300"/>
      </w:pPr>
      <w:r>
        <w:rPr>
          <w:b/>
          <w:bCs/>
          <w:color w:val="2C4A6E"/>
          <w:sz w:val="26"/>
          <w:szCs w:val="26"/>
        </w:rPr>
        <w:t xml:space="preserve">Sample 3 — Package Delivery Text (Smishing)</w:t>
      </w:r>
    </w:p>
    <w:tbl>
      <w:tblPr>
        <w:tblW w:type="dxa" w:w="9000"/>
        <w:tblBorders>
          <w:top w:val="single" w:color="CCCCCC" w:sz="4"/>
          <w:left w:val="single" w:color="CCCCCC" w:sz="4"/>
          <w:bottom w:val="single" w:color="CCCCCC" w:sz="4"/>
          <w:right w:val="single" w:color="CCCCCC" w:sz="4"/>
          <w:insideH w:val="single" w:color="DDDDDD" w:sz="4"/>
          <w:insideV w:val="none"/>
        </w:tblBorders>
      </w:tblPr>
      <w:tblGrid>
        <w:gridCol w:w="1600"/>
        <w:gridCol w:w="7400"/>
      </w:tblGrid>
      <w:tr>
        <w:tc>
          <w:tcPr>
            <w:tcW w:type="dxa" w:w="1600"/>
            <w:shd w:fill="F0F0F0" w:val="clear"/>
            <w:tcMar>
              <w:top w:type="dxa" w:w="80"/>
              <w:left w:type="dxa" w:w="150"/>
              <w:bottom w:type="dxa" w:w="80"/>
              <w:right w:type="dxa" w:w="100"/>
            </w:tcMar>
          </w:tcPr>
          <w:p>
            <w:r>
              <w:rPr>
                <w:b/>
                <w:bCs/>
                <w:sz w:val="20"/>
                <w:szCs w:val="20"/>
              </w:rPr>
              <w:t xml:space="preserve">Channel:</w:t>
            </w:r>
          </w:p>
        </w:tc>
        <w:tc>
          <w:tcPr>
            <w:tcW w:type="dxa" w:w="7400"/>
            <w:shd w:fill="FAFAFA" w:val="clear"/>
            <w:tcMar>
              <w:top w:type="dxa" w:w="80"/>
              <w:left w:type="dxa" w:w="150"/>
              <w:bottom w:type="dxa" w:w="80"/>
              <w:right w:type="dxa" w:w="150"/>
            </w:tcMar>
          </w:tcPr>
          <w:p>
            <w:r>
              <w:rPr>
                <w:rFonts w:ascii="Consolas" w:cs="Consolas" w:eastAsia="Consolas" w:hAnsi="Consolas"/>
                <w:sz w:val="20"/>
                <w:szCs w:val="20"/>
              </w:rPr>
              <w:t xml:space="preserve">SMS</w:t>
            </w:r>
          </w:p>
        </w:tc>
      </w:tr>
      <w:tr>
        <w:tc>
          <w:tcPr>
            <w:tcW w:type="dxa" w:w="1600"/>
            <w:shd w:fill="F0F0F0" w:val="clear"/>
            <w:tcMar>
              <w:top w:type="dxa" w:w="80"/>
              <w:left w:type="dxa" w:w="150"/>
              <w:bottom w:type="dxa" w:w="80"/>
              <w:right w:type="dxa" w:w="100"/>
            </w:tcMar>
          </w:tcPr>
          <w:p>
            <w:r>
              <w:rPr>
                <w:b/>
                <w:bCs/>
                <w:sz w:val="20"/>
                <w:szCs w:val="20"/>
              </w:rPr>
              <w:t xml:space="preserve">From:</w:t>
            </w:r>
          </w:p>
        </w:tc>
        <w:tc>
          <w:tcPr>
            <w:tcW w:type="dxa" w:w="7400"/>
            <w:shd w:fill="FAFAFA" w:val="clear"/>
            <w:tcMar>
              <w:top w:type="dxa" w:w="80"/>
              <w:left w:type="dxa" w:w="150"/>
              <w:bottom w:type="dxa" w:w="80"/>
              <w:right w:type="dxa" w:w="150"/>
            </w:tcMar>
          </w:tcPr>
          <w:p>
            <w:r>
              <w:rPr>
                <w:rFonts w:ascii="Consolas" w:cs="Consolas" w:eastAsia="Consolas" w:hAnsi="Consolas"/>
                <w:sz w:val="20"/>
                <w:szCs w:val="20"/>
              </w:rPr>
              <w:t xml:space="preserve">+1 (302) 555-0199</w:t>
            </w:r>
          </w:p>
        </w:tc>
      </w:tr>
      <w:tr>
        <w:tc>
          <w:tcPr>
            <w:tcW w:type="dxa" w:w="1600"/>
            <w:shd w:fill="F0F0F0" w:val="clear"/>
            <w:tcMar>
              <w:top w:type="dxa" w:w="80"/>
              <w:left w:type="dxa" w:w="150"/>
              <w:bottom w:type="dxa" w:w="80"/>
              <w:right w:type="dxa" w:w="100"/>
            </w:tcMar>
          </w:tcPr>
          <w:p>
            <w:r>
              <w:rPr>
                <w:b/>
                <w:bCs/>
                <w:sz w:val="20"/>
                <w:szCs w:val="20"/>
              </w:rPr>
              <w:t xml:space="preserve">Body:</w:t>
            </w:r>
          </w:p>
        </w:tc>
        <w:tc>
          <w:tcPr>
            <w:tcW w:type="dxa" w:w="7400"/>
            <w:shd w:fill="FAFAFA" w:val="clear"/>
            <w:tcMar>
              <w:top w:type="dxa" w:w="80"/>
              <w:left w:type="dxa" w:w="150"/>
              <w:bottom w:type="dxa" w:w="80"/>
              <w:right w:type="dxa" w:w="150"/>
            </w:tcMar>
          </w:tcPr>
          <w:p>
            <w:r>
              <w:rPr>
                <w:rFonts w:ascii="Consolas" w:cs="Consolas" w:eastAsia="Consolas" w:hAnsi="Consolas"/>
                <w:sz w:val="20"/>
                <w:szCs w:val="20"/>
              </w:rPr>
              <w:t xml:space="preserve">USPS: Your package could not be delivered due to an incomplete address. Update your details within 24 hrs to avoid return: hxxp://usps-track[.]delivery-update[.]com/confirm</w:t>
            </w:r>
          </w:p>
        </w:tc>
      </w:tr>
    </w:tbl>
    <w:p>
      <w:pPr>
        <w:spacing w:after="150"/>
      </w:pPr>
    </w:p>
    <w:p>
      <w:pPr>
        <w:spacing w:after="150" w:line="300"/>
      </w:pPr>
      <w:r>
        <w:rPr>
          <w:sz w:val="22"/>
          <w:szCs w:val="22"/>
        </w:rPr>
        <w:t xml:space="preserve">Red flags identified:</w:t>
      </w:r>
    </w:p>
    <w:p>
      <w:pPr>
        <w:pStyle w:val="ListParagraph"/>
        <w:numPr>
          <w:ilvl w:val="0"/>
          <w:numId w:val="2"/>
        </w:numPr>
        <w:spacing w:after="90"/>
      </w:pPr>
      <w:r>
        <w:rPr>
          <w:sz w:val="22"/>
          <w:szCs w:val="22"/>
        </w:rPr>
        <w:t xml:space="preserve">The link is not on the real usps.com domain — “usps-track” is just a subdomain-like prefix stacked in front of the real (malicious) root domain, delivery-update.com.</w:t>
      </w:r>
    </w:p>
    <w:p>
      <w:pPr>
        <w:pStyle w:val="ListParagraph"/>
        <w:numPr>
          <w:ilvl w:val="0"/>
          <w:numId w:val="2"/>
        </w:numPr>
        <w:spacing w:after="90"/>
      </w:pPr>
      <w:r>
        <w:rPr>
          <w:sz w:val="22"/>
          <w:szCs w:val="22"/>
        </w:rPr>
        <w:t xml:space="preserve">Unsolicited delivery texts referencing a package the recipient wasn't expecting are a well-known smishing template because they rely on general curiosity rather than any real context.</w:t>
      </w:r>
    </w:p>
    <w:p>
      <w:pPr>
        <w:pStyle w:val="ListParagraph"/>
        <w:numPr>
          <w:ilvl w:val="0"/>
          <w:numId w:val="2"/>
        </w:numPr>
        <w:spacing w:after="90"/>
      </w:pPr>
      <w:r>
        <w:rPr>
          <w:sz w:val="22"/>
          <w:szCs w:val="22"/>
        </w:rPr>
        <w:t xml:space="preserve">A 24-hour deadline paired with the threat of a returned package pushes for a fast, unthinking tap.</w:t>
      </w:r>
    </w:p>
    <w:p>
      <w:pPr>
        <w:pStyle w:val="ListParagraph"/>
        <w:numPr>
          <w:ilvl w:val="0"/>
          <w:numId w:val="2"/>
        </w:numPr>
        <w:spacing w:after="90"/>
      </w:pPr>
      <w:r>
        <w:rPr>
          <w:sz w:val="22"/>
          <w:szCs w:val="22"/>
        </w:rPr>
        <w:t xml:space="preserve">SMS links are especially risky because most phones don't show the full URL before it's tapped, and mobile browsers are more forgiving of lookalike domains.</w:t>
      </w:r>
    </w:p>
    <w:p>
      <w:pPr>
        <w:spacing w:after="150" w:line="300"/>
      </w:pPr>
      <w:r>
        <w:rPr>
          <w:i/>
          <w:iCs/>
          <w:color w:val="555555"/>
          <w:sz w:val="22"/>
          <w:szCs w:val="22"/>
        </w:rPr>
        <w:t xml:space="preserve">Why it's unsafe: this is designed to be opened on a phone specifically because mobile screens make it harder to inspect a URL. The safe move is to check tracking directly through the courier's official app, never through a link in an unexpected text.</w:t>
      </w:r>
    </w:p>
    <w:p>
      <w:pPr>
        <w:spacing w:after="150"/>
      </w:pPr>
    </w:p>
    <w:p>
      <w:pPr>
        <w:pStyle w:val="Heading2"/>
        <w:spacing w:after="150" w:before="300"/>
      </w:pPr>
      <w:r>
        <w:rPr>
          <w:b/>
          <w:bCs/>
          <w:color w:val="2C4A6E"/>
          <w:sz w:val="26"/>
          <w:szCs w:val="26"/>
        </w:rPr>
        <w:t xml:space="preserve">Sample 4 — QR Code Account Recovery Poster (Quishing)</w:t>
      </w:r>
    </w:p>
    <w:tbl>
      <w:tblPr>
        <w:tblW w:type="dxa" w:w="9000"/>
        <w:tblBorders>
          <w:top w:val="single" w:color="CCCCCC" w:sz="4"/>
          <w:left w:val="single" w:color="CCCCCC" w:sz="4"/>
          <w:bottom w:val="single" w:color="CCCCCC" w:sz="4"/>
          <w:right w:val="single" w:color="CCCCCC" w:sz="4"/>
          <w:insideH w:val="single" w:color="DDDDDD" w:sz="4"/>
          <w:insideV w:val="none"/>
        </w:tblBorders>
      </w:tblPr>
      <w:tblGrid>
        <w:gridCol w:w="1600"/>
        <w:gridCol w:w="7400"/>
      </w:tblGrid>
      <w:tr>
        <w:tc>
          <w:tcPr>
            <w:tcW w:type="dxa" w:w="1600"/>
            <w:shd w:fill="F0F0F0" w:val="clear"/>
            <w:tcMar>
              <w:top w:type="dxa" w:w="80"/>
              <w:left w:type="dxa" w:w="150"/>
              <w:bottom w:type="dxa" w:w="80"/>
              <w:right w:type="dxa" w:w="100"/>
            </w:tcMar>
          </w:tcPr>
          <w:p>
            <w:r>
              <w:rPr>
                <w:b/>
                <w:bCs/>
                <w:sz w:val="20"/>
                <w:szCs w:val="20"/>
              </w:rPr>
              <w:t xml:space="preserve">Format:</w:t>
            </w:r>
          </w:p>
        </w:tc>
        <w:tc>
          <w:tcPr>
            <w:tcW w:type="dxa" w:w="7400"/>
            <w:shd w:fill="FAFAFA" w:val="clear"/>
            <w:tcMar>
              <w:top w:type="dxa" w:w="80"/>
              <w:left w:type="dxa" w:w="150"/>
              <w:bottom w:type="dxa" w:w="80"/>
              <w:right w:type="dxa" w:w="150"/>
            </w:tcMar>
          </w:tcPr>
          <w:p>
            <w:r>
              <w:rPr>
                <w:rFonts w:ascii="Consolas" w:cs="Consolas" w:eastAsia="Consolas" w:hAnsi="Consolas"/>
                <w:sz w:val="20"/>
                <w:szCs w:val="20"/>
              </w:rPr>
              <w:t xml:space="preserve">Printed poster / PDF flyer with embedded QR code</w:t>
            </w:r>
          </w:p>
        </w:tc>
      </w:tr>
      <w:tr>
        <w:tc>
          <w:tcPr>
            <w:tcW w:type="dxa" w:w="1600"/>
            <w:shd w:fill="F0F0F0" w:val="clear"/>
            <w:tcMar>
              <w:top w:type="dxa" w:w="80"/>
              <w:left w:type="dxa" w:w="150"/>
              <w:bottom w:type="dxa" w:w="80"/>
              <w:right w:type="dxa" w:w="100"/>
            </w:tcMar>
          </w:tcPr>
          <w:p>
            <w:r>
              <w:rPr>
                <w:b/>
                <w:bCs/>
                <w:sz w:val="20"/>
                <w:szCs w:val="20"/>
              </w:rPr>
              <w:t xml:space="preserve">Text:</w:t>
            </w:r>
          </w:p>
        </w:tc>
        <w:tc>
          <w:tcPr>
            <w:tcW w:type="dxa" w:w="7400"/>
            <w:shd w:fill="FAFAFA" w:val="clear"/>
            <w:tcMar>
              <w:top w:type="dxa" w:w="80"/>
              <w:left w:type="dxa" w:w="150"/>
              <w:bottom w:type="dxa" w:w="80"/>
              <w:right w:type="dxa" w:w="150"/>
            </w:tcMar>
          </w:tcPr>
          <w:p>
            <w:r>
              <w:rPr>
                <w:rFonts w:ascii="Consolas" w:cs="Consolas" w:eastAsia="Consolas" w:hAnsi="Consolas"/>
                <w:sz w:val="20"/>
                <w:szCs w:val="20"/>
              </w:rPr>
              <w:t xml:space="preserve">Google Account Recovery — Scan to Unlock. Your account has been flagged for unusual activity.</w:t>
            </w:r>
          </w:p>
        </w:tc>
      </w:tr>
    </w:tbl>
    <w:p>
      <w:pPr>
        <w:spacing w:after="150"/>
      </w:pPr>
    </w:p>
    <w:p>
      <w:pPr>
        <w:spacing w:after="150" w:line="300"/>
      </w:pPr>
      <w:r>
        <w:rPr>
          <w:sz w:val="22"/>
          <w:szCs w:val="22"/>
        </w:rPr>
        <w:t xml:space="preserve">Red flags identified:</w:t>
      </w:r>
    </w:p>
    <w:p>
      <w:pPr>
        <w:pStyle w:val="ListParagraph"/>
        <w:numPr>
          <w:ilvl w:val="0"/>
          <w:numId w:val="2"/>
        </w:numPr>
        <w:spacing w:after="90"/>
      </w:pPr>
      <w:r>
        <w:rPr>
          <w:sz w:val="22"/>
          <w:szCs w:val="22"/>
        </w:rPr>
        <w:t xml:space="preserve">Google does not resolve account recovery through printed QR codes placed in public or shared spaces.</w:t>
      </w:r>
    </w:p>
    <w:p>
      <w:pPr>
        <w:pStyle w:val="ListParagraph"/>
        <w:numPr>
          <w:ilvl w:val="0"/>
          <w:numId w:val="2"/>
        </w:numPr>
        <w:spacing w:after="90"/>
      </w:pPr>
      <w:r>
        <w:rPr>
          <w:sz w:val="22"/>
          <w:szCs w:val="22"/>
        </w:rPr>
        <w:t xml:space="preserve">Scanning routes the victim straight to a mobile browser, which sidesteps any desktop-based URL filtering or antivirus protection the organization has in place.</w:t>
      </w:r>
    </w:p>
    <w:p>
      <w:pPr>
        <w:pStyle w:val="ListParagraph"/>
        <w:numPr>
          <w:ilvl w:val="0"/>
          <w:numId w:val="2"/>
        </w:numPr>
        <w:spacing w:after="90"/>
      </w:pPr>
      <w:r>
        <w:rPr>
          <w:sz w:val="22"/>
          <w:szCs w:val="22"/>
        </w:rPr>
        <w:t xml:space="preserve">There is no way to hover over a QR code to preview the destination the way you can with a text link, which is exactly why attackers prefer this channel.</w:t>
      </w:r>
    </w:p>
    <w:p>
      <w:pPr>
        <w:pStyle w:val="ListParagraph"/>
        <w:numPr>
          <w:ilvl w:val="0"/>
          <w:numId w:val="2"/>
        </w:numPr>
        <w:spacing w:after="90"/>
      </w:pPr>
      <w:r>
        <w:rPr>
          <w:sz w:val="22"/>
          <w:szCs w:val="22"/>
        </w:rPr>
        <w:t xml:space="preserve">The “flagged for unusual activity” line is a manufactured fear trigger with no supporting detail — a real security flag would name what happened.</w:t>
      </w:r>
    </w:p>
    <w:p>
      <w:pPr>
        <w:spacing w:after="150" w:line="300"/>
      </w:pPr>
      <w:r>
        <w:rPr>
          <w:i/>
          <w:iCs/>
          <w:color w:val="555555"/>
          <w:sz w:val="22"/>
          <w:szCs w:val="22"/>
        </w:rPr>
        <w:t xml:space="preserve">Why it's unsafe: QR phishing specifically targets the gap between a company's desktop-focused security stack and an employee's personal phone. Any QR code asking for login credentials should be treated the same as a suspicious link and reported, not scanned.</w:t>
      </w:r>
    </w:p>
    <w:p>
      <w:pPr>
        <w:pStyle w:val="Heading1"/>
        <w:spacing w:after="200" w:before="400"/>
      </w:pPr>
      <w:r>
        <w:rPr>
          <w:b/>
          <w:bCs/>
          <w:color w:val="1A1A1A"/>
          <w:sz w:val="32"/>
          <w:szCs w:val="32"/>
        </w:rPr>
        <w:t xml:space="preserve">3. Consolidated Red-Flag Checklist</w:t>
      </w:r>
    </w:p>
    <w:p>
      <w:pPr>
        <w:spacing w:after="150" w:line="300"/>
      </w:pPr>
      <w:r>
        <w:rPr>
          <w:sz w:val="22"/>
          <w:szCs w:val="22"/>
        </w:rPr>
        <w:t xml:space="preserve">A short list any non-technical employee can run through before acting on a message:</w:t>
      </w:r>
    </w:p>
    <w:p>
      <w:pPr>
        <w:pStyle w:val="ListParagraph"/>
        <w:numPr>
          <w:ilvl w:val="0"/>
          <w:numId w:val="2"/>
        </w:numPr>
        <w:spacing w:after="90"/>
      </w:pPr>
      <w:r>
        <w:rPr>
          <w:sz w:val="22"/>
          <w:szCs w:val="22"/>
        </w:rPr>
        <w:t xml:space="preserve">Does the sender's actual address match the domain it claims to be from?</w:t>
      </w:r>
    </w:p>
    <w:p>
      <w:pPr>
        <w:pStyle w:val="ListParagraph"/>
        <w:numPr>
          <w:ilvl w:val="0"/>
          <w:numId w:val="2"/>
        </w:numPr>
        <w:spacing w:after="90"/>
      </w:pPr>
      <w:r>
        <w:rPr>
          <w:sz w:val="22"/>
          <w:szCs w:val="22"/>
        </w:rPr>
        <w:t xml:space="preserve">Is there a countdown, threat, or urgent deadline pushing me to act right now?</w:t>
      </w:r>
    </w:p>
    <w:p>
      <w:pPr>
        <w:pStyle w:val="ListParagraph"/>
        <w:numPr>
          <w:ilvl w:val="0"/>
          <w:numId w:val="2"/>
        </w:numPr>
        <w:spacing w:after="90"/>
      </w:pPr>
      <w:r>
        <w:rPr>
          <w:sz w:val="22"/>
          <w:szCs w:val="22"/>
        </w:rPr>
        <w:t xml:space="preserve">Am I being asked to keep this secret or skip a normal approval step?</w:t>
      </w:r>
    </w:p>
    <w:p>
      <w:pPr>
        <w:pStyle w:val="ListParagraph"/>
        <w:numPr>
          <w:ilvl w:val="0"/>
          <w:numId w:val="2"/>
        </w:numPr>
        <w:spacing w:after="90"/>
      </w:pPr>
      <w:r>
        <w:rPr>
          <w:sz w:val="22"/>
          <w:szCs w:val="22"/>
        </w:rPr>
        <w:t xml:space="preserve">Does the link's real root domain match the brand it claims to be (read right to left)?</w:t>
      </w:r>
    </w:p>
    <w:p>
      <w:pPr>
        <w:pStyle w:val="ListParagraph"/>
        <w:numPr>
          <w:ilvl w:val="0"/>
          <w:numId w:val="2"/>
        </w:numPr>
        <w:spacing w:after="90"/>
      </w:pPr>
      <w:r>
        <w:rPr>
          <w:sz w:val="22"/>
          <w:szCs w:val="22"/>
        </w:rPr>
        <w:t xml:space="preserve">Is there an unexpected attachment, especially .iso, .js, .scr, or an HTML file pretending to be a document?</w:t>
      </w:r>
    </w:p>
    <w:p>
      <w:pPr>
        <w:pStyle w:val="ListParagraph"/>
        <w:numPr>
          <w:ilvl w:val="0"/>
          <w:numId w:val="2"/>
        </w:numPr>
        <w:spacing w:after="90"/>
      </w:pPr>
      <w:r>
        <w:rPr>
          <w:sz w:val="22"/>
          <w:szCs w:val="22"/>
        </w:rPr>
        <w:t xml:space="preserve">Am I being asked for a password, MFA code, or payment details over email, text, or a QR scan?</w:t>
      </w:r>
    </w:p>
    <w:p>
      <w:pPr>
        <w:pStyle w:val="ListParagraph"/>
        <w:numPr>
          <w:ilvl w:val="0"/>
          <w:numId w:val="2"/>
        </w:numPr>
        <w:spacing w:after="90"/>
      </w:pPr>
      <w:r>
        <w:rPr>
          <w:sz w:val="22"/>
          <w:szCs w:val="22"/>
        </w:rPr>
        <w:t xml:space="preserve">Would this request normally come through this channel at all?</w:t>
      </w:r>
    </w:p>
    <w:p>
      <w:pPr>
        <w:pStyle w:val="Heading1"/>
        <w:spacing w:after="200" w:before="400"/>
      </w:pPr>
      <w:r>
        <w:rPr>
          <w:b/>
          <w:bCs/>
          <w:color w:val="1A1A1A"/>
          <w:sz w:val="32"/>
          <w:szCs w:val="32"/>
        </w:rPr>
        <w:t xml:space="preserve">4. Triage Decision Tree</w:t>
      </w:r>
    </w:p>
    <w:p>
      <w:pPr>
        <w:spacing w:after="150" w:line="300"/>
      </w:pPr>
      <w:r>
        <w:rPr>
          <w:sz w:val="22"/>
          <w:szCs w:val="22"/>
        </w:rPr>
        <w:t xml:space="preserve">Every incoming suspicious message should end in one of three outcomes, never left sitting unresolved:</w:t>
      </w:r>
    </w:p>
    <w:p>
      <w:pPr>
        <w:spacing w:after="80"/>
      </w:pPr>
    </w:p>
    <w:tbl>
      <w:tblPr>
        <w:tblW w:type="dxa" w:w="9000"/>
        <w:tblBorders>
          <w:top w:val="single" w:color="CCCCCC" w:sz="4"/>
          <w:left w:val="single" w:color="CCCCCC" w:sz="4"/>
          <w:bottom w:val="single" w:color="CCCCCC" w:sz="4"/>
          <w:right w:val="single" w:color="CCCCCC" w:sz="4"/>
          <w:insideH w:val="single" w:color="DDDDDD" w:sz="4"/>
          <w:insideV w:val="single" w:color="DDDDDD" w:sz="4"/>
        </w:tblBorders>
      </w:tblPr>
      <w:tblGrid>
        <w:gridCol w:w="3000"/>
        <w:gridCol w:w="3000"/>
        <w:gridCol w:w="3000"/>
      </w:tblGrid>
      <w:tr>
        <w:tc>
          <w:tcPr>
            <w:tcW w:type="dxa" w:w="3000"/>
            <w:shd w:fill="2E7D32" w:val="clear"/>
            <w:tcMar>
              <w:top w:type="dxa" w:w="100"/>
              <w:left w:type="dxa" w:w="150"/>
              <w:bottom w:type="dxa" w:w="100"/>
              <w:right w:type="dxa" w:w="150"/>
            </w:tcMar>
          </w:tcPr>
          <w:p>
            <w:r>
              <w:rPr>
                <w:b/>
                <w:bCs/>
                <w:color w:val="FFFFFF"/>
                <w:sz w:val="22"/>
                <w:szCs w:val="22"/>
              </w:rPr>
              <w:t xml:space="preserve">SAFE</w:t>
            </w:r>
          </w:p>
        </w:tc>
        <w:tc>
          <w:tcPr>
            <w:tcW w:type="dxa" w:w="3000"/>
            <w:shd w:fill="37474F" w:val="clear"/>
            <w:tcMar>
              <w:top w:type="dxa" w:w="100"/>
              <w:left w:type="dxa" w:w="150"/>
              <w:bottom w:type="dxa" w:w="100"/>
              <w:right w:type="dxa" w:w="150"/>
            </w:tcMar>
          </w:tcPr>
          <w:p>
            <w:r>
              <w:rPr>
                <w:b/>
                <w:bCs/>
                <w:color w:val="FFFFFF"/>
                <w:sz w:val="22"/>
                <w:szCs w:val="22"/>
              </w:rPr>
              <w:t xml:space="preserve">SUSPICIOUS</w:t>
            </w:r>
          </w:p>
        </w:tc>
        <w:tc>
          <w:tcPr>
            <w:tcW w:type="dxa" w:w="3000"/>
            <w:shd w:fill="C62828" w:val="clear"/>
            <w:tcMar>
              <w:top w:type="dxa" w:w="100"/>
              <w:left w:type="dxa" w:w="150"/>
              <w:bottom w:type="dxa" w:w="100"/>
              <w:right w:type="dxa" w:w="150"/>
            </w:tcMar>
          </w:tcPr>
          <w:p>
            <w:r>
              <w:rPr>
                <w:b/>
                <w:bCs/>
                <w:color w:val="FFFFFF"/>
                <w:sz w:val="22"/>
                <w:szCs w:val="22"/>
              </w:rPr>
              <w:t xml:space="preserve">MALICIOUS</w:t>
            </w:r>
          </w:p>
        </w:tc>
      </w:tr>
      <w:tr>
        <w:tc>
          <w:tcPr>
            <w:tcW w:type="dxa" w:w="3000"/>
            <w:tcMar>
              <w:top w:type="dxa" w:w="100"/>
              <w:left w:type="dxa" w:w="150"/>
              <w:bottom w:type="dxa" w:w="150"/>
              <w:right w:type="dxa" w:w="150"/>
            </w:tcMar>
          </w:tcPr>
          <w:p>
            <w:pPr>
              <w:spacing w:after="60"/>
            </w:pPr>
            <w:r>
              <w:rPr>
                <w:sz w:val="20"/>
                <w:szCs w:val="20"/>
              </w:rPr>
              <w:t xml:space="preserve">Domain matches, no urgency, no unusual request.</w:t>
            </w:r>
          </w:p>
          <w:p>
            <w:r>
              <w:rPr>
                <w:b/>
                <w:bCs/>
                <w:sz w:val="20"/>
                <w:szCs w:val="20"/>
              </w:rPr>
              <w:t xml:space="preserve">Action: Close.</w:t>
            </w:r>
          </w:p>
        </w:tc>
        <w:tc>
          <w:tcPr>
            <w:tcW w:type="dxa" w:w="3000"/>
            <w:tcMar>
              <w:top w:type="dxa" w:w="100"/>
              <w:left w:type="dxa" w:w="150"/>
              <w:bottom w:type="dxa" w:w="150"/>
              <w:right w:type="dxa" w:w="150"/>
            </w:tcMar>
          </w:tcPr>
          <w:p>
            <w:pPr>
              <w:spacing w:after="60"/>
            </w:pPr>
            <w:r>
              <w:rPr>
                <w:sz w:val="20"/>
                <w:szCs w:val="20"/>
              </w:rPr>
              <w:t xml:space="preserve">One or two red flags present but nothing confirmed malicious yet.</w:t>
            </w:r>
          </w:p>
          <w:p>
            <w:r>
              <w:rPr>
                <w:b/>
                <w:bCs/>
                <w:sz w:val="20"/>
                <w:szCs w:val="20"/>
              </w:rPr>
              <w:t xml:space="preserve">Action: Warn user, do not click, verify via a second channel.</w:t>
            </w:r>
          </w:p>
        </w:tc>
        <w:tc>
          <w:tcPr>
            <w:tcW w:type="dxa" w:w="3000"/>
            <w:tcMar>
              <w:top w:type="dxa" w:w="100"/>
              <w:left w:type="dxa" w:w="150"/>
              <w:bottom w:type="dxa" w:w="150"/>
              <w:right w:type="dxa" w:w="150"/>
            </w:tcMar>
          </w:tcPr>
          <w:p>
            <w:pPr>
              <w:spacing w:after="60"/>
            </w:pPr>
            <w:r>
              <w:rPr>
                <w:sz w:val="20"/>
                <w:szCs w:val="20"/>
              </w:rPr>
              <w:t xml:space="preserve">Spoofed domain, credential harvesting link, or dangerous attachment confirmed.</w:t>
            </w:r>
          </w:p>
          <w:p>
            <w:r>
              <w:rPr>
                <w:b/>
                <w:bCs/>
                <w:sz w:val="20"/>
                <w:szCs w:val="20"/>
              </w:rPr>
              <w:t xml:space="preserve">Action: Block domain, report to IT, escalate.</w:t>
            </w:r>
          </w:p>
        </w:tc>
      </w:tr>
    </w:tbl>
    <w:p>
      <w:pPr>
        <w:spacing w:after="200"/>
      </w:pPr>
    </w:p>
    <w:p>
      <w:pPr>
        <w:spacing w:after="150" w:line="300"/>
      </w:pPr>
      <w:r>
        <w:rPr>
          <w:sz w:val="22"/>
          <w:szCs w:val="22"/>
        </w:rPr>
        <w:t xml:space="preserve">The rule I'm applying across all four samples above is Pause, Verify, Report — stop interacting the moment a trigger is recognized, confirm the request through a channel the attacker doesn't control, and always report rather than silently deleting so the same message can be pulled from other inboxes too.</w:t>
      </w:r>
    </w:p>
    <w:p>
      <w:pPr>
        <w:pStyle w:val="Heading1"/>
        <w:spacing w:after="200" w:before="400"/>
      </w:pPr>
      <w:r>
        <w:rPr>
          <w:b/>
          <w:bCs/>
          <w:color w:val="1A1A1A"/>
          <w:sz w:val="32"/>
          <w:szCs w:val="32"/>
        </w:rPr>
        <w:t xml:space="preserve">5. Conclusion</w:t>
      </w:r>
    </w:p>
    <w:p>
      <w:pPr>
        <w:spacing w:after="150" w:line="300"/>
      </w:pPr>
      <w:r>
        <w:rPr>
          <w:sz w:val="22"/>
          <w:szCs w:val="22"/>
        </w:rPr>
        <w:t xml:space="preserve">Across all four samples, the technical trick was almost always secondary to the psychological one — urgency, authority, or curiosity did most of the work, and the spoofed domain or malicious attachment was just the delivery mechanism. Building the habit of checking the sender's real domain and pausing before clicking is a bigger defensive win than any single tool. This checklist and decision tree are the deliverables for Project 3 and can be reused as the baseline for the simulation templates in the next milestone.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2026-07-08T18:20:25.807Z</dcterms:created>
  <dcterms:modified xsi:type="dcterms:W3CDTF">2026-07-08T18:20:25.807Z</dcterms:modified>
</cp:coreProperties>
</file>

<file path=docProps/custom.xml><?xml version="1.0" encoding="utf-8"?>
<Properties xmlns="http://schemas.openxmlformats.org/officeDocument/2006/custom-properties" xmlns:vt="http://schemas.openxmlformats.org/officeDocument/2006/docPropsVTypes"/>
</file>