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2523" w:rsidRPr="00DE0F41" w:rsidRDefault="008D4B08" w:rsidP="008D4B08">
      <w:pPr>
        <w:jc w:val="center"/>
        <w:rPr>
          <w:rFonts w:ascii="Times New Roman" w:hAnsi="Times New Roman" w:cs="Times New Roman"/>
          <w:b/>
          <w:sz w:val="40"/>
          <w:u w:val="single"/>
        </w:rPr>
      </w:pPr>
      <w:r w:rsidRPr="00DE0F41">
        <w:rPr>
          <w:rFonts w:ascii="Times New Roman" w:hAnsi="Times New Roman" w:cs="Times New Roman"/>
          <w:b/>
          <w:sz w:val="40"/>
          <w:u w:val="single"/>
        </w:rPr>
        <w:t>IFRS 16</w:t>
      </w:r>
    </w:p>
    <w:p w:rsidR="008D4B08" w:rsidRPr="00316A5A" w:rsidRDefault="008D4B08" w:rsidP="008D4B08">
      <w:pPr>
        <w:rPr>
          <w:rFonts w:cstheme="minorHAnsi"/>
          <w:b/>
          <w:sz w:val="32"/>
        </w:rPr>
      </w:pPr>
      <w:r w:rsidRPr="00316A5A">
        <w:rPr>
          <w:rFonts w:cstheme="minorHAnsi"/>
          <w:b/>
          <w:sz w:val="32"/>
        </w:rPr>
        <w:t>1.</w:t>
      </w:r>
      <w:r w:rsidRPr="00316A5A">
        <w:rPr>
          <w:rFonts w:cstheme="minorHAnsi"/>
          <w:b/>
          <w:sz w:val="24"/>
        </w:rPr>
        <w:t xml:space="preserve"> </w:t>
      </w:r>
      <w:r w:rsidRPr="00316A5A">
        <w:rPr>
          <w:rFonts w:cstheme="minorHAnsi"/>
          <w:b/>
          <w:sz w:val="32"/>
        </w:rPr>
        <w:t xml:space="preserve">Background </w:t>
      </w:r>
    </w:p>
    <w:p w:rsidR="008D4B08" w:rsidRPr="00316A5A" w:rsidRDefault="008D4B08" w:rsidP="008D4B08">
      <w:pPr>
        <w:pStyle w:val="ListParagraph"/>
        <w:numPr>
          <w:ilvl w:val="0"/>
          <w:numId w:val="1"/>
        </w:numPr>
        <w:rPr>
          <w:rFonts w:cstheme="minorHAnsi"/>
          <w:sz w:val="28"/>
        </w:rPr>
      </w:pPr>
      <w:r w:rsidRPr="00316A5A">
        <w:rPr>
          <w:rFonts w:cstheme="minorHAnsi"/>
          <w:sz w:val="28"/>
        </w:rPr>
        <w:t xml:space="preserve">IFRS 16 supersedes IAS 17 Leases (and related Interpretations) and is effective from 1 January 2019. </w:t>
      </w:r>
    </w:p>
    <w:p w:rsidR="008D4B08" w:rsidRPr="00316A5A" w:rsidRDefault="008D4B08" w:rsidP="008D4B08">
      <w:pPr>
        <w:pStyle w:val="ListParagraph"/>
        <w:numPr>
          <w:ilvl w:val="0"/>
          <w:numId w:val="1"/>
        </w:numPr>
        <w:rPr>
          <w:rFonts w:cstheme="minorHAnsi"/>
          <w:sz w:val="28"/>
        </w:rPr>
      </w:pPr>
      <w:r w:rsidRPr="00316A5A">
        <w:rPr>
          <w:rFonts w:cstheme="minorHAnsi"/>
          <w:sz w:val="28"/>
        </w:rPr>
        <w:t>The IASB and the US national standard-setter, the Financial Accounting Standards Board (FASB), have been working jointly to improve the accounting for leases in International Financial Reporting Standards (IFRS) and US Generally Accepted Accounting Principles (US GAAP).</w:t>
      </w:r>
    </w:p>
    <w:p w:rsidR="008D4B08" w:rsidRPr="00316A5A" w:rsidRDefault="008D4B08" w:rsidP="008D4B08">
      <w:pPr>
        <w:pStyle w:val="ListParagraph"/>
        <w:numPr>
          <w:ilvl w:val="0"/>
          <w:numId w:val="1"/>
        </w:numPr>
        <w:rPr>
          <w:rFonts w:cstheme="minorHAnsi"/>
          <w:sz w:val="28"/>
        </w:rPr>
      </w:pPr>
      <w:r w:rsidRPr="00316A5A">
        <w:rPr>
          <w:rFonts w:cstheme="minorHAnsi"/>
          <w:sz w:val="28"/>
        </w:rPr>
        <w:t>IFRS 16 completes the IASB’s project to improve financial reporting for leases.</w:t>
      </w:r>
    </w:p>
    <w:p w:rsidR="008D4B08" w:rsidRPr="00316A5A" w:rsidRDefault="008D4B08" w:rsidP="008D4B08">
      <w:pPr>
        <w:rPr>
          <w:rFonts w:cstheme="minorHAnsi"/>
          <w:b/>
          <w:sz w:val="32"/>
        </w:rPr>
      </w:pPr>
      <w:proofErr w:type="gramStart"/>
      <w:r w:rsidRPr="00316A5A">
        <w:rPr>
          <w:rFonts w:cstheme="minorHAnsi"/>
          <w:b/>
          <w:sz w:val="32"/>
        </w:rPr>
        <w:t>2.Objective</w:t>
      </w:r>
      <w:proofErr w:type="gramEnd"/>
      <w:r w:rsidRPr="00316A5A">
        <w:rPr>
          <w:rFonts w:cstheme="minorHAnsi"/>
          <w:b/>
          <w:sz w:val="32"/>
        </w:rPr>
        <w:t xml:space="preserve"> of IFRS 16</w:t>
      </w:r>
    </w:p>
    <w:p w:rsidR="008D4B08" w:rsidRPr="00316A5A" w:rsidRDefault="008D4B08" w:rsidP="008D4B08">
      <w:pPr>
        <w:rPr>
          <w:rFonts w:cstheme="minorHAnsi"/>
          <w:sz w:val="28"/>
        </w:rPr>
      </w:pPr>
      <w:r w:rsidRPr="00316A5A">
        <w:rPr>
          <w:rFonts w:cstheme="minorHAnsi"/>
          <w:sz w:val="28"/>
        </w:rPr>
        <w:t xml:space="preserve">The premise of IFRS 16 is simple: </w:t>
      </w:r>
      <w:r w:rsidRPr="00316A5A">
        <w:rPr>
          <w:rFonts w:cstheme="minorHAnsi"/>
          <w:sz w:val="28"/>
          <w:u w:val="single"/>
        </w:rPr>
        <w:t>to bring all companies’ leases onto their balance sheets for 2019 accounting periods onwards</w:t>
      </w:r>
      <w:r w:rsidRPr="00316A5A">
        <w:rPr>
          <w:rFonts w:cstheme="minorHAnsi"/>
          <w:sz w:val="28"/>
        </w:rPr>
        <w:t>.</w:t>
      </w:r>
    </w:p>
    <w:p w:rsidR="008D4B08" w:rsidRPr="00316A5A" w:rsidRDefault="008D4B08" w:rsidP="008D4B08">
      <w:pPr>
        <w:rPr>
          <w:rFonts w:cstheme="minorHAnsi"/>
          <w:b/>
          <w:i/>
          <w:sz w:val="28"/>
          <w:u w:val="single"/>
        </w:rPr>
      </w:pPr>
      <w:r w:rsidRPr="00316A5A">
        <w:rPr>
          <w:rFonts w:cstheme="minorHAnsi"/>
          <w:b/>
          <w:i/>
          <w:sz w:val="28"/>
          <w:u w:val="single"/>
        </w:rPr>
        <w:t>The objective of IFRS 16 is to report information that</w:t>
      </w:r>
    </w:p>
    <w:p w:rsidR="008D4B08" w:rsidRPr="00316A5A" w:rsidRDefault="008D4B08" w:rsidP="008D4B08">
      <w:pPr>
        <w:rPr>
          <w:rFonts w:cstheme="minorHAnsi"/>
          <w:b/>
          <w:i/>
          <w:sz w:val="28"/>
          <w:u w:val="single"/>
        </w:rPr>
      </w:pPr>
      <w:r w:rsidRPr="00316A5A">
        <w:rPr>
          <w:rFonts w:cstheme="minorHAnsi"/>
          <w:b/>
          <w:i/>
          <w:sz w:val="28"/>
          <w:u w:val="single"/>
        </w:rPr>
        <w:t xml:space="preserve"> (a) </w:t>
      </w:r>
      <w:proofErr w:type="gramStart"/>
      <w:r w:rsidRPr="00316A5A">
        <w:rPr>
          <w:rFonts w:cstheme="minorHAnsi"/>
          <w:b/>
          <w:i/>
          <w:sz w:val="28"/>
          <w:u w:val="single"/>
        </w:rPr>
        <w:t>faithfully</w:t>
      </w:r>
      <w:proofErr w:type="gramEnd"/>
      <w:r w:rsidRPr="00316A5A">
        <w:rPr>
          <w:rFonts w:cstheme="minorHAnsi"/>
          <w:b/>
          <w:i/>
          <w:sz w:val="28"/>
          <w:u w:val="single"/>
        </w:rPr>
        <w:t xml:space="preserve"> represents lease transactions and </w:t>
      </w:r>
    </w:p>
    <w:p w:rsidR="008D4B08" w:rsidRPr="00316A5A" w:rsidRDefault="008D4B08" w:rsidP="008D4B08">
      <w:pPr>
        <w:rPr>
          <w:rFonts w:cstheme="minorHAnsi"/>
          <w:b/>
          <w:i/>
          <w:sz w:val="28"/>
          <w:u w:val="single"/>
        </w:rPr>
      </w:pPr>
      <w:r w:rsidRPr="00316A5A">
        <w:rPr>
          <w:rFonts w:cstheme="minorHAnsi"/>
          <w:b/>
          <w:i/>
          <w:sz w:val="28"/>
          <w:u w:val="single"/>
        </w:rPr>
        <w:t xml:space="preserve">(b) </w:t>
      </w:r>
      <w:proofErr w:type="gramStart"/>
      <w:r w:rsidRPr="00316A5A">
        <w:rPr>
          <w:rFonts w:cstheme="minorHAnsi"/>
          <w:b/>
          <w:i/>
          <w:sz w:val="28"/>
          <w:u w:val="single"/>
        </w:rPr>
        <w:t>provides</w:t>
      </w:r>
      <w:proofErr w:type="gramEnd"/>
      <w:r w:rsidRPr="00316A5A">
        <w:rPr>
          <w:rFonts w:cstheme="minorHAnsi"/>
          <w:b/>
          <w:i/>
          <w:sz w:val="28"/>
          <w:u w:val="single"/>
        </w:rPr>
        <w:t xml:space="preserve"> a basis for users of financial statements to assess the amount, timing and uncertainty of cash flows arising from leases. </w:t>
      </w:r>
    </w:p>
    <w:p w:rsidR="008D4B08" w:rsidRPr="00316A5A" w:rsidRDefault="008D4B08" w:rsidP="008D4B08">
      <w:pPr>
        <w:rPr>
          <w:rFonts w:cstheme="minorHAnsi"/>
          <w:sz w:val="28"/>
        </w:rPr>
      </w:pPr>
      <w:r w:rsidRPr="00316A5A">
        <w:rPr>
          <w:rFonts w:cstheme="minorHAnsi"/>
          <w:sz w:val="28"/>
        </w:rPr>
        <w:t>To meet that objective, a lessee should recognise assets and liabilities arising from a lease.</w:t>
      </w:r>
    </w:p>
    <w:p w:rsidR="008D4B08" w:rsidRPr="00316A5A" w:rsidRDefault="008D4B08" w:rsidP="008D4B08">
      <w:pPr>
        <w:pStyle w:val="ListParagraph"/>
        <w:numPr>
          <w:ilvl w:val="0"/>
          <w:numId w:val="2"/>
        </w:numPr>
        <w:rPr>
          <w:rFonts w:cstheme="minorHAnsi"/>
          <w:sz w:val="28"/>
        </w:rPr>
      </w:pPr>
      <w:r w:rsidRPr="00316A5A">
        <w:rPr>
          <w:rFonts w:cstheme="minorHAnsi"/>
          <w:sz w:val="28"/>
        </w:rPr>
        <w:t>IFRS 16 introduces a single lessee accounting model and requires a lessee to recognise assets and liabilities for all leases with a term of more than 12 months, unless the underlying asset is of low value.</w:t>
      </w:r>
    </w:p>
    <w:p w:rsidR="008D4B08" w:rsidRPr="00316A5A" w:rsidRDefault="008D4B08" w:rsidP="008D4B08">
      <w:pPr>
        <w:pStyle w:val="ListParagraph"/>
        <w:numPr>
          <w:ilvl w:val="0"/>
          <w:numId w:val="2"/>
        </w:numPr>
        <w:rPr>
          <w:rFonts w:cstheme="minorHAnsi"/>
          <w:sz w:val="28"/>
        </w:rPr>
      </w:pPr>
      <w:r w:rsidRPr="00316A5A">
        <w:rPr>
          <w:rFonts w:cstheme="minorHAnsi"/>
          <w:sz w:val="28"/>
        </w:rPr>
        <w:t>A lessee is required to recognise a right-of-use asset representing its right to use the underlying leased asset and a lease liability representing its obligation to make lease payments.</w:t>
      </w:r>
    </w:p>
    <w:p w:rsidR="008D4B08" w:rsidRPr="00316A5A" w:rsidRDefault="008D4B08" w:rsidP="008D4B08">
      <w:pPr>
        <w:rPr>
          <w:rFonts w:cstheme="minorHAnsi"/>
          <w:b/>
          <w:sz w:val="32"/>
        </w:rPr>
      </w:pPr>
      <w:proofErr w:type="gramStart"/>
      <w:r w:rsidRPr="00316A5A">
        <w:rPr>
          <w:rFonts w:cstheme="minorHAnsi"/>
          <w:b/>
          <w:sz w:val="32"/>
        </w:rPr>
        <w:t>3.Scope</w:t>
      </w:r>
      <w:proofErr w:type="gramEnd"/>
      <w:r w:rsidRPr="00316A5A">
        <w:rPr>
          <w:rFonts w:cstheme="minorHAnsi"/>
          <w:b/>
          <w:sz w:val="32"/>
        </w:rPr>
        <w:t xml:space="preserve"> of IFRS 16 </w:t>
      </w:r>
    </w:p>
    <w:p w:rsidR="008D4B08" w:rsidRPr="00316A5A" w:rsidRDefault="008D4B08" w:rsidP="008D4B08">
      <w:pPr>
        <w:pStyle w:val="ListParagraph"/>
        <w:numPr>
          <w:ilvl w:val="0"/>
          <w:numId w:val="3"/>
        </w:numPr>
        <w:rPr>
          <w:rFonts w:cstheme="minorHAnsi"/>
          <w:sz w:val="28"/>
        </w:rPr>
      </w:pPr>
      <w:r w:rsidRPr="00316A5A">
        <w:rPr>
          <w:rFonts w:cstheme="minorHAnsi"/>
          <w:sz w:val="28"/>
        </w:rPr>
        <w:t xml:space="preserve">The scope of IFRS 16 is generally similar to IAS 17 and includes all contracts that convey the right to use an asset for a period of time in exchange for consideration, except for licences of intellectual property granted by a lessor, rights held by a lessee under licensing agreements (such as motion picture films, video recordings, plays, manuscripts, patents and copyrights), leases of biological assets, service concession </w:t>
      </w:r>
      <w:r w:rsidRPr="00316A5A">
        <w:rPr>
          <w:rFonts w:cstheme="minorHAnsi"/>
          <w:sz w:val="28"/>
        </w:rPr>
        <w:lastRenderedPageBreak/>
        <w:t>agreements and leases to explore for or use minerals, oil, natural gas and similar non-regenerative resources.</w:t>
      </w:r>
    </w:p>
    <w:p w:rsidR="008D4B08" w:rsidRPr="00316A5A" w:rsidRDefault="008D4B08" w:rsidP="008D4B08">
      <w:pPr>
        <w:pStyle w:val="ListParagraph"/>
        <w:numPr>
          <w:ilvl w:val="0"/>
          <w:numId w:val="3"/>
        </w:numPr>
        <w:rPr>
          <w:rFonts w:cstheme="minorHAnsi"/>
          <w:sz w:val="28"/>
        </w:rPr>
      </w:pPr>
      <w:r w:rsidRPr="00316A5A">
        <w:rPr>
          <w:rFonts w:cstheme="minorHAnsi"/>
          <w:sz w:val="28"/>
        </w:rPr>
        <w:t>There is an optional scope exemption for lessees of intangible assets other than the licences mentioned above</w:t>
      </w:r>
    </w:p>
    <w:p w:rsidR="008D4B08" w:rsidRPr="00316A5A" w:rsidRDefault="008D4B08" w:rsidP="008D4B08">
      <w:pPr>
        <w:pStyle w:val="ListParagraph"/>
        <w:numPr>
          <w:ilvl w:val="0"/>
          <w:numId w:val="3"/>
        </w:numPr>
        <w:rPr>
          <w:rFonts w:cstheme="minorHAnsi"/>
          <w:sz w:val="28"/>
        </w:rPr>
      </w:pPr>
      <w:r w:rsidRPr="00316A5A">
        <w:rPr>
          <w:rFonts w:cstheme="minorHAnsi"/>
          <w:sz w:val="28"/>
        </w:rPr>
        <w:t xml:space="preserve">IFRS 16 includes detailed guidance to help companies assess whether a contract contains a lease or a service, or both. </w:t>
      </w:r>
    </w:p>
    <w:p w:rsidR="008D4B08" w:rsidRPr="00316A5A" w:rsidRDefault="008D4B08" w:rsidP="008D4B08">
      <w:pPr>
        <w:pStyle w:val="ListParagraph"/>
        <w:numPr>
          <w:ilvl w:val="0"/>
          <w:numId w:val="3"/>
        </w:numPr>
        <w:rPr>
          <w:rFonts w:cstheme="minorHAnsi"/>
          <w:sz w:val="28"/>
        </w:rPr>
      </w:pPr>
      <w:r w:rsidRPr="00316A5A">
        <w:rPr>
          <w:rFonts w:cstheme="minorHAnsi"/>
          <w:sz w:val="28"/>
        </w:rPr>
        <w:t xml:space="preserve">Under current guidance and practice, there is not a lot of emphasis on the distinction between a service </w:t>
      </w:r>
      <w:proofErr w:type="gramStart"/>
      <w:r w:rsidRPr="00316A5A">
        <w:rPr>
          <w:rFonts w:cstheme="minorHAnsi"/>
          <w:sz w:val="28"/>
        </w:rPr>
        <w:t>or</w:t>
      </w:r>
      <w:proofErr w:type="gramEnd"/>
      <w:r w:rsidRPr="00316A5A">
        <w:rPr>
          <w:rFonts w:cstheme="minorHAnsi"/>
          <w:sz w:val="28"/>
        </w:rPr>
        <w:t xml:space="preserve"> an operating lease, as this often does not change the accounting treatment.</w:t>
      </w:r>
    </w:p>
    <w:p w:rsidR="008D4B08" w:rsidRPr="00316A5A" w:rsidRDefault="008D4B08" w:rsidP="008D4B08">
      <w:pPr>
        <w:pStyle w:val="ListParagraph"/>
        <w:numPr>
          <w:ilvl w:val="0"/>
          <w:numId w:val="3"/>
        </w:numPr>
        <w:rPr>
          <w:rFonts w:cstheme="minorHAnsi"/>
          <w:sz w:val="28"/>
        </w:rPr>
      </w:pPr>
      <w:r w:rsidRPr="00316A5A">
        <w:rPr>
          <w:rFonts w:cstheme="minorHAnsi"/>
          <w:sz w:val="28"/>
        </w:rPr>
        <w:t xml:space="preserve">The analysis starts by determining if a contract meets the definition of a lease. </w:t>
      </w:r>
    </w:p>
    <w:p w:rsidR="008D4B08" w:rsidRPr="00316A5A" w:rsidRDefault="008D4B08" w:rsidP="008D4B08">
      <w:pPr>
        <w:pStyle w:val="ListParagraph"/>
        <w:numPr>
          <w:ilvl w:val="0"/>
          <w:numId w:val="3"/>
        </w:numPr>
        <w:rPr>
          <w:rFonts w:cstheme="minorHAnsi"/>
          <w:sz w:val="28"/>
        </w:rPr>
      </w:pPr>
      <w:r w:rsidRPr="00316A5A">
        <w:rPr>
          <w:rFonts w:cstheme="minorHAnsi"/>
          <w:sz w:val="28"/>
        </w:rPr>
        <w:t>This means that the customer has the right to control the use of an identifiable asset for a period of time in exchange for consideration.</w:t>
      </w:r>
    </w:p>
    <w:p w:rsidR="008D4B08" w:rsidRPr="00316A5A" w:rsidRDefault="008D4B08" w:rsidP="008D4B08">
      <w:pPr>
        <w:rPr>
          <w:rFonts w:cstheme="minorHAnsi"/>
          <w:b/>
          <w:sz w:val="32"/>
        </w:rPr>
      </w:pPr>
      <w:proofErr w:type="gramStart"/>
      <w:r w:rsidRPr="00316A5A">
        <w:rPr>
          <w:rFonts w:cstheme="minorHAnsi"/>
          <w:b/>
          <w:sz w:val="32"/>
        </w:rPr>
        <w:t>4.Key</w:t>
      </w:r>
      <w:proofErr w:type="gramEnd"/>
      <w:r w:rsidRPr="00316A5A">
        <w:rPr>
          <w:rFonts w:cstheme="minorHAnsi"/>
          <w:b/>
          <w:sz w:val="32"/>
        </w:rPr>
        <w:t xml:space="preserve"> Changes because of IFRS 16</w:t>
      </w:r>
    </w:p>
    <w:p w:rsidR="008D4B08" w:rsidRPr="00316A5A" w:rsidRDefault="008D4B08" w:rsidP="008D4B08">
      <w:pPr>
        <w:pStyle w:val="ListParagraph"/>
        <w:numPr>
          <w:ilvl w:val="0"/>
          <w:numId w:val="5"/>
        </w:numPr>
        <w:rPr>
          <w:rFonts w:cstheme="minorHAnsi"/>
          <w:sz w:val="28"/>
        </w:rPr>
      </w:pPr>
      <w:r w:rsidRPr="00316A5A">
        <w:rPr>
          <w:rFonts w:cstheme="minorHAnsi"/>
          <w:sz w:val="28"/>
        </w:rPr>
        <w:t xml:space="preserve">The key elements of the new standard and the effect on financial statements are as follows: </w:t>
      </w:r>
    </w:p>
    <w:p w:rsidR="008D4B08" w:rsidRPr="00316A5A" w:rsidRDefault="008D4B08" w:rsidP="008D4B08">
      <w:pPr>
        <w:pStyle w:val="ListParagraph"/>
        <w:numPr>
          <w:ilvl w:val="0"/>
          <w:numId w:val="5"/>
        </w:numPr>
        <w:rPr>
          <w:rFonts w:cstheme="minorHAnsi"/>
          <w:sz w:val="28"/>
          <w:u w:val="single"/>
        </w:rPr>
      </w:pPr>
      <w:r w:rsidRPr="00316A5A">
        <w:rPr>
          <w:rFonts w:cstheme="minorHAnsi"/>
          <w:sz w:val="28"/>
        </w:rPr>
        <w:t>A ‘</w:t>
      </w:r>
      <w:r w:rsidRPr="00316A5A">
        <w:rPr>
          <w:rFonts w:cstheme="minorHAnsi"/>
          <w:b/>
          <w:sz w:val="28"/>
        </w:rPr>
        <w:t>right-of-use</w:t>
      </w:r>
      <w:r w:rsidRPr="00316A5A">
        <w:rPr>
          <w:rFonts w:cstheme="minorHAnsi"/>
          <w:sz w:val="28"/>
        </w:rPr>
        <w:t>’ model replaces the ‘</w:t>
      </w:r>
      <w:r w:rsidRPr="00316A5A">
        <w:rPr>
          <w:rFonts w:cstheme="minorHAnsi"/>
          <w:b/>
          <w:sz w:val="28"/>
        </w:rPr>
        <w:t>risks and rewards’</w:t>
      </w:r>
      <w:r w:rsidRPr="00316A5A">
        <w:rPr>
          <w:rFonts w:cstheme="minorHAnsi"/>
          <w:sz w:val="28"/>
        </w:rPr>
        <w:t xml:space="preserve"> model. </w:t>
      </w:r>
      <w:r w:rsidRPr="00316A5A">
        <w:rPr>
          <w:rFonts w:cstheme="minorHAnsi"/>
          <w:sz w:val="28"/>
          <w:u w:val="single"/>
        </w:rPr>
        <w:t xml:space="preserve">Lessees are required to recognise an asset and liability at the inception of a lease. </w:t>
      </w:r>
    </w:p>
    <w:p w:rsidR="008D4B08" w:rsidRPr="00316A5A" w:rsidRDefault="008D4B08" w:rsidP="008D4B08">
      <w:pPr>
        <w:pStyle w:val="ListParagraph"/>
        <w:numPr>
          <w:ilvl w:val="0"/>
          <w:numId w:val="5"/>
        </w:numPr>
        <w:rPr>
          <w:rFonts w:cstheme="minorHAnsi"/>
          <w:sz w:val="28"/>
        </w:rPr>
      </w:pPr>
      <w:r w:rsidRPr="00316A5A">
        <w:rPr>
          <w:rFonts w:cstheme="minorHAnsi"/>
          <w:sz w:val="28"/>
        </w:rPr>
        <w:t xml:space="preserve">All lease liabilities are to be measured with reference to </w:t>
      </w:r>
      <w:r w:rsidRPr="00316A5A">
        <w:rPr>
          <w:rFonts w:cstheme="minorHAnsi"/>
          <w:b/>
          <w:sz w:val="28"/>
        </w:rPr>
        <w:t>an estimate of the lease term</w:t>
      </w:r>
      <w:r w:rsidRPr="00316A5A">
        <w:rPr>
          <w:rFonts w:cstheme="minorHAnsi"/>
          <w:sz w:val="28"/>
        </w:rPr>
        <w:t xml:space="preserve">, which includes optional lease periods when an entity is reasonably certain to exercise an option to extend (or not to terminate) a lease. </w:t>
      </w:r>
    </w:p>
    <w:p w:rsidR="008D4B08" w:rsidRPr="00316A5A" w:rsidRDefault="008D4B08" w:rsidP="008D4B08">
      <w:pPr>
        <w:pStyle w:val="ListParagraph"/>
        <w:numPr>
          <w:ilvl w:val="0"/>
          <w:numId w:val="5"/>
        </w:numPr>
        <w:rPr>
          <w:rFonts w:cstheme="minorHAnsi"/>
          <w:sz w:val="28"/>
        </w:rPr>
      </w:pPr>
      <w:r w:rsidRPr="00316A5A">
        <w:rPr>
          <w:rFonts w:cstheme="minorHAnsi"/>
          <w:b/>
          <w:sz w:val="28"/>
        </w:rPr>
        <w:t>Contingent rentals or variable lease payments</w:t>
      </w:r>
      <w:r w:rsidRPr="00316A5A">
        <w:rPr>
          <w:rFonts w:cstheme="minorHAnsi"/>
          <w:sz w:val="28"/>
        </w:rPr>
        <w:t xml:space="preserve"> will need to be included in the measurement of lease assets and liabilities when these depend on an index or a rate or where in substance they are fixed payments. </w:t>
      </w:r>
    </w:p>
    <w:p w:rsidR="008D4B08" w:rsidRPr="00316A5A" w:rsidRDefault="008D4B08" w:rsidP="008D4B08">
      <w:pPr>
        <w:pStyle w:val="ListParagraph"/>
        <w:numPr>
          <w:ilvl w:val="0"/>
          <w:numId w:val="5"/>
        </w:numPr>
        <w:rPr>
          <w:rFonts w:cstheme="minorHAnsi"/>
          <w:sz w:val="28"/>
        </w:rPr>
      </w:pPr>
      <w:r w:rsidRPr="00316A5A">
        <w:rPr>
          <w:rFonts w:cstheme="minorHAnsi"/>
          <w:sz w:val="28"/>
        </w:rPr>
        <w:t xml:space="preserve">A lessee should reassess variable lease payments that depend on an index or a rate when the lessee re-measures the lease liability for other reasons and </w:t>
      </w:r>
      <w:r w:rsidRPr="00316A5A">
        <w:rPr>
          <w:rFonts w:cstheme="minorHAnsi"/>
          <w:b/>
          <w:sz w:val="28"/>
        </w:rPr>
        <w:t>when there is a change in the cash flows resulting from a change in the reference index or rate</w:t>
      </w:r>
      <w:r w:rsidRPr="00316A5A">
        <w:rPr>
          <w:rFonts w:cstheme="minorHAnsi"/>
          <w:sz w:val="28"/>
        </w:rPr>
        <w:t xml:space="preserve"> </w:t>
      </w:r>
    </w:p>
    <w:p w:rsidR="008D4B08" w:rsidRPr="00316A5A" w:rsidRDefault="008D4B08" w:rsidP="008D4B08">
      <w:pPr>
        <w:pStyle w:val="ListParagraph"/>
        <w:numPr>
          <w:ilvl w:val="0"/>
          <w:numId w:val="5"/>
        </w:numPr>
        <w:rPr>
          <w:rFonts w:cstheme="minorHAnsi"/>
          <w:sz w:val="28"/>
        </w:rPr>
      </w:pPr>
      <w:r w:rsidRPr="00316A5A">
        <w:rPr>
          <w:rFonts w:cstheme="minorHAnsi"/>
          <w:sz w:val="28"/>
        </w:rPr>
        <w:t xml:space="preserve">Lessees </w:t>
      </w:r>
      <w:r w:rsidRPr="00316A5A">
        <w:rPr>
          <w:rFonts w:cstheme="minorHAnsi"/>
          <w:b/>
          <w:sz w:val="28"/>
        </w:rPr>
        <w:t>should reassess the lease term</w:t>
      </w:r>
      <w:r w:rsidRPr="00316A5A">
        <w:rPr>
          <w:rFonts w:cstheme="minorHAnsi"/>
          <w:sz w:val="28"/>
        </w:rPr>
        <w:t xml:space="preserve"> only upon the occurrence of a significant event or a significant change in circumstances that are within the control of the lessee.</w:t>
      </w:r>
    </w:p>
    <w:p w:rsidR="008D4B08" w:rsidRPr="00316A5A" w:rsidRDefault="008D4B08" w:rsidP="008D4B08">
      <w:pPr>
        <w:rPr>
          <w:rFonts w:cstheme="minorHAnsi"/>
          <w:b/>
          <w:sz w:val="32"/>
        </w:rPr>
      </w:pPr>
    </w:p>
    <w:p w:rsidR="006B48B9" w:rsidRDefault="006B48B9" w:rsidP="008D4B08">
      <w:pPr>
        <w:rPr>
          <w:rFonts w:cstheme="minorHAnsi"/>
          <w:b/>
          <w:sz w:val="32"/>
        </w:rPr>
      </w:pPr>
    </w:p>
    <w:p w:rsidR="008D4B08" w:rsidRPr="00316A5A" w:rsidRDefault="00407DF0" w:rsidP="008D4B08">
      <w:pPr>
        <w:rPr>
          <w:rFonts w:cstheme="minorHAnsi"/>
          <w:b/>
          <w:sz w:val="28"/>
        </w:rPr>
      </w:pPr>
      <w:proofErr w:type="gramStart"/>
      <w:r>
        <w:rPr>
          <w:rFonts w:cstheme="minorHAnsi"/>
          <w:b/>
          <w:sz w:val="32"/>
        </w:rPr>
        <w:lastRenderedPageBreak/>
        <w:t>5.</w:t>
      </w:r>
      <w:r w:rsidR="008A325D" w:rsidRPr="00316A5A">
        <w:rPr>
          <w:rFonts w:cstheme="minorHAnsi"/>
          <w:b/>
          <w:sz w:val="32"/>
        </w:rPr>
        <w:t>How</w:t>
      </w:r>
      <w:proofErr w:type="gramEnd"/>
      <w:r w:rsidR="008A325D" w:rsidRPr="00316A5A">
        <w:rPr>
          <w:rFonts w:cstheme="minorHAnsi"/>
          <w:b/>
          <w:sz w:val="32"/>
        </w:rPr>
        <w:t xml:space="preserve"> the Various Items in Financial Statements Will be Affected ?</w:t>
      </w:r>
    </w:p>
    <w:p w:rsidR="008A325D" w:rsidRPr="00316A5A" w:rsidRDefault="008D4B08" w:rsidP="008D4B08">
      <w:pPr>
        <w:pStyle w:val="ListParagraph"/>
        <w:numPr>
          <w:ilvl w:val="0"/>
          <w:numId w:val="6"/>
        </w:numPr>
        <w:rPr>
          <w:rFonts w:cstheme="minorHAnsi"/>
          <w:sz w:val="28"/>
        </w:rPr>
      </w:pPr>
      <w:r w:rsidRPr="00316A5A">
        <w:rPr>
          <w:rFonts w:cstheme="minorHAnsi"/>
          <w:sz w:val="28"/>
        </w:rPr>
        <w:t xml:space="preserve">The new standard will affect virtually all commonly used financial ratios and performance metrics such as </w:t>
      </w:r>
      <w:r w:rsidRPr="00316A5A">
        <w:rPr>
          <w:rFonts w:cstheme="minorHAnsi"/>
          <w:b/>
          <w:sz w:val="28"/>
        </w:rPr>
        <w:t xml:space="preserve">gearing, current ratio, asset turnover, interest cover, EBITDA, EBIT, operating profit, net income, EPS, ROCE, </w:t>
      </w:r>
      <w:proofErr w:type="gramStart"/>
      <w:r w:rsidRPr="00316A5A">
        <w:rPr>
          <w:rFonts w:cstheme="minorHAnsi"/>
          <w:b/>
          <w:sz w:val="28"/>
        </w:rPr>
        <w:t>ROE</w:t>
      </w:r>
      <w:proofErr w:type="gramEnd"/>
      <w:r w:rsidRPr="00316A5A">
        <w:rPr>
          <w:rFonts w:cstheme="minorHAnsi"/>
          <w:b/>
          <w:sz w:val="28"/>
        </w:rPr>
        <w:t xml:space="preserve"> and operating cash flows.</w:t>
      </w:r>
      <w:r w:rsidRPr="00316A5A">
        <w:rPr>
          <w:rFonts w:cstheme="minorHAnsi"/>
          <w:sz w:val="28"/>
        </w:rPr>
        <w:t xml:space="preserve"> </w:t>
      </w:r>
    </w:p>
    <w:p w:rsidR="008A325D" w:rsidRPr="00316A5A" w:rsidRDefault="008D4B08" w:rsidP="008D4B08">
      <w:pPr>
        <w:pStyle w:val="ListParagraph"/>
        <w:numPr>
          <w:ilvl w:val="0"/>
          <w:numId w:val="6"/>
        </w:numPr>
        <w:rPr>
          <w:rFonts w:cstheme="minorHAnsi"/>
          <w:sz w:val="28"/>
        </w:rPr>
      </w:pPr>
      <w:r w:rsidRPr="00316A5A">
        <w:rPr>
          <w:rFonts w:cstheme="minorHAnsi"/>
          <w:sz w:val="28"/>
        </w:rPr>
        <w:t>These changes may affect loan covenants, credit ratings and borrowing costs, and could result in other behavioural changes.</w:t>
      </w:r>
    </w:p>
    <w:p w:rsidR="008D4B08" w:rsidRPr="00316A5A" w:rsidRDefault="008D4B08" w:rsidP="008D4B08">
      <w:pPr>
        <w:pStyle w:val="ListParagraph"/>
        <w:numPr>
          <w:ilvl w:val="0"/>
          <w:numId w:val="6"/>
        </w:numPr>
        <w:rPr>
          <w:rFonts w:cstheme="minorHAnsi"/>
          <w:b/>
          <w:sz w:val="28"/>
        </w:rPr>
      </w:pPr>
      <w:r w:rsidRPr="00316A5A">
        <w:rPr>
          <w:rFonts w:cstheme="minorHAnsi"/>
          <w:sz w:val="28"/>
        </w:rPr>
        <w:t xml:space="preserve">These impacts may compel many organisations </w:t>
      </w:r>
      <w:r w:rsidRPr="00316A5A">
        <w:rPr>
          <w:rFonts w:cstheme="minorHAnsi"/>
          <w:b/>
          <w:sz w:val="28"/>
        </w:rPr>
        <w:t>to reassess certain ‘lease versus buy’ decisions.</w:t>
      </w:r>
    </w:p>
    <w:p w:rsidR="008A325D" w:rsidRPr="00316A5A" w:rsidRDefault="008D4B08" w:rsidP="008D4B08">
      <w:pPr>
        <w:pStyle w:val="ListParagraph"/>
        <w:numPr>
          <w:ilvl w:val="0"/>
          <w:numId w:val="6"/>
        </w:numPr>
        <w:rPr>
          <w:rFonts w:cstheme="minorHAnsi"/>
          <w:sz w:val="28"/>
        </w:rPr>
      </w:pPr>
      <w:r w:rsidRPr="00316A5A">
        <w:rPr>
          <w:rFonts w:cstheme="minorHAnsi"/>
          <w:sz w:val="28"/>
        </w:rPr>
        <w:t xml:space="preserve">Balance sheets will </w:t>
      </w:r>
      <w:r w:rsidRPr="00316A5A">
        <w:rPr>
          <w:rFonts w:cstheme="minorHAnsi"/>
          <w:b/>
          <w:sz w:val="28"/>
        </w:rPr>
        <w:t>grow</w:t>
      </w:r>
      <w:r w:rsidRPr="00316A5A">
        <w:rPr>
          <w:rFonts w:cstheme="minorHAnsi"/>
          <w:sz w:val="28"/>
        </w:rPr>
        <w:t xml:space="preserve">, gearing ratios will increase, and capital ratios will decrease. </w:t>
      </w:r>
    </w:p>
    <w:p w:rsidR="008D4B08" w:rsidRPr="00316A5A" w:rsidRDefault="008D4B08" w:rsidP="008D4B08">
      <w:pPr>
        <w:pStyle w:val="ListParagraph"/>
        <w:numPr>
          <w:ilvl w:val="0"/>
          <w:numId w:val="6"/>
        </w:numPr>
        <w:rPr>
          <w:rFonts w:cstheme="minorHAnsi"/>
          <w:sz w:val="28"/>
        </w:rPr>
      </w:pPr>
      <w:r w:rsidRPr="00316A5A">
        <w:rPr>
          <w:rFonts w:cstheme="minorHAnsi"/>
          <w:sz w:val="28"/>
        </w:rPr>
        <w:t xml:space="preserve">There will also be a change to both </w:t>
      </w:r>
      <w:r w:rsidRPr="00316A5A">
        <w:rPr>
          <w:rFonts w:cstheme="minorHAnsi"/>
          <w:b/>
          <w:sz w:val="28"/>
        </w:rPr>
        <w:t>the expense character</w:t>
      </w:r>
      <w:r w:rsidRPr="00316A5A">
        <w:rPr>
          <w:rFonts w:cstheme="minorHAnsi"/>
          <w:sz w:val="28"/>
        </w:rPr>
        <w:t xml:space="preserve"> (rent expenses replaced with depreciation and interest expense) and </w:t>
      </w:r>
      <w:r w:rsidRPr="00316A5A">
        <w:rPr>
          <w:rFonts w:cstheme="minorHAnsi"/>
          <w:b/>
          <w:sz w:val="28"/>
        </w:rPr>
        <w:t>recognition pattern</w:t>
      </w:r>
      <w:r w:rsidRPr="00316A5A">
        <w:rPr>
          <w:rFonts w:cstheme="minorHAnsi"/>
          <w:sz w:val="28"/>
        </w:rPr>
        <w:t xml:space="preserve"> (acceleration of lease expense relative to the recognition pattern for operating leases today). </w:t>
      </w:r>
    </w:p>
    <w:p w:rsidR="008A325D" w:rsidRPr="00316A5A" w:rsidRDefault="008D4B08" w:rsidP="008D4B08">
      <w:pPr>
        <w:pStyle w:val="ListParagraph"/>
        <w:numPr>
          <w:ilvl w:val="0"/>
          <w:numId w:val="6"/>
        </w:numPr>
        <w:rPr>
          <w:rFonts w:cstheme="minorHAnsi"/>
          <w:sz w:val="28"/>
        </w:rPr>
      </w:pPr>
      <w:r w:rsidRPr="00316A5A">
        <w:rPr>
          <w:rFonts w:cstheme="minorHAnsi"/>
          <w:sz w:val="28"/>
        </w:rPr>
        <w:t xml:space="preserve"> Entities leasing ‘</w:t>
      </w:r>
      <w:r w:rsidRPr="00316A5A">
        <w:rPr>
          <w:rFonts w:cstheme="minorHAnsi"/>
          <w:b/>
          <w:sz w:val="28"/>
        </w:rPr>
        <w:t>big-ticket’ assets</w:t>
      </w:r>
      <w:r w:rsidRPr="00316A5A">
        <w:rPr>
          <w:rFonts w:cstheme="minorHAnsi"/>
          <w:sz w:val="28"/>
        </w:rPr>
        <w:t xml:space="preserve"> – including real estate, manufacturing equipment, aircraft, trains, ships, and technology – are expected to be greatly affected. </w:t>
      </w:r>
    </w:p>
    <w:p w:rsidR="008D4B08" w:rsidRPr="00316A5A" w:rsidRDefault="008D4B08" w:rsidP="008D4B08">
      <w:pPr>
        <w:pStyle w:val="ListParagraph"/>
        <w:numPr>
          <w:ilvl w:val="0"/>
          <w:numId w:val="6"/>
        </w:numPr>
        <w:rPr>
          <w:rFonts w:cstheme="minorHAnsi"/>
          <w:sz w:val="28"/>
        </w:rPr>
      </w:pPr>
      <w:r w:rsidRPr="00316A5A">
        <w:rPr>
          <w:rFonts w:cstheme="minorHAnsi"/>
          <w:sz w:val="28"/>
        </w:rPr>
        <w:t xml:space="preserve"> Low value assets meeting this </w:t>
      </w:r>
      <w:r w:rsidRPr="00316A5A">
        <w:rPr>
          <w:rFonts w:cstheme="minorHAnsi"/>
          <w:b/>
          <w:sz w:val="28"/>
        </w:rPr>
        <w:t>exemption</w:t>
      </w:r>
      <w:r w:rsidRPr="00316A5A">
        <w:rPr>
          <w:rFonts w:cstheme="minorHAnsi"/>
          <w:sz w:val="28"/>
        </w:rPr>
        <w:t xml:space="preserve"> do not have to be recognised on the balance sheet </w:t>
      </w:r>
    </w:p>
    <w:p w:rsidR="008D4B08" w:rsidRPr="00316A5A" w:rsidRDefault="008D4B08" w:rsidP="008D4B08">
      <w:pPr>
        <w:pStyle w:val="ListParagraph"/>
        <w:numPr>
          <w:ilvl w:val="0"/>
          <w:numId w:val="6"/>
        </w:numPr>
        <w:rPr>
          <w:rFonts w:cstheme="minorHAnsi"/>
          <w:sz w:val="28"/>
        </w:rPr>
      </w:pPr>
      <w:r w:rsidRPr="00316A5A">
        <w:rPr>
          <w:rFonts w:cstheme="minorHAnsi"/>
          <w:sz w:val="28"/>
        </w:rPr>
        <w:t xml:space="preserve"> The cost to implement and continue to comply with the new leases standard could </w:t>
      </w:r>
      <w:r w:rsidRPr="00316A5A">
        <w:rPr>
          <w:rFonts w:cstheme="minorHAnsi"/>
          <w:b/>
          <w:sz w:val="28"/>
        </w:rPr>
        <w:t>be significant for most lessees</w:t>
      </w:r>
      <w:r w:rsidRPr="00316A5A">
        <w:rPr>
          <w:rFonts w:cstheme="minorHAnsi"/>
          <w:sz w:val="28"/>
        </w:rPr>
        <w:t>. Particularly if they do not already have an in-house lease information system.</w:t>
      </w:r>
    </w:p>
    <w:p w:rsidR="008A325D" w:rsidRPr="00316A5A" w:rsidRDefault="008A325D" w:rsidP="008A325D">
      <w:pPr>
        <w:pStyle w:val="ListParagraph"/>
        <w:rPr>
          <w:rFonts w:cstheme="minorHAnsi"/>
          <w:sz w:val="28"/>
        </w:rPr>
      </w:pPr>
    </w:p>
    <w:p w:rsidR="008A325D" w:rsidRPr="00316A5A" w:rsidRDefault="00BD5E60" w:rsidP="008A325D">
      <w:pPr>
        <w:pStyle w:val="ListParagraph"/>
        <w:rPr>
          <w:rFonts w:cstheme="minorHAnsi"/>
          <w:noProof/>
          <w:lang w:eastAsia="en-IN"/>
        </w:rPr>
      </w:pPr>
      <w:r w:rsidRPr="00316A5A">
        <w:rPr>
          <w:rFonts w:cstheme="minorHAnsi"/>
          <w:noProof/>
          <w:lang w:eastAsia="en-I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1285152</wp:posOffset>
            </wp:positionH>
            <wp:positionV relativeFrom="paragraph">
              <wp:posOffset>16729</wp:posOffset>
            </wp:positionV>
            <wp:extent cx="3357880" cy="2566035"/>
            <wp:effectExtent l="0" t="0" r="0" b="5715"/>
            <wp:wrapTight wrapText="bothSides">
              <wp:wrapPolygon edited="0">
                <wp:start x="0" y="0"/>
                <wp:lineTo x="0" y="21488"/>
                <wp:lineTo x="21445" y="21488"/>
                <wp:lineTo x="21445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02" r="7027" b="4684"/>
                    <a:stretch/>
                  </pic:blipFill>
                  <pic:spPr bwMode="auto">
                    <a:xfrm>
                      <a:off x="0" y="0"/>
                      <a:ext cx="3357880" cy="25660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A325D" w:rsidRPr="00316A5A" w:rsidRDefault="008A325D" w:rsidP="008A325D">
      <w:pPr>
        <w:pStyle w:val="ListParagraph"/>
        <w:rPr>
          <w:rFonts w:cstheme="minorHAnsi"/>
          <w:sz w:val="28"/>
        </w:rPr>
      </w:pPr>
      <w:r w:rsidRPr="00316A5A">
        <w:rPr>
          <w:rFonts w:cstheme="minorHAnsi"/>
          <w:sz w:val="28"/>
        </w:rPr>
        <w:br/>
      </w:r>
    </w:p>
    <w:p w:rsidR="00BD5E60" w:rsidRPr="00316A5A" w:rsidRDefault="00BD5E60" w:rsidP="00BD5E60">
      <w:pPr>
        <w:pStyle w:val="ListParagraph"/>
        <w:rPr>
          <w:rFonts w:cstheme="minorHAnsi"/>
          <w:sz w:val="28"/>
        </w:rPr>
      </w:pPr>
    </w:p>
    <w:p w:rsidR="00BD5E60" w:rsidRPr="00316A5A" w:rsidRDefault="00BD5E60" w:rsidP="00BD5E60">
      <w:pPr>
        <w:pStyle w:val="ListParagraph"/>
        <w:rPr>
          <w:rFonts w:cstheme="minorHAnsi"/>
          <w:sz w:val="28"/>
        </w:rPr>
      </w:pPr>
    </w:p>
    <w:p w:rsidR="00BD5E60" w:rsidRPr="00316A5A" w:rsidRDefault="00BD5E60" w:rsidP="00BD5E60">
      <w:pPr>
        <w:pStyle w:val="ListParagraph"/>
        <w:rPr>
          <w:rFonts w:cstheme="minorHAnsi"/>
          <w:sz w:val="28"/>
        </w:rPr>
      </w:pPr>
    </w:p>
    <w:p w:rsidR="00BD5E60" w:rsidRPr="00316A5A" w:rsidRDefault="00BD5E60" w:rsidP="00BD5E60">
      <w:pPr>
        <w:pStyle w:val="ListParagraph"/>
        <w:rPr>
          <w:rFonts w:cstheme="minorHAnsi"/>
          <w:sz w:val="28"/>
        </w:rPr>
      </w:pPr>
    </w:p>
    <w:p w:rsidR="00BD5E60" w:rsidRPr="00316A5A" w:rsidRDefault="00BD5E60" w:rsidP="00BD5E60">
      <w:pPr>
        <w:pStyle w:val="ListParagraph"/>
        <w:rPr>
          <w:rFonts w:cstheme="minorHAnsi"/>
          <w:sz w:val="28"/>
        </w:rPr>
      </w:pPr>
    </w:p>
    <w:p w:rsidR="00BD5E60" w:rsidRPr="00316A5A" w:rsidRDefault="00BD5E60" w:rsidP="00BD5E60">
      <w:pPr>
        <w:pStyle w:val="ListParagraph"/>
        <w:rPr>
          <w:rFonts w:cstheme="minorHAnsi"/>
          <w:sz w:val="28"/>
        </w:rPr>
      </w:pPr>
    </w:p>
    <w:p w:rsidR="00BD5E60" w:rsidRPr="00316A5A" w:rsidRDefault="00BD5E60" w:rsidP="00BD5E60">
      <w:pPr>
        <w:pStyle w:val="ListParagraph"/>
        <w:rPr>
          <w:rFonts w:cstheme="minorHAnsi"/>
          <w:sz w:val="28"/>
        </w:rPr>
      </w:pPr>
    </w:p>
    <w:p w:rsidR="00BD5E60" w:rsidRPr="00316A5A" w:rsidRDefault="00BD5E60" w:rsidP="00BD5E60">
      <w:pPr>
        <w:pStyle w:val="ListParagraph"/>
        <w:rPr>
          <w:rFonts w:cstheme="minorHAnsi"/>
          <w:sz w:val="28"/>
        </w:rPr>
      </w:pPr>
    </w:p>
    <w:p w:rsidR="00BD5E60" w:rsidRPr="00316A5A" w:rsidRDefault="00BD5E60" w:rsidP="00BD5E60">
      <w:pPr>
        <w:pStyle w:val="ListParagraph"/>
        <w:rPr>
          <w:rFonts w:cstheme="minorHAnsi"/>
          <w:sz w:val="28"/>
        </w:rPr>
      </w:pPr>
    </w:p>
    <w:p w:rsidR="00BD5E60" w:rsidRPr="00316A5A" w:rsidRDefault="00BD5E60" w:rsidP="00316A5A">
      <w:pPr>
        <w:ind w:left="2160"/>
        <w:rPr>
          <w:rFonts w:cstheme="minorHAnsi"/>
          <w:b/>
          <w:sz w:val="28"/>
        </w:rPr>
      </w:pPr>
      <w:r w:rsidRPr="00316A5A">
        <w:rPr>
          <w:rFonts w:cstheme="minorHAnsi"/>
          <w:b/>
          <w:sz w:val="32"/>
        </w:rPr>
        <w:t>Easy Diagram-Based Explanation</w:t>
      </w:r>
    </w:p>
    <w:p w:rsidR="008A325D" w:rsidRPr="00316A5A" w:rsidRDefault="008A325D" w:rsidP="009F0A1D">
      <w:pPr>
        <w:rPr>
          <w:rFonts w:cstheme="minorHAnsi"/>
          <w:sz w:val="28"/>
        </w:rPr>
      </w:pPr>
    </w:p>
    <w:p w:rsidR="008D4B08" w:rsidRPr="00316A5A" w:rsidRDefault="009F0A1D" w:rsidP="008A325D">
      <w:pPr>
        <w:pStyle w:val="ListParagraph"/>
        <w:numPr>
          <w:ilvl w:val="0"/>
          <w:numId w:val="6"/>
        </w:numPr>
        <w:rPr>
          <w:rFonts w:cstheme="minorHAnsi"/>
          <w:b/>
          <w:sz w:val="36"/>
        </w:rPr>
      </w:pPr>
      <w:r w:rsidRPr="00316A5A">
        <w:rPr>
          <w:rFonts w:cstheme="minorHAnsi"/>
          <w:b/>
          <w:sz w:val="36"/>
        </w:rPr>
        <w:t>Impact on Balance Sheet</w:t>
      </w:r>
    </w:p>
    <w:p w:rsidR="009F0A1D" w:rsidRPr="00316A5A" w:rsidRDefault="009F0A1D" w:rsidP="009F0A1D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000000"/>
          <w:sz w:val="34"/>
          <w:szCs w:val="34"/>
        </w:rPr>
      </w:pPr>
      <w:r w:rsidRPr="00316A5A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2585545</wp:posOffset>
            </wp:positionH>
            <wp:positionV relativeFrom="paragraph">
              <wp:posOffset>8803</wp:posOffset>
            </wp:positionV>
            <wp:extent cx="3419475" cy="2364740"/>
            <wp:effectExtent l="0" t="0" r="9525" b="0"/>
            <wp:wrapSquare wrapText="bothSides"/>
            <wp:docPr id="1" name="Picture 1" descr="https://www2.deloitte.com/content/dam/Deloitte/uk/Images/inline_images/Campaign/audit/deloitte-uk-balance-sheet-impact-IFRS16.jpg/_jcr_content/renditions/cq5dam.web.700.350.desktop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2.deloitte.com/content/dam/Deloitte/uk/Images/inline_images/Campaign/audit/deloitte-uk-balance-sheet-impact-IFRS16.jpg/_jcr_content/renditions/cq5dam.web.700.350.desktop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236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16A5A">
        <w:rPr>
          <w:rFonts w:asciiTheme="minorHAnsi" w:hAnsiTheme="minorHAnsi" w:cstheme="minorHAnsi"/>
          <w:color w:val="000000"/>
          <w:sz w:val="34"/>
          <w:szCs w:val="34"/>
        </w:rPr>
        <w:t>Adoption of IFSR 16 results in a material increase in assets and liabilities, but with a net increase in liabilities, resulting in a move from an overall net asset position to a net liability position.</w:t>
      </w:r>
    </w:p>
    <w:p w:rsidR="009F0A1D" w:rsidRPr="00316A5A" w:rsidRDefault="009F0A1D" w:rsidP="009F0A1D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000000"/>
          <w:sz w:val="34"/>
          <w:szCs w:val="34"/>
        </w:rPr>
      </w:pPr>
      <w:r w:rsidRPr="00316A5A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2584647</wp:posOffset>
            </wp:positionH>
            <wp:positionV relativeFrom="paragraph">
              <wp:posOffset>882563</wp:posOffset>
            </wp:positionV>
            <wp:extent cx="3688715" cy="2031365"/>
            <wp:effectExtent l="0" t="0" r="6985" b="6985"/>
            <wp:wrapTight wrapText="bothSides">
              <wp:wrapPolygon edited="0">
                <wp:start x="0" y="0"/>
                <wp:lineTo x="0" y="21472"/>
                <wp:lineTo x="21529" y="21472"/>
                <wp:lineTo x="21529" y="0"/>
                <wp:lineTo x="0" y="0"/>
              </wp:wrapPolygon>
            </wp:wrapTight>
            <wp:docPr id="2" name="Picture 2" descr="https://www2.deloitte.com/content/dam/Deloitte/uk/Images/inline_images/Campaign/audit/deloitte-uk-income-statement-impact-IFRS16.jpg/_jcr_content/renditions/cq5dam.web.700.350.desktop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2.deloitte.com/content/dam/Deloitte/uk/Images/inline_images/Campaign/audit/deloitte-uk-income-statement-impact-IFRS16.jpg/_jcr_content/renditions/cq5dam.web.700.350.desktop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8715" cy="2031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16A5A">
        <w:rPr>
          <w:rFonts w:asciiTheme="minorHAnsi" w:hAnsiTheme="minorHAnsi" w:cstheme="minorHAnsi"/>
          <w:color w:val="000000"/>
          <w:sz w:val="34"/>
          <w:szCs w:val="34"/>
        </w:rPr>
        <w:t>Lease liabilities will be classified as financial liabilities, and therefore will impact reported financial indebtedness, balance sheet ratios and covenants.</w:t>
      </w:r>
    </w:p>
    <w:p w:rsidR="009F0A1D" w:rsidRPr="00316A5A" w:rsidRDefault="009F0A1D" w:rsidP="009F0A1D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b/>
          <w:color w:val="000000"/>
          <w:sz w:val="32"/>
          <w:szCs w:val="34"/>
        </w:rPr>
      </w:pPr>
      <w:r w:rsidRPr="00316A5A">
        <w:rPr>
          <w:rFonts w:asciiTheme="minorHAnsi" w:hAnsiTheme="minorHAnsi" w:cstheme="minorHAnsi"/>
          <w:b/>
          <w:color w:val="000000"/>
          <w:sz w:val="32"/>
          <w:szCs w:val="34"/>
        </w:rPr>
        <w:t xml:space="preserve">Impact on </w:t>
      </w:r>
      <w:r w:rsidRPr="00316A5A">
        <w:rPr>
          <w:rFonts w:asciiTheme="minorHAnsi" w:hAnsiTheme="minorHAnsi" w:cstheme="minorHAnsi"/>
          <w:b/>
          <w:color w:val="000000"/>
          <w:sz w:val="32"/>
          <w:szCs w:val="34"/>
        </w:rPr>
        <w:br/>
        <w:t>Income Statement</w:t>
      </w:r>
    </w:p>
    <w:p w:rsidR="009F0A1D" w:rsidRPr="00316A5A" w:rsidRDefault="009F0A1D" w:rsidP="009F0A1D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000000"/>
          <w:sz w:val="34"/>
          <w:szCs w:val="34"/>
        </w:rPr>
      </w:pPr>
      <w:r w:rsidRPr="00316A5A">
        <w:rPr>
          <w:rFonts w:asciiTheme="minorHAnsi" w:hAnsiTheme="minorHAnsi" w:cstheme="minorHAnsi"/>
          <w:color w:val="000000"/>
          <w:sz w:val="34"/>
          <w:szCs w:val="34"/>
        </w:rPr>
        <w:t>Overall there is a limited impact on reported profit before tax, but EBITDA and EBIT are increased materially, with property lease costs now being shown as depreciation and interest expenses.</w:t>
      </w:r>
    </w:p>
    <w:p w:rsidR="009F0A1D" w:rsidRPr="00316A5A" w:rsidRDefault="009F0A1D" w:rsidP="009F0A1D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000000"/>
          <w:sz w:val="34"/>
          <w:szCs w:val="34"/>
        </w:rPr>
      </w:pPr>
      <w:r w:rsidRPr="00316A5A">
        <w:rPr>
          <w:rFonts w:asciiTheme="minorHAnsi" w:hAnsiTheme="minorHAnsi" w:cstheme="minorHAnsi"/>
          <w:color w:val="000000"/>
          <w:sz w:val="34"/>
          <w:szCs w:val="34"/>
        </w:rPr>
        <w:t>This will impact on banking covenants and leverage ratios derived from standard income statement measures such as EBITDA and EBIT</w:t>
      </w:r>
      <w:proofErr w:type="gramStart"/>
      <w:r w:rsidRPr="00316A5A">
        <w:rPr>
          <w:rFonts w:asciiTheme="minorHAnsi" w:hAnsiTheme="minorHAnsi" w:cstheme="minorHAnsi"/>
          <w:color w:val="000000"/>
          <w:sz w:val="34"/>
          <w:szCs w:val="34"/>
        </w:rPr>
        <w:t>..</w:t>
      </w:r>
      <w:proofErr w:type="gramEnd"/>
    </w:p>
    <w:p w:rsidR="00E7783A" w:rsidRPr="00316A5A" w:rsidRDefault="00E7783A" w:rsidP="00E7783A">
      <w:pPr>
        <w:rPr>
          <w:rFonts w:eastAsia="Times New Roman" w:cstheme="minorHAnsi"/>
          <w:color w:val="000000"/>
          <w:sz w:val="34"/>
          <w:szCs w:val="34"/>
          <w:lang w:eastAsia="en-IN"/>
        </w:rPr>
      </w:pPr>
    </w:p>
    <w:p w:rsidR="00E7783A" w:rsidRPr="00316A5A" w:rsidRDefault="00E7783A" w:rsidP="00E7783A">
      <w:pPr>
        <w:rPr>
          <w:rFonts w:eastAsia="Times New Roman" w:cstheme="minorHAnsi"/>
          <w:color w:val="000000"/>
          <w:sz w:val="34"/>
          <w:szCs w:val="34"/>
          <w:lang w:eastAsia="en-IN"/>
        </w:rPr>
      </w:pPr>
    </w:p>
    <w:p w:rsidR="00DE0F41" w:rsidRDefault="00DE0F41" w:rsidP="00E7783A">
      <w:pPr>
        <w:rPr>
          <w:rFonts w:cstheme="minorHAnsi"/>
          <w:b/>
          <w:sz w:val="32"/>
        </w:rPr>
      </w:pPr>
    </w:p>
    <w:p w:rsidR="00DE0F41" w:rsidRDefault="00DE0F41" w:rsidP="00E7783A">
      <w:pPr>
        <w:rPr>
          <w:rFonts w:cstheme="minorHAnsi"/>
          <w:b/>
          <w:sz w:val="32"/>
        </w:rPr>
      </w:pPr>
    </w:p>
    <w:p w:rsidR="00E7783A" w:rsidRPr="009F26C8" w:rsidRDefault="00407DF0" w:rsidP="00E7783A">
      <w:pPr>
        <w:rPr>
          <w:rFonts w:cstheme="minorHAnsi"/>
          <w:b/>
          <w:sz w:val="36"/>
          <w:u w:val="single"/>
        </w:rPr>
      </w:pPr>
      <w:proofErr w:type="gramStart"/>
      <w:r>
        <w:rPr>
          <w:rFonts w:cstheme="minorHAnsi"/>
          <w:b/>
          <w:sz w:val="36"/>
          <w:u w:val="single"/>
        </w:rPr>
        <w:t>6.</w:t>
      </w:r>
      <w:r w:rsidR="00E7783A" w:rsidRPr="009F26C8">
        <w:rPr>
          <w:rFonts w:cstheme="minorHAnsi"/>
          <w:b/>
          <w:sz w:val="36"/>
          <w:u w:val="single"/>
        </w:rPr>
        <w:t>Impact</w:t>
      </w:r>
      <w:proofErr w:type="gramEnd"/>
      <w:r w:rsidR="00E7783A" w:rsidRPr="009F26C8">
        <w:rPr>
          <w:rFonts w:cstheme="minorHAnsi"/>
          <w:b/>
          <w:sz w:val="36"/>
          <w:u w:val="single"/>
        </w:rPr>
        <w:t xml:space="preserve"> of IFRS 16 On Retail Industry</w:t>
      </w:r>
    </w:p>
    <w:p w:rsidR="00E7783A" w:rsidRPr="00316A5A" w:rsidRDefault="00E7783A" w:rsidP="00E7783A">
      <w:pPr>
        <w:rPr>
          <w:rFonts w:cstheme="minorHAnsi"/>
          <w:sz w:val="28"/>
        </w:rPr>
      </w:pPr>
      <w:r w:rsidRPr="00316A5A">
        <w:rPr>
          <w:rFonts w:cstheme="minorHAnsi"/>
          <w:sz w:val="28"/>
        </w:rPr>
        <w:t>Although virtually every industry uses leasing as a means to obtain access to assets, the type and volume of assets that they lease, and the terms and structures of these lease agreements differ significantly</w:t>
      </w:r>
    </w:p>
    <w:p w:rsidR="00316A5A" w:rsidRPr="00DE0F41" w:rsidRDefault="00316A5A" w:rsidP="00316A5A">
      <w:pPr>
        <w:rPr>
          <w:rFonts w:ascii="Calibri" w:hAnsi="Calibri" w:cs="Calibri"/>
          <w:b/>
          <w:sz w:val="36"/>
        </w:rPr>
      </w:pPr>
      <w:r w:rsidRPr="00DE0F41">
        <w:rPr>
          <w:rFonts w:ascii="Calibri" w:hAnsi="Calibri" w:cs="Calibri"/>
          <w:b/>
          <w:sz w:val="36"/>
        </w:rPr>
        <w:t>Retail Sector</w:t>
      </w:r>
    </w:p>
    <w:p w:rsidR="00316A5A" w:rsidRPr="00DE0F41" w:rsidRDefault="00316A5A" w:rsidP="00316A5A">
      <w:pPr>
        <w:rPr>
          <w:rFonts w:ascii="Calibri" w:hAnsi="Calibri" w:cs="Calibri"/>
          <w:sz w:val="28"/>
        </w:rPr>
      </w:pPr>
      <w:proofErr w:type="spellStart"/>
      <w:r w:rsidRPr="00DE0F41">
        <w:rPr>
          <w:rFonts w:ascii="Calibri" w:hAnsi="Calibri" w:cs="Calibri"/>
          <w:sz w:val="28"/>
        </w:rPr>
        <w:t>Retaily</w:t>
      </w:r>
      <w:proofErr w:type="spellEnd"/>
      <w:r w:rsidRPr="00DE0F41">
        <w:rPr>
          <w:rFonts w:ascii="Calibri" w:hAnsi="Calibri" w:cs="Calibri"/>
          <w:sz w:val="28"/>
        </w:rPr>
        <w:t xml:space="preserve"> industry majorly uses leases for their stores. They are likely to experience major impacts when implementing the new leases standard:</w:t>
      </w:r>
    </w:p>
    <w:p w:rsidR="00316A5A" w:rsidRPr="00DE0F41" w:rsidRDefault="00316A5A" w:rsidP="00316A5A">
      <w:pPr>
        <w:pStyle w:val="ListParagraph"/>
        <w:numPr>
          <w:ilvl w:val="0"/>
          <w:numId w:val="7"/>
        </w:numPr>
        <w:rPr>
          <w:rFonts w:ascii="Calibri" w:hAnsi="Calibri" w:cs="Calibri"/>
          <w:sz w:val="28"/>
        </w:rPr>
      </w:pPr>
      <w:r w:rsidRPr="00DE0F41">
        <w:rPr>
          <w:rFonts w:ascii="Calibri" w:hAnsi="Calibri" w:cs="Calibri"/>
          <w:b/>
          <w:sz w:val="28"/>
        </w:rPr>
        <w:t>Renewal options</w:t>
      </w:r>
      <w:r w:rsidRPr="00DE0F41">
        <w:rPr>
          <w:rFonts w:ascii="Calibri" w:hAnsi="Calibri" w:cs="Calibri"/>
          <w:sz w:val="28"/>
        </w:rPr>
        <w:t xml:space="preserve"> – leasing real estate is retailers’ core business and determining and reassessing when a retailer has an economic incentive to renew a retail lease location may require substantial judgement. </w:t>
      </w:r>
    </w:p>
    <w:p w:rsidR="00316A5A" w:rsidRPr="00DE0F41" w:rsidRDefault="00316A5A" w:rsidP="00316A5A">
      <w:pPr>
        <w:pStyle w:val="ListParagraph"/>
        <w:numPr>
          <w:ilvl w:val="0"/>
          <w:numId w:val="7"/>
        </w:numPr>
        <w:rPr>
          <w:rFonts w:ascii="Calibri" w:hAnsi="Calibri" w:cs="Calibri"/>
          <w:sz w:val="28"/>
        </w:rPr>
      </w:pPr>
      <w:r w:rsidRPr="00DE0F41">
        <w:rPr>
          <w:rFonts w:ascii="Calibri" w:hAnsi="Calibri" w:cs="Calibri"/>
          <w:b/>
          <w:sz w:val="28"/>
        </w:rPr>
        <w:t>Variable payments linked to index or rate</w:t>
      </w:r>
      <w:r w:rsidRPr="00DE0F41">
        <w:rPr>
          <w:rFonts w:ascii="Calibri" w:hAnsi="Calibri" w:cs="Calibri"/>
          <w:sz w:val="28"/>
        </w:rPr>
        <w:t xml:space="preserve"> – retailers need to put systems in place to estimate and </w:t>
      </w:r>
      <w:proofErr w:type="spellStart"/>
      <w:r w:rsidRPr="00DE0F41">
        <w:rPr>
          <w:rFonts w:ascii="Calibri" w:hAnsi="Calibri" w:cs="Calibri"/>
          <w:sz w:val="28"/>
        </w:rPr>
        <w:t>remeasure</w:t>
      </w:r>
      <w:proofErr w:type="spellEnd"/>
      <w:r w:rsidRPr="00DE0F41">
        <w:rPr>
          <w:rFonts w:ascii="Calibri" w:hAnsi="Calibri" w:cs="Calibri"/>
          <w:sz w:val="28"/>
        </w:rPr>
        <w:t xml:space="preserve"> variable payments linked to an index at the spot rate for each reporting period (e.g. CPI).</w:t>
      </w:r>
    </w:p>
    <w:p w:rsidR="00316A5A" w:rsidRPr="00DE0F41" w:rsidRDefault="00316A5A" w:rsidP="00316A5A">
      <w:pPr>
        <w:rPr>
          <w:rFonts w:ascii="Calibri" w:hAnsi="Calibri" w:cs="Calibri"/>
          <w:sz w:val="28"/>
        </w:rPr>
      </w:pPr>
      <w:r w:rsidRPr="00DE0F41">
        <w:rPr>
          <w:rFonts w:ascii="Calibri" w:hAnsi="Calibri" w:cs="Calibri"/>
          <w:sz w:val="28"/>
        </w:rPr>
        <w:t>Separating lease and non-lease elements – retailers will need to separate service charges (e.g. administrative/utilities/marketing) from lease elements with many landlords – for example, with shop-in-shop leases and large retail outlets</w:t>
      </w:r>
    </w:p>
    <w:p w:rsidR="00DE0F41" w:rsidRPr="009F26C8" w:rsidRDefault="00407DF0" w:rsidP="00DE0F41">
      <w:pPr>
        <w:rPr>
          <w:rFonts w:ascii="Calibri" w:hAnsi="Calibri" w:cs="Calibri"/>
          <w:b/>
          <w:sz w:val="32"/>
        </w:rPr>
      </w:pPr>
      <w:r>
        <w:rPr>
          <w:rFonts w:ascii="Calibri" w:hAnsi="Calibri" w:cs="Calibri"/>
          <w:b/>
          <w:sz w:val="36"/>
        </w:rPr>
        <w:t xml:space="preserve">7. </w:t>
      </w:r>
      <w:bookmarkStart w:id="0" w:name="_GoBack"/>
      <w:bookmarkEnd w:id="0"/>
      <w:r w:rsidR="00DE0F41" w:rsidRPr="009F26C8">
        <w:rPr>
          <w:rFonts w:ascii="Calibri" w:hAnsi="Calibri" w:cs="Calibri"/>
          <w:b/>
          <w:sz w:val="36"/>
        </w:rPr>
        <w:t>IFRS 16 Impact on Individual Retail Companies in Europe</w:t>
      </w:r>
    </w:p>
    <w:tbl>
      <w:tblPr>
        <w:tblStyle w:val="GridTable4-Accent1"/>
        <w:tblpPr w:leftFromText="180" w:rightFromText="180" w:vertAnchor="page" w:horzAnchor="margin" w:tblpY="2301"/>
        <w:tblW w:w="9250" w:type="dxa"/>
        <w:tblLook w:val="04A0" w:firstRow="1" w:lastRow="0" w:firstColumn="1" w:lastColumn="0" w:noHBand="0" w:noVBand="1"/>
      </w:tblPr>
      <w:tblGrid>
        <w:gridCol w:w="4185"/>
        <w:gridCol w:w="1225"/>
        <w:gridCol w:w="945"/>
        <w:gridCol w:w="1830"/>
        <w:gridCol w:w="1065"/>
      </w:tblGrid>
      <w:tr w:rsidR="00DE0F41" w:rsidRPr="00DE0F41" w:rsidTr="009958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5" w:type="dxa"/>
            <w:noWrap/>
            <w:hideMark/>
          </w:tcPr>
          <w:p w:rsidR="00DE0F41" w:rsidRPr="00DE0F41" w:rsidRDefault="00DE0F41" w:rsidP="0099584A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E0F41">
              <w:rPr>
                <w:rFonts w:ascii="Calibri" w:eastAsia="Times New Roman" w:hAnsi="Calibri" w:cs="Calibri"/>
                <w:color w:val="000000"/>
                <w:lang w:eastAsia="en-IN"/>
              </w:rPr>
              <w:t>Key Balance Sheet Elements Comparison</w:t>
            </w:r>
            <w:r w:rsidRPr="00DE0F41">
              <w:rPr>
                <w:rFonts w:ascii="Calibri" w:eastAsia="Times New Roman" w:hAnsi="Calibri" w:cs="Calibri"/>
                <w:color w:val="000000"/>
                <w:lang w:eastAsia="en-IN"/>
              </w:rPr>
              <w:br/>
            </w:r>
            <w:r w:rsidRPr="00DE0F41">
              <w:rPr>
                <w:rFonts w:ascii="Calibri" w:hAnsi="Calibri" w:cs="Calibri"/>
                <w:b w:val="0"/>
                <w:bCs w:val="0"/>
                <w:color w:val="818181"/>
                <w:sz w:val="16"/>
                <w:szCs w:val="16"/>
              </w:rPr>
              <w:t xml:space="preserve"> </w:t>
            </w:r>
            <w:r w:rsidRPr="00DE0F4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(€ million) or % Change over previous year </w:t>
            </w:r>
          </w:p>
        </w:tc>
        <w:tc>
          <w:tcPr>
            <w:tcW w:w="1225" w:type="dxa"/>
            <w:noWrap/>
            <w:hideMark/>
          </w:tcPr>
          <w:p w:rsidR="00DE0F41" w:rsidRPr="00DE0F41" w:rsidRDefault="00DE0F41" w:rsidP="009958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DE0F41">
              <w:rPr>
                <w:rFonts w:ascii="Calibri" w:eastAsia="Times New Roman" w:hAnsi="Calibri" w:cs="Calibri"/>
                <w:color w:val="000000"/>
                <w:lang w:eastAsia="en-IN"/>
              </w:rPr>
              <w:t>Morrisons</w:t>
            </w:r>
            <w:proofErr w:type="spellEnd"/>
            <w:r w:rsidRPr="00DE0F4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(FY/19)</w:t>
            </w:r>
          </w:p>
        </w:tc>
        <w:tc>
          <w:tcPr>
            <w:tcW w:w="945" w:type="dxa"/>
            <w:noWrap/>
            <w:hideMark/>
          </w:tcPr>
          <w:p w:rsidR="00DE0F41" w:rsidRPr="00DE0F41" w:rsidRDefault="00DE0F41" w:rsidP="009958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E0F41">
              <w:rPr>
                <w:rFonts w:ascii="Calibri" w:eastAsia="Times New Roman" w:hAnsi="Calibri" w:cs="Calibri"/>
                <w:color w:val="000000"/>
                <w:lang w:eastAsia="en-IN"/>
              </w:rPr>
              <w:t>Tesco Plc (FY/19)</w:t>
            </w:r>
          </w:p>
        </w:tc>
        <w:tc>
          <w:tcPr>
            <w:tcW w:w="1830" w:type="dxa"/>
            <w:noWrap/>
            <w:hideMark/>
          </w:tcPr>
          <w:p w:rsidR="00DE0F41" w:rsidRPr="00DE0F41" w:rsidRDefault="00DE0F41" w:rsidP="009958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DE0F41">
              <w:rPr>
                <w:rFonts w:ascii="Calibri" w:eastAsia="Times New Roman" w:hAnsi="Calibri" w:cs="Calibri"/>
                <w:color w:val="000000"/>
                <w:lang w:eastAsia="en-IN"/>
              </w:rPr>
              <w:t>Alhord</w:t>
            </w:r>
            <w:proofErr w:type="spellEnd"/>
            <w:r w:rsidRPr="00DE0F4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Delhaize(Q1/19)</w:t>
            </w:r>
          </w:p>
        </w:tc>
        <w:tc>
          <w:tcPr>
            <w:tcW w:w="1065" w:type="dxa"/>
            <w:noWrap/>
            <w:hideMark/>
          </w:tcPr>
          <w:p w:rsidR="00DE0F41" w:rsidRPr="00DE0F41" w:rsidRDefault="00DE0F41" w:rsidP="009958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E0F4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Casino </w:t>
            </w:r>
            <w:proofErr w:type="spellStart"/>
            <w:r w:rsidRPr="00DE0F41">
              <w:rPr>
                <w:rFonts w:ascii="Calibri" w:eastAsia="Times New Roman" w:hAnsi="Calibri" w:cs="Calibri"/>
                <w:color w:val="000000"/>
                <w:lang w:eastAsia="en-IN"/>
              </w:rPr>
              <w:t>Groupe</w:t>
            </w:r>
            <w:proofErr w:type="spellEnd"/>
            <w:r w:rsidRPr="00DE0F4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(H1/19)</w:t>
            </w:r>
          </w:p>
        </w:tc>
      </w:tr>
      <w:tr w:rsidR="00DE0F41" w:rsidRPr="00DE0F41" w:rsidTr="009958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5" w:type="dxa"/>
            <w:noWrap/>
            <w:hideMark/>
          </w:tcPr>
          <w:p w:rsidR="00DE0F41" w:rsidRPr="00DE0F41" w:rsidRDefault="00DE0F41" w:rsidP="0099584A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E0F41">
              <w:rPr>
                <w:rFonts w:ascii="Calibri" w:eastAsia="Times New Roman" w:hAnsi="Calibri" w:cs="Calibri"/>
                <w:color w:val="000000"/>
                <w:lang w:eastAsia="en-IN"/>
              </w:rPr>
              <w:t>Right-of-use assets</w:t>
            </w:r>
          </w:p>
        </w:tc>
        <w:tc>
          <w:tcPr>
            <w:tcW w:w="1225" w:type="dxa"/>
            <w:noWrap/>
            <w:hideMark/>
          </w:tcPr>
          <w:p w:rsidR="00DE0F41" w:rsidRPr="00DE0F41" w:rsidRDefault="00DE0F41" w:rsidP="009958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E0F41">
              <w:rPr>
                <w:rFonts w:ascii="Calibri" w:eastAsia="Times New Roman" w:hAnsi="Calibri" w:cs="Calibri"/>
                <w:color w:val="000000"/>
                <w:lang w:eastAsia="en-IN"/>
              </w:rPr>
              <w:t>929</w:t>
            </w:r>
          </w:p>
        </w:tc>
        <w:tc>
          <w:tcPr>
            <w:tcW w:w="945" w:type="dxa"/>
            <w:noWrap/>
            <w:hideMark/>
          </w:tcPr>
          <w:p w:rsidR="00DE0F41" w:rsidRPr="00DE0F41" w:rsidRDefault="00DE0F41" w:rsidP="009958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E0F41">
              <w:rPr>
                <w:rFonts w:ascii="Calibri" w:eastAsia="Times New Roman" w:hAnsi="Calibri" w:cs="Calibri"/>
                <w:color w:val="000000"/>
                <w:lang w:eastAsia="en-IN"/>
              </w:rPr>
              <w:t>7,527</w:t>
            </w:r>
          </w:p>
        </w:tc>
        <w:tc>
          <w:tcPr>
            <w:tcW w:w="1830" w:type="dxa"/>
            <w:noWrap/>
            <w:hideMark/>
          </w:tcPr>
          <w:p w:rsidR="00DE0F41" w:rsidRPr="00DE0F41" w:rsidRDefault="00DE0F41" w:rsidP="009958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E0F41">
              <w:rPr>
                <w:rFonts w:ascii="Calibri" w:eastAsia="Times New Roman" w:hAnsi="Calibri" w:cs="Calibri"/>
                <w:color w:val="000000"/>
                <w:lang w:eastAsia="en-IN"/>
              </w:rPr>
              <w:t>7,027</w:t>
            </w:r>
          </w:p>
        </w:tc>
        <w:tc>
          <w:tcPr>
            <w:tcW w:w="1065" w:type="dxa"/>
            <w:noWrap/>
            <w:hideMark/>
          </w:tcPr>
          <w:p w:rsidR="00DE0F41" w:rsidRPr="00DE0F41" w:rsidRDefault="00DE0F41" w:rsidP="009958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E0F41">
              <w:rPr>
                <w:rFonts w:ascii="Calibri" w:eastAsia="Times New Roman" w:hAnsi="Calibri" w:cs="Calibri"/>
                <w:color w:val="000000"/>
                <w:lang w:eastAsia="en-IN"/>
              </w:rPr>
              <w:t>4,982</w:t>
            </w:r>
          </w:p>
        </w:tc>
      </w:tr>
      <w:tr w:rsidR="00DE0F41" w:rsidRPr="00DE0F41" w:rsidTr="0099584A">
        <w:trPr>
          <w:trHeight w:val="2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5" w:type="dxa"/>
            <w:noWrap/>
            <w:hideMark/>
          </w:tcPr>
          <w:p w:rsidR="00DE0F41" w:rsidRPr="00DE0F41" w:rsidRDefault="00DE0F41" w:rsidP="0099584A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E0F41">
              <w:rPr>
                <w:rFonts w:ascii="Calibri" w:eastAsia="Times New Roman" w:hAnsi="Calibri" w:cs="Calibri"/>
                <w:color w:val="000000"/>
                <w:lang w:eastAsia="en-IN"/>
              </w:rPr>
              <w:t>Current assets</w:t>
            </w:r>
          </w:p>
        </w:tc>
        <w:tc>
          <w:tcPr>
            <w:tcW w:w="1225" w:type="dxa"/>
            <w:noWrap/>
            <w:hideMark/>
          </w:tcPr>
          <w:p w:rsidR="00DE0F41" w:rsidRPr="00DE0F41" w:rsidRDefault="00DE0F41" w:rsidP="009958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E0F41">
              <w:rPr>
                <w:rFonts w:ascii="Calibri" w:eastAsia="Times New Roman" w:hAnsi="Calibri" w:cs="Calibri"/>
                <w:color w:val="000000"/>
                <w:lang w:eastAsia="en-IN"/>
              </w:rPr>
              <w:t>8.8%</w:t>
            </w:r>
          </w:p>
        </w:tc>
        <w:tc>
          <w:tcPr>
            <w:tcW w:w="945" w:type="dxa"/>
            <w:noWrap/>
            <w:hideMark/>
          </w:tcPr>
          <w:p w:rsidR="00DE0F41" w:rsidRPr="00DE0F41" w:rsidRDefault="00DE0F41" w:rsidP="009958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E0F41">
              <w:rPr>
                <w:rFonts w:ascii="Calibri" w:eastAsia="Times New Roman" w:hAnsi="Calibri" w:cs="Calibri"/>
                <w:color w:val="000000"/>
                <w:lang w:eastAsia="en-IN"/>
              </w:rPr>
              <w:t>-1%</w:t>
            </w:r>
          </w:p>
        </w:tc>
        <w:tc>
          <w:tcPr>
            <w:tcW w:w="1830" w:type="dxa"/>
            <w:noWrap/>
            <w:hideMark/>
          </w:tcPr>
          <w:p w:rsidR="00DE0F41" w:rsidRPr="00DE0F41" w:rsidRDefault="00DE0F41" w:rsidP="009958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E0F41">
              <w:rPr>
                <w:rFonts w:ascii="Calibri" w:eastAsia="Times New Roman" w:hAnsi="Calibri" w:cs="Calibri"/>
                <w:color w:val="000000"/>
                <w:lang w:eastAsia="en-IN"/>
              </w:rPr>
              <w:t>1%</w:t>
            </w:r>
          </w:p>
        </w:tc>
        <w:tc>
          <w:tcPr>
            <w:tcW w:w="1065" w:type="dxa"/>
            <w:noWrap/>
            <w:hideMark/>
          </w:tcPr>
          <w:p w:rsidR="00DE0F41" w:rsidRPr="00DE0F41" w:rsidRDefault="00DE0F41" w:rsidP="009958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E0F41">
              <w:rPr>
                <w:rFonts w:ascii="Calibri" w:eastAsia="Times New Roman" w:hAnsi="Calibri" w:cs="Calibri"/>
                <w:color w:val="000000"/>
                <w:lang w:eastAsia="en-IN"/>
              </w:rPr>
              <w:t>1%</w:t>
            </w:r>
          </w:p>
        </w:tc>
      </w:tr>
      <w:tr w:rsidR="00DE0F41" w:rsidRPr="00DE0F41" w:rsidTr="009958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5" w:type="dxa"/>
            <w:noWrap/>
            <w:hideMark/>
          </w:tcPr>
          <w:p w:rsidR="00DE0F41" w:rsidRPr="00DE0F41" w:rsidRDefault="00DE0F41" w:rsidP="0099584A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E0F41">
              <w:rPr>
                <w:rFonts w:ascii="Calibri" w:eastAsia="Times New Roman" w:hAnsi="Calibri" w:cs="Calibri"/>
                <w:color w:val="000000"/>
                <w:lang w:eastAsia="en-IN"/>
              </w:rPr>
              <w:t>Total assets</w:t>
            </w:r>
          </w:p>
        </w:tc>
        <w:tc>
          <w:tcPr>
            <w:tcW w:w="1225" w:type="dxa"/>
            <w:noWrap/>
            <w:hideMark/>
          </w:tcPr>
          <w:p w:rsidR="00DE0F41" w:rsidRPr="00DE0F41" w:rsidRDefault="00DE0F41" w:rsidP="009958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E0F41">
              <w:rPr>
                <w:rFonts w:ascii="Calibri" w:eastAsia="Times New Roman" w:hAnsi="Calibri" w:cs="Calibri"/>
                <w:color w:val="000000"/>
                <w:lang w:eastAsia="en-IN"/>
              </w:rPr>
              <w:t>7.6%</w:t>
            </w:r>
          </w:p>
        </w:tc>
        <w:tc>
          <w:tcPr>
            <w:tcW w:w="945" w:type="dxa"/>
            <w:noWrap/>
            <w:hideMark/>
          </w:tcPr>
          <w:p w:rsidR="00DE0F41" w:rsidRPr="00DE0F41" w:rsidRDefault="00DE0F41" w:rsidP="009958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E0F41">
              <w:rPr>
                <w:rFonts w:ascii="Calibri" w:eastAsia="Times New Roman" w:hAnsi="Calibri" w:cs="Calibri"/>
                <w:color w:val="000000"/>
                <w:lang w:eastAsia="en-IN"/>
              </w:rPr>
              <w:t>13%</w:t>
            </w:r>
          </w:p>
        </w:tc>
        <w:tc>
          <w:tcPr>
            <w:tcW w:w="1830" w:type="dxa"/>
            <w:noWrap/>
            <w:hideMark/>
          </w:tcPr>
          <w:p w:rsidR="00DE0F41" w:rsidRPr="00DE0F41" w:rsidRDefault="00DE0F41" w:rsidP="009958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E0F41">
              <w:rPr>
                <w:rFonts w:ascii="Calibri" w:eastAsia="Times New Roman" w:hAnsi="Calibri" w:cs="Calibri"/>
                <w:color w:val="000000"/>
                <w:lang w:eastAsia="en-IN"/>
              </w:rPr>
              <w:t>19%</w:t>
            </w:r>
          </w:p>
        </w:tc>
        <w:tc>
          <w:tcPr>
            <w:tcW w:w="1065" w:type="dxa"/>
            <w:noWrap/>
            <w:hideMark/>
          </w:tcPr>
          <w:p w:rsidR="00DE0F41" w:rsidRPr="00DE0F41" w:rsidRDefault="00DE0F41" w:rsidP="009958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E0F41">
              <w:rPr>
                <w:rFonts w:ascii="Calibri" w:eastAsia="Times New Roman" w:hAnsi="Calibri" w:cs="Calibri"/>
                <w:color w:val="000000"/>
                <w:lang w:eastAsia="en-IN"/>
              </w:rPr>
              <w:t>14%</w:t>
            </w:r>
          </w:p>
        </w:tc>
      </w:tr>
      <w:tr w:rsidR="00DE0F41" w:rsidRPr="00DE0F41" w:rsidTr="0099584A">
        <w:trPr>
          <w:trHeight w:val="2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5" w:type="dxa"/>
            <w:noWrap/>
            <w:hideMark/>
          </w:tcPr>
          <w:p w:rsidR="00DE0F41" w:rsidRPr="00DE0F41" w:rsidRDefault="00DE0F41" w:rsidP="0099584A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E0F41">
              <w:rPr>
                <w:rFonts w:ascii="Calibri" w:eastAsia="Times New Roman" w:hAnsi="Calibri" w:cs="Calibri"/>
                <w:color w:val="000000"/>
                <w:lang w:eastAsia="en-IN"/>
              </w:rPr>
              <w:t>Total equity</w:t>
            </w:r>
          </w:p>
        </w:tc>
        <w:tc>
          <w:tcPr>
            <w:tcW w:w="1225" w:type="dxa"/>
            <w:noWrap/>
            <w:hideMark/>
          </w:tcPr>
          <w:p w:rsidR="00DE0F41" w:rsidRPr="00DE0F41" w:rsidRDefault="00DE0F41" w:rsidP="009958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E0F41">
              <w:rPr>
                <w:rFonts w:ascii="Calibri" w:eastAsia="Times New Roman" w:hAnsi="Calibri" w:cs="Calibri"/>
                <w:color w:val="000000"/>
                <w:lang w:eastAsia="en-IN"/>
              </w:rPr>
              <w:t>-6.6%</w:t>
            </w:r>
          </w:p>
        </w:tc>
        <w:tc>
          <w:tcPr>
            <w:tcW w:w="945" w:type="dxa"/>
            <w:noWrap/>
            <w:hideMark/>
          </w:tcPr>
          <w:p w:rsidR="00DE0F41" w:rsidRPr="00DE0F41" w:rsidRDefault="00DE0F41" w:rsidP="009958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E0F41">
              <w:rPr>
                <w:rFonts w:ascii="Calibri" w:eastAsia="Times New Roman" w:hAnsi="Calibri" w:cs="Calibri"/>
                <w:color w:val="000000"/>
                <w:lang w:eastAsia="en-IN"/>
              </w:rPr>
              <w:t>-12%</w:t>
            </w:r>
          </w:p>
        </w:tc>
        <w:tc>
          <w:tcPr>
            <w:tcW w:w="1830" w:type="dxa"/>
            <w:noWrap/>
            <w:hideMark/>
          </w:tcPr>
          <w:p w:rsidR="00DE0F41" w:rsidRPr="00DE0F41" w:rsidRDefault="00DE0F41" w:rsidP="009958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E0F41">
              <w:rPr>
                <w:rFonts w:ascii="Calibri" w:eastAsia="Times New Roman" w:hAnsi="Calibri" w:cs="Calibri"/>
                <w:color w:val="000000"/>
                <w:lang w:eastAsia="en-IN"/>
              </w:rPr>
              <w:t>-4%</w:t>
            </w:r>
          </w:p>
        </w:tc>
        <w:tc>
          <w:tcPr>
            <w:tcW w:w="1065" w:type="dxa"/>
            <w:noWrap/>
            <w:hideMark/>
          </w:tcPr>
          <w:p w:rsidR="00DE0F41" w:rsidRPr="00DE0F41" w:rsidRDefault="00DE0F41" w:rsidP="009958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E0F41">
              <w:rPr>
                <w:rFonts w:ascii="Calibri" w:eastAsia="Times New Roman" w:hAnsi="Calibri" w:cs="Calibri"/>
                <w:color w:val="000000"/>
                <w:lang w:eastAsia="en-IN"/>
              </w:rPr>
              <w:t>-3%</w:t>
            </w:r>
          </w:p>
        </w:tc>
      </w:tr>
      <w:tr w:rsidR="00DE0F41" w:rsidRPr="00DE0F41" w:rsidTr="009958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5" w:type="dxa"/>
            <w:noWrap/>
            <w:hideMark/>
          </w:tcPr>
          <w:p w:rsidR="00DE0F41" w:rsidRPr="00DE0F41" w:rsidRDefault="00DE0F41" w:rsidP="0099584A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E0F41">
              <w:rPr>
                <w:rFonts w:ascii="Calibri" w:eastAsia="Times New Roman" w:hAnsi="Calibri" w:cs="Calibri"/>
                <w:color w:val="000000"/>
                <w:lang w:eastAsia="en-IN"/>
              </w:rPr>
              <w:t>Non-current financial liabilities</w:t>
            </w:r>
          </w:p>
        </w:tc>
        <w:tc>
          <w:tcPr>
            <w:tcW w:w="1225" w:type="dxa"/>
            <w:noWrap/>
            <w:hideMark/>
          </w:tcPr>
          <w:p w:rsidR="00DE0F41" w:rsidRPr="00DE0F41" w:rsidRDefault="00DE0F41" w:rsidP="009958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E0F41">
              <w:rPr>
                <w:rFonts w:ascii="Calibri" w:eastAsia="Times New Roman" w:hAnsi="Calibri" w:cs="Calibri"/>
                <w:color w:val="000000"/>
                <w:lang w:eastAsia="en-IN"/>
              </w:rPr>
              <w:t>1.6%</w:t>
            </w:r>
          </w:p>
        </w:tc>
        <w:tc>
          <w:tcPr>
            <w:tcW w:w="945" w:type="dxa"/>
            <w:noWrap/>
            <w:hideMark/>
          </w:tcPr>
          <w:p w:rsidR="00DE0F41" w:rsidRPr="00DE0F41" w:rsidRDefault="00DE0F41" w:rsidP="009958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E0F41">
              <w:rPr>
                <w:rFonts w:ascii="Calibri" w:eastAsia="Times New Roman" w:hAnsi="Calibri" w:cs="Calibri"/>
                <w:color w:val="000000"/>
                <w:lang w:eastAsia="en-IN"/>
              </w:rPr>
              <w:t>-2%</w:t>
            </w:r>
          </w:p>
        </w:tc>
        <w:tc>
          <w:tcPr>
            <w:tcW w:w="1830" w:type="dxa"/>
            <w:noWrap/>
            <w:hideMark/>
          </w:tcPr>
          <w:p w:rsidR="00DE0F41" w:rsidRPr="00DE0F41" w:rsidRDefault="00DE0F41" w:rsidP="009958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E0F41">
              <w:rPr>
                <w:rFonts w:ascii="Calibri" w:eastAsia="Times New Roman" w:hAnsi="Calibri" w:cs="Calibri"/>
                <w:color w:val="000000"/>
                <w:lang w:eastAsia="en-IN"/>
              </w:rPr>
              <w:t>4%</w:t>
            </w:r>
          </w:p>
        </w:tc>
        <w:tc>
          <w:tcPr>
            <w:tcW w:w="1065" w:type="dxa"/>
            <w:noWrap/>
            <w:hideMark/>
          </w:tcPr>
          <w:p w:rsidR="00DE0F41" w:rsidRPr="00DE0F41" w:rsidRDefault="00DE0F41" w:rsidP="009958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E0F41">
              <w:rPr>
                <w:rFonts w:ascii="Calibri" w:eastAsia="Times New Roman" w:hAnsi="Calibri" w:cs="Calibri"/>
                <w:color w:val="000000"/>
                <w:lang w:eastAsia="en-IN"/>
              </w:rPr>
              <w:t>-0.41%</w:t>
            </w:r>
          </w:p>
        </w:tc>
      </w:tr>
      <w:tr w:rsidR="00DE0F41" w:rsidRPr="00DE0F41" w:rsidTr="0099584A">
        <w:trPr>
          <w:trHeight w:val="2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5" w:type="dxa"/>
            <w:noWrap/>
            <w:hideMark/>
          </w:tcPr>
          <w:p w:rsidR="00DE0F41" w:rsidRPr="00DE0F41" w:rsidRDefault="00DE0F41" w:rsidP="0099584A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E0F41">
              <w:rPr>
                <w:rFonts w:ascii="Calibri" w:eastAsia="Times New Roman" w:hAnsi="Calibri" w:cs="Calibri"/>
                <w:color w:val="000000"/>
                <w:lang w:eastAsia="en-IN"/>
              </w:rPr>
              <w:t>Total equity and liabilities</w:t>
            </w:r>
          </w:p>
        </w:tc>
        <w:tc>
          <w:tcPr>
            <w:tcW w:w="1225" w:type="dxa"/>
            <w:noWrap/>
            <w:hideMark/>
          </w:tcPr>
          <w:p w:rsidR="00DE0F41" w:rsidRPr="00DE0F41" w:rsidRDefault="00DE0F41" w:rsidP="009958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E0F41">
              <w:rPr>
                <w:rFonts w:ascii="Calibri" w:eastAsia="Times New Roman" w:hAnsi="Calibri" w:cs="Calibri"/>
                <w:color w:val="000000"/>
                <w:lang w:eastAsia="en-IN"/>
              </w:rPr>
              <w:t>-6.6%</w:t>
            </w:r>
          </w:p>
        </w:tc>
        <w:tc>
          <w:tcPr>
            <w:tcW w:w="945" w:type="dxa"/>
            <w:noWrap/>
            <w:hideMark/>
          </w:tcPr>
          <w:p w:rsidR="00DE0F41" w:rsidRPr="00DE0F41" w:rsidRDefault="00DE0F41" w:rsidP="009958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E0F41">
              <w:rPr>
                <w:rFonts w:ascii="Calibri" w:eastAsia="Times New Roman" w:hAnsi="Calibri" w:cs="Calibri"/>
                <w:color w:val="000000"/>
                <w:lang w:eastAsia="en-IN"/>
              </w:rPr>
              <w:t>-12%</w:t>
            </w:r>
          </w:p>
        </w:tc>
        <w:tc>
          <w:tcPr>
            <w:tcW w:w="1830" w:type="dxa"/>
            <w:noWrap/>
            <w:hideMark/>
          </w:tcPr>
          <w:p w:rsidR="00DE0F41" w:rsidRPr="00DE0F41" w:rsidRDefault="00DE0F41" w:rsidP="009958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E0F41">
              <w:rPr>
                <w:rFonts w:ascii="Calibri" w:eastAsia="Times New Roman" w:hAnsi="Calibri" w:cs="Calibri"/>
                <w:color w:val="000000"/>
                <w:lang w:eastAsia="en-IN"/>
              </w:rPr>
              <w:t>19%</w:t>
            </w:r>
          </w:p>
        </w:tc>
        <w:tc>
          <w:tcPr>
            <w:tcW w:w="1065" w:type="dxa"/>
            <w:noWrap/>
            <w:hideMark/>
          </w:tcPr>
          <w:p w:rsidR="00DE0F41" w:rsidRPr="00DE0F41" w:rsidRDefault="00DE0F41" w:rsidP="009958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E0F41">
              <w:rPr>
                <w:rFonts w:ascii="Calibri" w:eastAsia="Times New Roman" w:hAnsi="Calibri" w:cs="Calibri"/>
                <w:color w:val="000000"/>
                <w:lang w:eastAsia="en-IN"/>
              </w:rPr>
              <w:t>14%</w:t>
            </w:r>
          </w:p>
        </w:tc>
      </w:tr>
    </w:tbl>
    <w:p w:rsidR="00DE0F41" w:rsidRPr="00DE0F41" w:rsidRDefault="00DE0F41" w:rsidP="00DE0F41">
      <w:pPr>
        <w:rPr>
          <w:rFonts w:ascii="Calibri" w:hAnsi="Calibri" w:cs="Calibri"/>
          <w:b/>
          <w:sz w:val="32"/>
        </w:rPr>
      </w:pPr>
      <w:r w:rsidRPr="00DE0F41">
        <w:rPr>
          <w:rFonts w:ascii="Calibri" w:hAnsi="Calibri" w:cs="Calibri"/>
          <w:b/>
          <w:sz w:val="32"/>
        </w:rPr>
        <w:t>Balance Sheet Observations</w:t>
      </w:r>
    </w:p>
    <w:p w:rsidR="00DE0F41" w:rsidRPr="00DE0F41" w:rsidRDefault="00DE0F41" w:rsidP="00DE0F41">
      <w:pPr>
        <w:rPr>
          <w:rFonts w:ascii="Calibri" w:hAnsi="Calibri" w:cs="Calibri"/>
          <w:sz w:val="32"/>
        </w:rPr>
      </w:pPr>
      <w:proofErr w:type="gramStart"/>
      <w:r w:rsidRPr="00DE0F41">
        <w:rPr>
          <w:rFonts w:ascii="Calibri" w:hAnsi="Calibri" w:cs="Calibri"/>
          <w:sz w:val="32"/>
        </w:rPr>
        <w:t>1.As</w:t>
      </w:r>
      <w:proofErr w:type="gramEnd"/>
      <w:r w:rsidRPr="00DE0F41">
        <w:rPr>
          <w:rFonts w:ascii="Calibri" w:hAnsi="Calibri" w:cs="Calibri"/>
          <w:sz w:val="32"/>
        </w:rPr>
        <w:t xml:space="preserve"> we can observe the Right-Of-Use Assets sections which has been added to each of the following companies balance sheet has increased the Assets by that amount which has also led to changes in </w:t>
      </w:r>
    </w:p>
    <w:p w:rsidR="00DE0F41" w:rsidRPr="00DE0F41" w:rsidRDefault="00DE0F41" w:rsidP="00DE0F41">
      <w:pPr>
        <w:rPr>
          <w:rFonts w:ascii="Calibri" w:hAnsi="Calibri" w:cs="Calibri"/>
          <w:sz w:val="32"/>
        </w:rPr>
      </w:pPr>
      <w:r w:rsidRPr="00DE0F41">
        <w:rPr>
          <w:rFonts w:ascii="Calibri" w:hAnsi="Calibri" w:cs="Calibri"/>
          <w:sz w:val="32"/>
        </w:rPr>
        <w:lastRenderedPageBreak/>
        <w:t xml:space="preserve">-An Increase in Total Assets for all of the companies </w:t>
      </w:r>
      <w:r w:rsidRPr="00DE0F41">
        <w:rPr>
          <w:rFonts w:ascii="Calibri" w:hAnsi="Calibri" w:cs="Calibri"/>
          <w:sz w:val="32"/>
        </w:rPr>
        <w:br/>
        <w:t>-An Overall effect of change on Total Equity and Liabilities</w:t>
      </w:r>
    </w:p>
    <w:tbl>
      <w:tblPr>
        <w:tblStyle w:val="GridTable4-Accent1"/>
        <w:tblpPr w:leftFromText="180" w:rightFromText="180" w:vertAnchor="page" w:horzAnchor="margin" w:tblpY="1863"/>
        <w:tblW w:w="9657" w:type="dxa"/>
        <w:tblLook w:val="04A0" w:firstRow="1" w:lastRow="0" w:firstColumn="1" w:lastColumn="0" w:noHBand="0" w:noVBand="1"/>
      </w:tblPr>
      <w:tblGrid>
        <w:gridCol w:w="4736"/>
        <w:gridCol w:w="1149"/>
        <w:gridCol w:w="1036"/>
        <w:gridCol w:w="1716"/>
        <w:gridCol w:w="1020"/>
      </w:tblGrid>
      <w:tr w:rsidR="00DE0F41" w:rsidRPr="00DE0F41" w:rsidTr="00DE0F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6" w:type="dxa"/>
            <w:noWrap/>
            <w:hideMark/>
          </w:tcPr>
          <w:p w:rsidR="00DE0F41" w:rsidRPr="00DE0F41" w:rsidRDefault="00DE0F41" w:rsidP="00DE0F4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E0F41">
              <w:rPr>
                <w:rFonts w:ascii="Calibri" w:eastAsia="Times New Roman" w:hAnsi="Calibri" w:cs="Calibri"/>
                <w:color w:val="000000"/>
                <w:lang w:eastAsia="en-IN"/>
              </w:rPr>
              <w:t>Income Statement Element Comparison</w:t>
            </w:r>
            <w:r w:rsidRPr="00DE0F41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>(€ million) or % Change over previous year</w:t>
            </w:r>
          </w:p>
        </w:tc>
        <w:tc>
          <w:tcPr>
            <w:tcW w:w="1149" w:type="dxa"/>
            <w:noWrap/>
            <w:hideMark/>
          </w:tcPr>
          <w:p w:rsidR="00DE0F41" w:rsidRPr="00DE0F41" w:rsidRDefault="00DE0F41" w:rsidP="00DE0F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DE0F41">
              <w:rPr>
                <w:rFonts w:ascii="Calibri" w:eastAsia="Times New Roman" w:hAnsi="Calibri" w:cs="Calibri"/>
                <w:color w:val="000000"/>
                <w:lang w:eastAsia="en-IN"/>
              </w:rPr>
              <w:t>Morrisons</w:t>
            </w:r>
            <w:proofErr w:type="spellEnd"/>
            <w:r w:rsidRPr="00DE0F4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(FY/19)</w:t>
            </w:r>
          </w:p>
        </w:tc>
        <w:tc>
          <w:tcPr>
            <w:tcW w:w="1036" w:type="dxa"/>
            <w:noWrap/>
            <w:hideMark/>
          </w:tcPr>
          <w:p w:rsidR="00DE0F41" w:rsidRPr="00DE0F41" w:rsidRDefault="00DE0F41" w:rsidP="00DE0F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E0F41">
              <w:rPr>
                <w:rFonts w:ascii="Calibri" w:eastAsia="Times New Roman" w:hAnsi="Calibri" w:cs="Calibri"/>
                <w:color w:val="000000"/>
                <w:lang w:eastAsia="en-IN"/>
              </w:rPr>
              <w:t>Tesco Plc (FY/19)</w:t>
            </w:r>
          </w:p>
        </w:tc>
        <w:tc>
          <w:tcPr>
            <w:tcW w:w="1716" w:type="dxa"/>
            <w:noWrap/>
            <w:hideMark/>
          </w:tcPr>
          <w:p w:rsidR="00DE0F41" w:rsidRPr="00DE0F41" w:rsidRDefault="00DE0F41" w:rsidP="00DE0F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DE0F41">
              <w:rPr>
                <w:rFonts w:ascii="Calibri" w:eastAsia="Times New Roman" w:hAnsi="Calibri" w:cs="Calibri"/>
                <w:color w:val="000000"/>
                <w:lang w:eastAsia="en-IN"/>
              </w:rPr>
              <w:t>Alhord</w:t>
            </w:r>
            <w:proofErr w:type="spellEnd"/>
            <w:r w:rsidRPr="00DE0F4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Delhaize(Q1/19)</w:t>
            </w:r>
          </w:p>
        </w:tc>
        <w:tc>
          <w:tcPr>
            <w:tcW w:w="1020" w:type="dxa"/>
            <w:noWrap/>
            <w:hideMark/>
          </w:tcPr>
          <w:p w:rsidR="00DE0F41" w:rsidRPr="00DE0F41" w:rsidRDefault="00DE0F41" w:rsidP="00DE0F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E0F4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Casino </w:t>
            </w:r>
            <w:proofErr w:type="spellStart"/>
            <w:r w:rsidRPr="00DE0F41">
              <w:rPr>
                <w:rFonts w:ascii="Calibri" w:eastAsia="Times New Roman" w:hAnsi="Calibri" w:cs="Calibri"/>
                <w:color w:val="000000"/>
                <w:lang w:eastAsia="en-IN"/>
              </w:rPr>
              <w:t>Groupe</w:t>
            </w:r>
            <w:proofErr w:type="spellEnd"/>
            <w:r w:rsidRPr="00DE0F4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(H1/19)</w:t>
            </w:r>
          </w:p>
        </w:tc>
      </w:tr>
      <w:tr w:rsidR="00DE0F41" w:rsidRPr="00DE0F41" w:rsidTr="00DE0F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6" w:type="dxa"/>
            <w:noWrap/>
            <w:hideMark/>
          </w:tcPr>
          <w:p w:rsidR="00DE0F41" w:rsidRPr="00DE0F41" w:rsidRDefault="00DE0F41" w:rsidP="00DE0F4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E0F41">
              <w:rPr>
                <w:rFonts w:ascii="Calibri" w:eastAsia="Times New Roman" w:hAnsi="Calibri" w:cs="Calibri"/>
                <w:color w:val="000000"/>
                <w:lang w:eastAsia="en-IN"/>
              </w:rPr>
              <w:t>Revenue</w:t>
            </w:r>
          </w:p>
        </w:tc>
        <w:tc>
          <w:tcPr>
            <w:tcW w:w="1149" w:type="dxa"/>
            <w:noWrap/>
            <w:hideMark/>
          </w:tcPr>
          <w:p w:rsidR="00DE0F41" w:rsidRPr="00DE0F41" w:rsidRDefault="00DE0F41" w:rsidP="00DE0F4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E0F41">
              <w:rPr>
                <w:rFonts w:ascii="Calibri" w:eastAsia="Times New Roman" w:hAnsi="Calibri" w:cs="Calibri"/>
                <w:color w:val="000000"/>
                <w:lang w:eastAsia="en-IN"/>
              </w:rPr>
              <w:t>0.00%</w:t>
            </w:r>
          </w:p>
        </w:tc>
        <w:tc>
          <w:tcPr>
            <w:tcW w:w="1036" w:type="dxa"/>
            <w:noWrap/>
            <w:hideMark/>
          </w:tcPr>
          <w:p w:rsidR="00DE0F41" w:rsidRPr="00DE0F41" w:rsidRDefault="00DE0F41" w:rsidP="00DE0F4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E0F41">
              <w:rPr>
                <w:rFonts w:ascii="Calibri" w:eastAsia="Times New Roman" w:hAnsi="Calibri" w:cs="Calibri"/>
                <w:color w:val="000000"/>
                <w:lang w:eastAsia="en-IN"/>
              </w:rPr>
              <w:t>0%</w:t>
            </w:r>
          </w:p>
        </w:tc>
        <w:tc>
          <w:tcPr>
            <w:tcW w:w="1716" w:type="dxa"/>
            <w:noWrap/>
            <w:hideMark/>
          </w:tcPr>
          <w:p w:rsidR="00DE0F41" w:rsidRPr="00DE0F41" w:rsidRDefault="00DE0F41" w:rsidP="00DE0F4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E0F41">
              <w:rPr>
                <w:rFonts w:ascii="Calibri" w:eastAsia="Times New Roman" w:hAnsi="Calibri" w:cs="Calibri"/>
                <w:color w:val="000000"/>
                <w:lang w:eastAsia="en-IN"/>
              </w:rPr>
              <w:t>0.0%</w:t>
            </w:r>
          </w:p>
        </w:tc>
        <w:tc>
          <w:tcPr>
            <w:tcW w:w="1020" w:type="dxa"/>
            <w:noWrap/>
            <w:hideMark/>
          </w:tcPr>
          <w:p w:rsidR="00DE0F41" w:rsidRPr="00DE0F41" w:rsidRDefault="00DE0F41" w:rsidP="00DE0F4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E0F41">
              <w:rPr>
                <w:rFonts w:ascii="Calibri" w:eastAsia="Times New Roman" w:hAnsi="Calibri" w:cs="Calibri"/>
                <w:color w:val="000000"/>
                <w:lang w:eastAsia="en-IN"/>
              </w:rPr>
              <w:t>0%</w:t>
            </w:r>
          </w:p>
        </w:tc>
      </w:tr>
      <w:tr w:rsidR="00DE0F41" w:rsidRPr="00DE0F41" w:rsidTr="00DE0F41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6" w:type="dxa"/>
            <w:noWrap/>
            <w:hideMark/>
          </w:tcPr>
          <w:p w:rsidR="00DE0F41" w:rsidRPr="00DE0F41" w:rsidRDefault="00DE0F41" w:rsidP="00DE0F4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E0F41">
              <w:rPr>
                <w:rFonts w:ascii="Calibri" w:eastAsia="Times New Roman" w:hAnsi="Calibri" w:cs="Calibri"/>
                <w:color w:val="000000"/>
                <w:lang w:eastAsia="en-IN"/>
              </w:rPr>
              <w:t>COGS</w:t>
            </w:r>
          </w:p>
        </w:tc>
        <w:tc>
          <w:tcPr>
            <w:tcW w:w="1149" w:type="dxa"/>
            <w:noWrap/>
            <w:hideMark/>
          </w:tcPr>
          <w:p w:rsidR="00DE0F41" w:rsidRPr="00DE0F41" w:rsidRDefault="00DE0F41" w:rsidP="00DE0F4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E0F41">
              <w:rPr>
                <w:rFonts w:ascii="Calibri" w:eastAsia="Times New Roman" w:hAnsi="Calibri" w:cs="Calibri"/>
                <w:color w:val="000000"/>
                <w:lang w:eastAsia="en-IN"/>
              </w:rPr>
              <w:t>-0.26%</w:t>
            </w:r>
          </w:p>
        </w:tc>
        <w:tc>
          <w:tcPr>
            <w:tcW w:w="1036" w:type="dxa"/>
            <w:noWrap/>
            <w:hideMark/>
          </w:tcPr>
          <w:p w:rsidR="00DE0F41" w:rsidRPr="00DE0F41" w:rsidRDefault="00DE0F41" w:rsidP="00DE0F4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E0F41">
              <w:rPr>
                <w:rFonts w:ascii="Calibri" w:eastAsia="Times New Roman" w:hAnsi="Calibri" w:cs="Calibri"/>
                <w:color w:val="000000"/>
                <w:lang w:eastAsia="en-IN"/>
              </w:rPr>
              <w:t>-1%</w:t>
            </w:r>
          </w:p>
        </w:tc>
        <w:tc>
          <w:tcPr>
            <w:tcW w:w="1716" w:type="dxa"/>
            <w:noWrap/>
            <w:hideMark/>
          </w:tcPr>
          <w:p w:rsidR="00DE0F41" w:rsidRPr="00DE0F41" w:rsidRDefault="00DE0F41" w:rsidP="00DE0F4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E0F41">
              <w:rPr>
                <w:rFonts w:ascii="Calibri" w:eastAsia="Times New Roman" w:hAnsi="Calibri" w:cs="Calibri"/>
                <w:color w:val="000000"/>
                <w:lang w:eastAsia="en-IN"/>
              </w:rPr>
              <w:t>0.0%</w:t>
            </w:r>
          </w:p>
        </w:tc>
        <w:tc>
          <w:tcPr>
            <w:tcW w:w="1020" w:type="dxa"/>
            <w:noWrap/>
            <w:hideMark/>
          </w:tcPr>
          <w:p w:rsidR="00DE0F41" w:rsidRPr="00DE0F41" w:rsidRDefault="00DE0F41" w:rsidP="00DE0F4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E0F41">
              <w:rPr>
                <w:rFonts w:ascii="Calibri" w:eastAsia="Times New Roman" w:hAnsi="Calibri" w:cs="Calibri"/>
                <w:color w:val="000000"/>
                <w:lang w:eastAsia="en-IN"/>
              </w:rPr>
              <w:t>-0.24%</w:t>
            </w:r>
          </w:p>
        </w:tc>
      </w:tr>
      <w:tr w:rsidR="00DE0F41" w:rsidRPr="00DE0F41" w:rsidTr="00DE0F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6" w:type="dxa"/>
            <w:noWrap/>
            <w:hideMark/>
          </w:tcPr>
          <w:p w:rsidR="00DE0F41" w:rsidRPr="00DE0F41" w:rsidRDefault="00DE0F41" w:rsidP="00DE0F4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E0F4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Operating </w:t>
            </w:r>
            <w:proofErr w:type="spellStart"/>
            <w:r w:rsidRPr="00DE0F41">
              <w:rPr>
                <w:rFonts w:ascii="Calibri" w:eastAsia="Times New Roman" w:hAnsi="Calibri" w:cs="Calibri"/>
                <w:color w:val="000000"/>
                <w:lang w:eastAsia="en-IN"/>
              </w:rPr>
              <w:t>Proft</w:t>
            </w:r>
            <w:proofErr w:type="spellEnd"/>
          </w:p>
        </w:tc>
        <w:tc>
          <w:tcPr>
            <w:tcW w:w="1149" w:type="dxa"/>
            <w:noWrap/>
            <w:hideMark/>
          </w:tcPr>
          <w:p w:rsidR="00DE0F41" w:rsidRPr="00DE0F41" w:rsidRDefault="00DE0F41" w:rsidP="00DE0F4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E0F41">
              <w:rPr>
                <w:rFonts w:ascii="Calibri" w:eastAsia="Times New Roman" w:hAnsi="Calibri" w:cs="Calibri"/>
                <w:color w:val="000000"/>
                <w:lang w:eastAsia="en-IN"/>
              </w:rPr>
              <w:t>9.64%</w:t>
            </w:r>
          </w:p>
        </w:tc>
        <w:tc>
          <w:tcPr>
            <w:tcW w:w="1036" w:type="dxa"/>
            <w:noWrap/>
            <w:hideMark/>
          </w:tcPr>
          <w:p w:rsidR="00DE0F41" w:rsidRPr="00DE0F41" w:rsidRDefault="00DE0F41" w:rsidP="00DE0F4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E0F41">
              <w:rPr>
                <w:rFonts w:ascii="Calibri" w:eastAsia="Times New Roman" w:hAnsi="Calibri" w:cs="Calibri"/>
                <w:color w:val="000000"/>
                <w:lang w:eastAsia="en-IN"/>
              </w:rPr>
              <w:t>23%</w:t>
            </w:r>
          </w:p>
        </w:tc>
        <w:tc>
          <w:tcPr>
            <w:tcW w:w="1716" w:type="dxa"/>
            <w:noWrap/>
            <w:hideMark/>
          </w:tcPr>
          <w:p w:rsidR="00DE0F41" w:rsidRPr="00DE0F41" w:rsidRDefault="00DE0F41" w:rsidP="00DE0F4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E0F41">
              <w:rPr>
                <w:rFonts w:ascii="Calibri" w:eastAsia="Times New Roman" w:hAnsi="Calibri" w:cs="Calibri"/>
                <w:color w:val="000000"/>
                <w:lang w:eastAsia="en-IN"/>
              </w:rPr>
              <w:t>8.5%</w:t>
            </w:r>
          </w:p>
        </w:tc>
        <w:tc>
          <w:tcPr>
            <w:tcW w:w="1020" w:type="dxa"/>
            <w:noWrap/>
            <w:hideMark/>
          </w:tcPr>
          <w:p w:rsidR="00DE0F41" w:rsidRPr="00DE0F41" w:rsidRDefault="00DE0F41" w:rsidP="00DE0F4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E0F41">
              <w:rPr>
                <w:rFonts w:ascii="Calibri" w:eastAsia="Times New Roman" w:hAnsi="Calibri" w:cs="Calibri"/>
                <w:color w:val="000000"/>
                <w:lang w:eastAsia="en-IN"/>
              </w:rPr>
              <w:t>25.7%</w:t>
            </w:r>
          </w:p>
        </w:tc>
      </w:tr>
      <w:tr w:rsidR="00DE0F41" w:rsidRPr="00DE0F41" w:rsidTr="00DE0F41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6" w:type="dxa"/>
            <w:noWrap/>
            <w:hideMark/>
          </w:tcPr>
          <w:p w:rsidR="00DE0F41" w:rsidRPr="00DE0F41" w:rsidRDefault="00DE0F41" w:rsidP="00DE0F4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E0F41">
              <w:rPr>
                <w:rFonts w:ascii="Calibri" w:eastAsia="Times New Roman" w:hAnsi="Calibri" w:cs="Calibri"/>
                <w:color w:val="000000"/>
                <w:lang w:eastAsia="en-IN"/>
              </w:rPr>
              <w:t>Finance Cost</w:t>
            </w:r>
          </w:p>
        </w:tc>
        <w:tc>
          <w:tcPr>
            <w:tcW w:w="1149" w:type="dxa"/>
            <w:noWrap/>
            <w:hideMark/>
          </w:tcPr>
          <w:p w:rsidR="00DE0F41" w:rsidRPr="00DE0F41" w:rsidRDefault="00DE0F41" w:rsidP="00DE0F4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E0F41">
              <w:rPr>
                <w:rFonts w:ascii="Calibri" w:eastAsia="Times New Roman" w:hAnsi="Calibri" w:cs="Calibri"/>
                <w:color w:val="000000"/>
                <w:lang w:eastAsia="en-IN"/>
              </w:rPr>
              <w:t>57.73%</w:t>
            </w:r>
          </w:p>
        </w:tc>
        <w:tc>
          <w:tcPr>
            <w:tcW w:w="1036" w:type="dxa"/>
            <w:noWrap/>
            <w:hideMark/>
          </w:tcPr>
          <w:p w:rsidR="00DE0F41" w:rsidRPr="00DE0F41" w:rsidRDefault="00DE0F41" w:rsidP="00DE0F4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E0F41">
              <w:rPr>
                <w:rFonts w:ascii="Calibri" w:eastAsia="Times New Roman" w:hAnsi="Calibri" w:cs="Calibri"/>
                <w:color w:val="000000"/>
                <w:lang w:eastAsia="en-IN"/>
              </w:rPr>
              <w:t>103%</w:t>
            </w:r>
          </w:p>
        </w:tc>
        <w:tc>
          <w:tcPr>
            <w:tcW w:w="1716" w:type="dxa"/>
            <w:noWrap/>
            <w:hideMark/>
          </w:tcPr>
          <w:p w:rsidR="00DE0F41" w:rsidRPr="00DE0F41" w:rsidRDefault="00DE0F41" w:rsidP="00DE0F4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E0F41">
              <w:rPr>
                <w:rFonts w:ascii="Calibri" w:eastAsia="Times New Roman" w:hAnsi="Calibri" w:cs="Calibri"/>
                <w:color w:val="000000"/>
                <w:lang w:eastAsia="en-IN"/>
              </w:rPr>
              <w:t>87.5%</w:t>
            </w:r>
          </w:p>
        </w:tc>
        <w:tc>
          <w:tcPr>
            <w:tcW w:w="1020" w:type="dxa"/>
            <w:noWrap/>
            <w:hideMark/>
          </w:tcPr>
          <w:p w:rsidR="00DE0F41" w:rsidRPr="00DE0F41" w:rsidRDefault="00DE0F41" w:rsidP="00DE0F4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E0F41">
              <w:rPr>
                <w:rFonts w:ascii="Calibri" w:eastAsia="Times New Roman" w:hAnsi="Calibri" w:cs="Calibri"/>
                <w:color w:val="000000"/>
                <w:lang w:eastAsia="en-IN"/>
              </w:rPr>
              <w:t>82.5%</w:t>
            </w:r>
          </w:p>
        </w:tc>
      </w:tr>
      <w:tr w:rsidR="00DE0F41" w:rsidRPr="00DE0F41" w:rsidTr="00DE0F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6" w:type="dxa"/>
            <w:noWrap/>
            <w:hideMark/>
          </w:tcPr>
          <w:p w:rsidR="00DE0F41" w:rsidRPr="00DE0F41" w:rsidRDefault="00DE0F41" w:rsidP="00DE0F4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E0F41">
              <w:rPr>
                <w:rFonts w:ascii="Calibri" w:eastAsia="Times New Roman" w:hAnsi="Calibri" w:cs="Calibri"/>
                <w:color w:val="000000"/>
                <w:lang w:eastAsia="en-IN"/>
              </w:rPr>
              <w:t>Finance Income</w:t>
            </w:r>
          </w:p>
        </w:tc>
        <w:tc>
          <w:tcPr>
            <w:tcW w:w="1149" w:type="dxa"/>
            <w:noWrap/>
            <w:hideMark/>
          </w:tcPr>
          <w:p w:rsidR="00DE0F41" w:rsidRPr="00DE0F41" w:rsidRDefault="00DE0F41" w:rsidP="00DE0F4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E0F41">
              <w:rPr>
                <w:rFonts w:ascii="Calibri" w:eastAsia="Times New Roman" w:hAnsi="Calibri" w:cs="Calibri"/>
                <w:color w:val="000000"/>
                <w:lang w:eastAsia="en-IN"/>
              </w:rPr>
              <w:t>4.55%</w:t>
            </w:r>
          </w:p>
        </w:tc>
        <w:tc>
          <w:tcPr>
            <w:tcW w:w="1036" w:type="dxa"/>
            <w:noWrap/>
            <w:hideMark/>
          </w:tcPr>
          <w:p w:rsidR="00DE0F41" w:rsidRPr="00DE0F41" w:rsidRDefault="00DE0F41" w:rsidP="00DE0F4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E0F41">
              <w:rPr>
                <w:rFonts w:ascii="Calibri" w:eastAsia="Times New Roman" w:hAnsi="Calibri" w:cs="Calibri"/>
                <w:color w:val="000000"/>
                <w:lang w:eastAsia="en-IN"/>
              </w:rPr>
              <w:t>14%</w:t>
            </w:r>
          </w:p>
        </w:tc>
        <w:tc>
          <w:tcPr>
            <w:tcW w:w="1716" w:type="dxa"/>
            <w:noWrap/>
            <w:hideMark/>
          </w:tcPr>
          <w:p w:rsidR="00DE0F41" w:rsidRPr="00DE0F41" w:rsidRDefault="00DE0F41" w:rsidP="00DE0F4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E0F41">
              <w:rPr>
                <w:rFonts w:ascii="Calibri" w:eastAsia="Times New Roman" w:hAnsi="Calibri" w:cs="Calibri"/>
                <w:color w:val="000000"/>
                <w:lang w:eastAsia="en-IN"/>
              </w:rPr>
              <w:t>200.0%</w:t>
            </w:r>
          </w:p>
        </w:tc>
        <w:tc>
          <w:tcPr>
            <w:tcW w:w="1020" w:type="dxa"/>
            <w:noWrap/>
            <w:hideMark/>
          </w:tcPr>
          <w:p w:rsidR="00DE0F41" w:rsidRPr="00DE0F41" w:rsidRDefault="00DE0F41" w:rsidP="00DE0F4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E0F41">
              <w:rPr>
                <w:rFonts w:ascii="Calibri" w:eastAsia="Times New Roman" w:hAnsi="Calibri" w:cs="Calibri"/>
                <w:color w:val="000000"/>
                <w:lang w:eastAsia="en-IN"/>
              </w:rPr>
              <w:t>-1.9%</w:t>
            </w:r>
          </w:p>
        </w:tc>
      </w:tr>
      <w:tr w:rsidR="00DE0F41" w:rsidRPr="00DE0F41" w:rsidTr="00DE0F41">
        <w:trPr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6" w:type="dxa"/>
            <w:noWrap/>
            <w:hideMark/>
          </w:tcPr>
          <w:p w:rsidR="00DE0F41" w:rsidRPr="00DE0F41" w:rsidRDefault="00DE0F41" w:rsidP="00DE0F4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E0F41">
              <w:rPr>
                <w:rFonts w:ascii="Calibri" w:eastAsia="Times New Roman" w:hAnsi="Calibri" w:cs="Calibri"/>
                <w:color w:val="000000"/>
                <w:lang w:eastAsia="en-IN"/>
              </w:rPr>
              <w:t>Tax</w:t>
            </w:r>
          </w:p>
        </w:tc>
        <w:tc>
          <w:tcPr>
            <w:tcW w:w="1149" w:type="dxa"/>
            <w:noWrap/>
            <w:hideMark/>
          </w:tcPr>
          <w:p w:rsidR="00DE0F41" w:rsidRPr="00DE0F41" w:rsidRDefault="00DE0F41" w:rsidP="00DE0F4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E0F41">
              <w:rPr>
                <w:rFonts w:ascii="Calibri" w:eastAsia="Times New Roman" w:hAnsi="Calibri" w:cs="Calibri"/>
                <w:color w:val="000000"/>
                <w:lang w:eastAsia="en-IN"/>
              </w:rPr>
              <w:t>-7.89%</w:t>
            </w:r>
          </w:p>
        </w:tc>
        <w:tc>
          <w:tcPr>
            <w:tcW w:w="1036" w:type="dxa"/>
            <w:noWrap/>
            <w:hideMark/>
          </w:tcPr>
          <w:p w:rsidR="00DE0F41" w:rsidRPr="00DE0F41" w:rsidRDefault="00DE0F41" w:rsidP="00DE0F4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E0F41">
              <w:rPr>
                <w:rFonts w:ascii="Calibri" w:eastAsia="Times New Roman" w:hAnsi="Calibri" w:cs="Calibri"/>
                <w:color w:val="000000"/>
                <w:lang w:eastAsia="en-IN"/>
              </w:rPr>
              <w:t>-2%</w:t>
            </w:r>
          </w:p>
        </w:tc>
        <w:tc>
          <w:tcPr>
            <w:tcW w:w="1716" w:type="dxa"/>
            <w:noWrap/>
            <w:hideMark/>
          </w:tcPr>
          <w:p w:rsidR="00DE0F41" w:rsidRPr="00DE0F41" w:rsidRDefault="00DE0F41" w:rsidP="00DE0F4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E0F41">
              <w:rPr>
                <w:rFonts w:ascii="Calibri" w:eastAsia="Times New Roman" w:hAnsi="Calibri" w:cs="Calibri"/>
                <w:color w:val="000000"/>
                <w:lang w:eastAsia="en-IN"/>
              </w:rPr>
              <w:t>-1.9%</w:t>
            </w:r>
          </w:p>
        </w:tc>
        <w:tc>
          <w:tcPr>
            <w:tcW w:w="1020" w:type="dxa"/>
            <w:noWrap/>
            <w:hideMark/>
          </w:tcPr>
          <w:p w:rsidR="00DE0F41" w:rsidRPr="00DE0F41" w:rsidRDefault="00DE0F41" w:rsidP="00DE0F4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E0F41">
              <w:rPr>
                <w:rFonts w:ascii="Calibri" w:eastAsia="Times New Roman" w:hAnsi="Calibri" w:cs="Calibri"/>
                <w:color w:val="000000"/>
                <w:lang w:eastAsia="en-IN"/>
              </w:rPr>
              <w:t>-34.8%</w:t>
            </w:r>
          </w:p>
        </w:tc>
      </w:tr>
    </w:tbl>
    <w:p w:rsidR="00DE0F41" w:rsidRDefault="00DE0F41" w:rsidP="00DE0F41">
      <w:pPr>
        <w:rPr>
          <w:rFonts w:ascii="Calibri" w:hAnsi="Calibri" w:cs="Calibri"/>
          <w:sz w:val="32"/>
        </w:rPr>
      </w:pPr>
    </w:p>
    <w:p w:rsidR="00DE0F41" w:rsidRPr="00DE0F41" w:rsidRDefault="00DE0F41" w:rsidP="00DE0F41">
      <w:pPr>
        <w:rPr>
          <w:rFonts w:ascii="Calibri" w:hAnsi="Calibri" w:cs="Calibri"/>
          <w:sz w:val="32"/>
        </w:rPr>
      </w:pPr>
      <w:r w:rsidRPr="00DE0F41">
        <w:rPr>
          <w:rFonts w:ascii="Calibri" w:hAnsi="Calibri" w:cs="Calibri"/>
          <w:sz w:val="32"/>
        </w:rPr>
        <w:t>2</w:t>
      </w:r>
      <w:r>
        <w:rPr>
          <w:rFonts w:ascii="Calibri" w:hAnsi="Calibri" w:cs="Calibri"/>
          <w:sz w:val="32"/>
        </w:rPr>
        <w:t xml:space="preserve"> </w:t>
      </w:r>
      <w:r w:rsidRPr="00DE0F41">
        <w:rPr>
          <w:rFonts w:ascii="Calibri" w:hAnsi="Calibri" w:cs="Calibri"/>
          <w:sz w:val="32"/>
        </w:rPr>
        <w:t xml:space="preserve">.A Change in the non-current financial liabilities section of the </w:t>
      </w:r>
      <w:proofErr w:type="gramStart"/>
      <w:r w:rsidRPr="00DE0F41">
        <w:rPr>
          <w:rFonts w:ascii="Calibri" w:hAnsi="Calibri" w:cs="Calibri"/>
          <w:sz w:val="32"/>
        </w:rPr>
        <w:t>companies ,this</w:t>
      </w:r>
      <w:proofErr w:type="gramEnd"/>
      <w:r w:rsidRPr="00DE0F41">
        <w:rPr>
          <w:rFonts w:ascii="Calibri" w:hAnsi="Calibri" w:cs="Calibri"/>
          <w:sz w:val="32"/>
        </w:rPr>
        <w:t xml:space="preserve"> impact is majorly dependent upon the lease liabilities which a company has and varies company to company according to it.</w:t>
      </w:r>
    </w:p>
    <w:p w:rsidR="00DE0F41" w:rsidRPr="00DE0F41" w:rsidRDefault="00DE0F41" w:rsidP="00DE0F41">
      <w:pPr>
        <w:rPr>
          <w:rFonts w:ascii="Calibri" w:hAnsi="Calibri" w:cs="Calibri"/>
          <w:sz w:val="32"/>
        </w:rPr>
      </w:pPr>
    </w:p>
    <w:tbl>
      <w:tblPr>
        <w:tblStyle w:val="GridTable4-Accent1"/>
        <w:tblW w:w="9344" w:type="dxa"/>
        <w:tblLook w:val="04A0" w:firstRow="1" w:lastRow="0" w:firstColumn="1" w:lastColumn="0" w:noHBand="0" w:noVBand="1"/>
      </w:tblPr>
      <w:tblGrid>
        <w:gridCol w:w="4670"/>
        <w:gridCol w:w="1149"/>
        <w:gridCol w:w="1020"/>
        <w:gridCol w:w="1716"/>
        <w:gridCol w:w="921"/>
      </w:tblGrid>
      <w:tr w:rsidR="00DE0F41" w:rsidRPr="00DE0F41" w:rsidTr="009958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0" w:type="dxa"/>
            <w:noWrap/>
            <w:hideMark/>
          </w:tcPr>
          <w:p w:rsidR="00DE0F41" w:rsidRPr="00DE0F41" w:rsidRDefault="00DE0F41" w:rsidP="0099584A">
            <w:pPr>
              <w:rPr>
                <w:rFonts w:ascii="Calibri" w:eastAsia="Times New Roman" w:hAnsi="Calibri" w:cs="Calibri"/>
                <w:color w:val="44546A" w:themeColor="text2"/>
                <w:lang w:eastAsia="en-IN"/>
              </w:rPr>
            </w:pPr>
            <w:r w:rsidRPr="00DE0F41">
              <w:rPr>
                <w:rFonts w:ascii="Calibri" w:eastAsia="Times New Roman" w:hAnsi="Calibri" w:cs="Calibri"/>
                <w:color w:val="000000" w:themeColor="text1"/>
                <w:lang w:eastAsia="en-IN"/>
              </w:rPr>
              <w:t>Key Metrics for Cash Flow</w:t>
            </w:r>
            <w:r w:rsidRPr="00DE0F41">
              <w:rPr>
                <w:rFonts w:ascii="Calibri" w:eastAsia="Times New Roman" w:hAnsi="Calibri" w:cs="Calibri"/>
                <w:color w:val="000000" w:themeColor="text1"/>
                <w:lang w:eastAsia="en-IN"/>
              </w:rPr>
              <w:br/>
            </w:r>
            <w:r w:rsidRPr="00DE0F41">
              <w:rPr>
                <w:rFonts w:ascii="Calibri" w:eastAsia="Times New Roman" w:hAnsi="Calibri" w:cs="Calibri"/>
                <w:color w:val="000000"/>
                <w:lang w:eastAsia="en-IN"/>
              </w:rPr>
              <w:t>(€ million) or % Change over previous year</w:t>
            </w:r>
          </w:p>
        </w:tc>
        <w:tc>
          <w:tcPr>
            <w:tcW w:w="1109" w:type="dxa"/>
            <w:noWrap/>
            <w:hideMark/>
          </w:tcPr>
          <w:p w:rsidR="00DE0F41" w:rsidRPr="00DE0F41" w:rsidRDefault="00DE0F41" w:rsidP="009958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lang w:eastAsia="en-IN"/>
              </w:rPr>
            </w:pPr>
            <w:proofErr w:type="spellStart"/>
            <w:r w:rsidRPr="00DE0F41">
              <w:rPr>
                <w:rFonts w:ascii="Calibri" w:eastAsia="Times New Roman" w:hAnsi="Calibri" w:cs="Calibri"/>
                <w:color w:val="000000" w:themeColor="text1"/>
                <w:lang w:eastAsia="en-IN"/>
              </w:rPr>
              <w:t>Morrisons</w:t>
            </w:r>
            <w:proofErr w:type="spellEnd"/>
            <w:r w:rsidRPr="00DE0F41">
              <w:rPr>
                <w:rFonts w:ascii="Calibri" w:eastAsia="Times New Roman" w:hAnsi="Calibri" w:cs="Calibri"/>
                <w:color w:val="000000" w:themeColor="text1"/>
                <w:lang w:eastAsia="en-IN"/>
              </w:rPr>
              <w:t xml:space="preserve"> (FY/19)</w:t>
            </w:r>
          </w:p>
        </w:tc>
        <w:tc>
          <w:tcPr>
            <w:tcW w:w="1020" w:type="dxa"/>
            <w:noWrap/>
            <w:hideMark/>
          </w:tcPr>
          <w:p w:rsidR="00DE0F41" w:rsidRPr="00DE0F41" w:rsidRDefault="00DE0F41" w:rsidP="009958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lang w:eastAsia="en-IN"/>
              </w:rPr>
            </w:pPr>
            <w:r w:rsidRPr="00DE0F41">
              <w:rPr>
                <w:rFonts w:ascii="Calibri" w:eastAsia="Times New Roman" w:hAnsi="Calibri" w:cs="Calibri"/>
                <w:color w:val="000000" w:themeColor="text1"/>
                <w:lang w:eastAsia="en-IN"/>
              </w:rPr>
              <w:t>Tesco Plc (FY/19)</w:t>
            </w:r>
          </w:p>
        </w:tc>
        <w:tc>
          <w:tcPr>
            <w:tcW w:w="1629" w:type="dxa"/>
            <w:noWrap/>
            <w:hideMark/>
          </w:tcPr>
          <w:p w:rsidR="00DE0F41" w:rsidRPr="00DE0F41" w:rsidRDefault="00DE0F41" w:rsidP="009958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lang w:eastAsia="en-IN"/>
              </w:rPr>
            </w:pPr>
            <w:proofErr w:type="spellStart"/>
            <w:r w:rsidRPr="00DE0F41">
              <w:rPr>
                <w:rFonts w:ascii="Calibri" w:eastAsia="Times New Roman" w:hAnsi="Calibri" w:cs="Calibri"/>
                <w:color w:val="000000" w:themeColor="text1"/>
                <w:lang w:eastAsia="en-IN"/>
              </w:rPr>
              <w:t>Alhord</w:t>
            </w:r>
            <w:proofErr w:type="spellEnd"/>
            <w:r w:rsidRPr="00DE0F41">
              <w:rPr>
                <w:rFonts w:ascii="Calibri" w:eastAsia="Times New Roman" w:hAnsi="Calibri" w:cs="Calibri"/>
                <w:color w:val="000000" w:themeColor="text1"/>
                <w:lang w:eastAsia="en-IN"/>
              </w:rPr>
              <w:t xml:space="preserve"> Delhaize(Q1/19)</w:t>
            </w:r>
          </w:p>
        </w:tc>
        <w:tc>
          <w:tcPr>
            <w:tcW w:w="916" w:type="dxa"/>
            <w:noWrap/>
            <w:hideMark/>
          </w:tcPr>
          <w:p w:rsidR="00DE0F41" w:rsidRPr="00DE0F41" w:rsidRDefault="00DE0F41" w:rsidP="009958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lang w:eastAsia="en-IN"/>
              </w:rPr>
            </w:pPr>
            <w:r w:rsidRPr="00DE0F41">
              <w:rPr>
                <w:rFonts w:ascii="Calibri" w:eastAsia="Times New Roman" w:hAnsi="Calibri" w:cs="Calibri"/>
                <w:color w:val="000000" w:themeColor="text1"/>
                <w:lang w:eastAsia="en-IN"/>
              </w:rPr>
              <w:t xml:space="preserve">Casino </w:t>
            </w:r>
            <w:proofErr w:type="spellStart"/>
            <w:r w:rsidRPr="00DE0F41">
              <w:rPr>
                <w:rFonts w:ascii="Calibri" w:eastAsia="Times New Roman" w:hAnsi="Calibri" w:cs="Calibri"/>
                <w:color w:val="000000" w:themeColor="text1"/>
                <w:lang w:eastAsia="en-IN"/>
              </w:rPr>
              <w:t>Groupe</w:t>
            </w:r>
            <w:proofErr w:type="spellEnd"/>
            <w:r w:rsidRPr="00DE0F41">
              <w:rPr>
                <w:rFonts w:ascii="Calibri" w:eastAsia="Times New Roman" w:hAnsi="Calibri" w:cs="Calibri"/>
                <w:color w:val="000000" w:themeColor="text1"/>
                <w:lang w:eastAsia="en-IN"/>
              </w:rPr>
              <w:t xml:space="preserve"> (H1/19)</w:t>
            </w:r>
          </w:p>
        </w:tc>
      </w:tr>
      <w:tr w:rsidR="00DE0F41" w:rsidRPr="00DE0F41" w:rsidTr="009958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0" w:type="dxa"/>
            <w:noWrap/>
            <w:hideMark/>
          </w:tcPr>
          <w:p w:rsidR="00DE0F41" w:rsidRPr="00DE0F41" w:rsidRDefault="00DE0F41" w:rsidP="0099584A">
            <w:pPr>
              <w:rPr>
                <w:rFonts w:ascii="Calibri" w:eastAsia="Times New Roman" w:hAnsi="Calibri" w:cs="Calibri"/>
                <w:color w:val="000000" w:themeColor="text1"/>
                <w:lang w:eastAsia="en-IN"/>
              </w:rPr>
            </w:pPr>
            <w:r w:rsidRPr="00DE0F41">
              <w:rPr>
                <w:rFonts w:ascii="Calibri" w:eastAsia="Times New Roman" w:hAnsi="Calibri" w:cs="Calibri"/>
                <w:color w:val="000000" w:themeColor="text1"/>
                <w:lang w:eastAsia="en-IN"/>
              </w:rPr>
              <w:t>CFO</w:t>
            </w:r>
          </w:p>
        </w:tc>
        <w:tc>
          <w:tcPr>
            <w:tcW w:w="1109" w:type="dxa"/>
            <w:noWrap/>
            <w:hideMark/>
          </w:tcPr>
          <w:p w:rsidR="00DE0F41" w:rsidRPr="00DE0F41" w:rsidRDefault="00DE0F41" w:rsidP="009958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lang w:eastAsia="en-IN"/>
              </w:rPr>
            </w:pPr>
            <w:r w:rsidRPr="00DE0F41">
              <w:rPr>
                <w:rFonts w:ascii="Calibri" w:eastAsia="Times New Roman" w:hAnsi="Calibri" w:cs="Calibri"/>
                <w:color w:val="000000" w:themeColor="text1"/>
                <w:lang w:eastAsia="en-IN"/>
              </w:rPr>
              <w:t>16%</w:t>
            </w:r>
          </w:p>
        </w:tc>
        <w:tc>
          <w:tcPr>
            <w:tcW w:w="1020" w:type="dxa"/>
            <w:noWrap/>
            <w:hideMark/>
          </w:tcPr>
          <w:p w:rsidR="00DE0F41" w:rsidRPr="00DE0F41" w:rsidRDefault="00DE0F41" w:rsidP="009958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lang w:eastAsia="en-IN"/>
              </w:rPr>
            </w:pPr>
            <w:r w:rsidRPr="00DE0F41">
              <w:rPr>
                <w:rFonts w:ascii="Calibri" w:eastAsia="Times New Roman" w:hAnsi="Calibri" w:cs="Calibri"/>
                <w:color w:val="000000" w:themeColor="text1"/>
                <w:lang w:eastAsia="en-IN"/>
              </w:rPr>
              <w:t>18.2%</w:t>
            </w:r>
          </w:p>
        </w:tc>
        <w:tc>
          <w:tcPr>
            <w:tcW w:w="1629" w:type="dxa"/>
            <w:noWrap/>
            <w:hideMark/>
          </w:tcPr>
          <w:p w:rsidR="00DE0F41" w:rsidRPr="00DE0F41" w:rsidRDefault="00DE0F41" w:rsidP="009958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lang w:eastAsia="en-IN"/>
              </w:rPr>
            </w:pPr>
            <w:r w:rsidRPr="00DE0F41">
              <w:rPr>
                <w:rFonts w:ascii="Calibri" w:eastAsia="Times New Roman" w:hAnsi="Calibri" w:cs="Calibri"/>
                <w:color w:val="000000" w:themeColor="text1"/>
                <w:lang w:eastAsia="en-IN"/>
              </w:rPr>
              <w:t>-1.0%</w:t>
            </w:r>
          </w:p>
        </w:tc>
        <w:tc>
          <w:tcPr>
            <w:tcW w:w="916" w:type="dxa"/>
            <w:noWrap/>
            <w:hideMark/>
          </w:tcPr>
          <w:p w:rsidR="00DE0F41" w:rsidRPr="00DE0F41" w:rsidRDefault="00DE0F41" w:rsidP="009958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lang w:eastAsia="en-IN"/>
              </w:rPr>
            </w:pPr>
            <w:r w:rsidRPr="00DE0F41">
              <w:rPr>
                <w:rFonts w:ascii="Calibri" w:eastAsia="Times New Roman" w:hAnsi="Calibri" w:cs="Calibri"/>
                <w:color w:val="000000" w:themeColor="text1"/>
                <w:lang w:eastAsia="en-IN"/>
              </w:rPr>
              <w:t>-14%</w:t>
            </w:r>
          </w:p>
        </w:tc>
      </w:tr>
      <w:tr w:rsidR="00DE0F41" w:rsidRPr="00DE0F41" w:rsidTr="0099584A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0" w:type="dxa"/>
            <w:noWrap/>
            <w:hideMark/>
          </w:tcPr>
          <w:p w:rsidR="00DE0F41" w:rsidRPr="00DE0F41" w:rsidRDefault="00DE0F41" w:rsidP="0099584A">
            <w:pPr>
              <w:rPr>
                <w:rFonts w:ascii="Calibri" w:eastAsia="Times New Roman" w:hAnsi="Calibri" w:cs="Calibri"/>
                <w:color w:val="000000" w:themeColor="text1"/>
                <w:lang w:eastAsia="en-IN"/>
              </w:rPr>
            </w:pPr>
            <w:r w:rsidRPr="00DE0F41">
              <w:rPr>
                <w:rFonts w:ascii="Calibri" w:eastAsia="Times New Roman" w:hAnsi="Calibri" w:cs="Calibri"/>
                <w:color w:val="000000" w:themeColor="text1"/>
                <w:lang w:eastAsia="en-IN"/>
              </w:rPr>
              <w:t>Lease Payment</w:t>
            </w:r>
          </w:p>
        </w:tc>
        <w:tc>
          <w:tcPr>
            <w:tcW w:w="1109" w:type="dxa"/>
            <w:noWrap/>
            <w:hideMark/>
          </w:tcPr>
          <w:p w:rsidR="00DE0F41" w:rsidRPr="00DE0F41" w:rsidRDefault="00DE0F41" w:rsidP="009958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lang w:eastAsia="en-IN"/>
              </w:rPr>
            </w:pPr>
            <w:r w:rsidRPr="00DE0F41">
              <w:rPr>
                <w:rFonts w:ascii="Calibri" w:eastAsia="Times New Roman" w:hAnsi="Calibri" w:cs="Calibri"/>
                <w:color w:val="000000" w:themeColor="text1"/>
                <w:lang w:eastAsia="en-IN"/>
              </w:rPr>
              <w:t>122%</w:t>
            </w:r>
          </w:p>
        </w:tc>
        <w:tc>
          <w:tcPr>
            <w:tcW w:w="1020" w:type="dxa"/>
            <w:noWrap/>
            <w:hideMark/>
          </w:tcPr>
          <w:p w:rsidR="00DE0F41" w:rsidRPr="00DE0F41" w:rsidRDefault="00DE0F41" w:rsidP="009958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lang w:eastAsia="en-IN"/>
              </w:rPr>
            </w:pPr>
            <w:r w:rsidRPr="00DE0F41">
              <w:rPr>
                <w:rFonts w:ascii="Calibri" w:eastAsia="Times New Roman" w:hAnsi="Calibri" w:cs="Calibri"/>
                <w:color w:val="000000" w:themeColor="text1"/>
                <w:lang w:eastAsia="en-IN"/>
              </w:rPr>
              <w:t>193.3%</w:t>
            </w:r>
          </w:p>
        </w:tc>
        <w:tc>
          <w:tcPr>
            <w:tcW w:w="1629" w:type="dxa"/>
            <w:noWrap/>
            <w:hideMark/>
          </w:tcPr>
          <w:p w:rsidR="00DE0F41" w:rsidRPr="00DE0F41" w:rsidRDefault="00DE0F41" w:rsidP="009958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lang w:eastAsia="en-IN"/>
              </w:rPr>
            </w:pPr>
            <w:r w:rsidRPr="00DE0F41">
              <w:rPr>
                <w:rFonts w:ascii="Calibri" w:eastAsia="Times New Roman" w:hAnsi="Calibri" w:cs="Calibri"/>
                <w:color w:val="000000" w:themeColor="text1"/>
                <w:lang w:eastAsia="en-IN"/>
              </w:rPr>
              <w:t>-44.4%</w:t>
            </w:r>
          </w:p>
        </w:tc>
        <w:tc>
          <w:tcPr>
            <w:tcW w:w="916" w:type="dxa"/>
            <w:noWrap/>
            <w:hideMark/>
          </w:tcPr>
          <w:p w:rsidR="00DE0F41" w:rsidRPr="00DE0F41" w:rsidRDefault="00DE0F41" w:rsidP="009958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lang w:eastAsia="en-IN"/>
              </w:rPr>
            </w:pPr>
            <w:r w:rsidRPr="00DE0F41">
              <w:rPr>
                <w:rFonts w:ascii="Calibri" w:eastAsia="Times New Roman" w:hAnsi="Calibri" w:cs="Calibri"/>
                <w:color w:val="000000" w:themeColor="text1"/>
                <w:lang w:eastAsia="en-IN"/>
              </w:rPr>
              <w:t>35%</w:t>
            </w:r>
          </w:p>
        </w:tc>
      </w:tr>
      <w:tr w:rsidR="00DE0F41" w:rsidRPr="00DE0F41" w:rsidTr="009958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0" w:type="dxa"/>
            <w:noWrap/>
            <w:hideMark/>
          </w:tcPr>
          <w:p w:rsidR="00DE0F41" w:rsidRPr="00DE0F41" w:rsidRDefault="00DE0F41" w:rsidP="0099584A">
            <w:pPr>
              <w:rPr>
                <w:rFonts w:ascii="Calibri" w:eastAsia="Times New Roman" w:hAnsi="Calibri" w:cs="Calibri"/>
                <w:color w:val="000000" w:themeColor="text1"/>
                <w:lang w:eastAsia="en-IN"/>
              </w:rPr>
            </w:pPr>
            <w:r w:rsidRPr="00DE0F41">
              <w:rPr>
                <w:rFonts w:ascii="Calibri" w:eastAsia="Times New Roman" w:hAnsi="Calibri" w:cs="Calibri"/>
                <w:color w:val="000000" w:themeColor="text1"/>
                <w:lang w:eastAsia="en-IN"/>
              </w:rPr>
              <w:t>Repayment of New or Extra Lease Obligations under IFRS 16</w:t>
            </w:r>
          </w:p>
        </w:tc>
        <w:tc>
          <w:tcPr>
            <w:tcW w:w="1109" w:type="dxa"/>
            <w:noWrap/>
            <w:hideMark/>
          </w:tcPr>
          <w:p w:rsidR="00DE0F41" w:rsidRPr="00DE0F41" w:rsidRDefault="00DE0F41" w:rsidP="009958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lang w:eastAsia="en-IN"/>
              </w:rPr>
            </w:pPr>
            <w:r w:rsidRPr="00DE0F41">
              <w:rPr>
                <w:rFonts w:ascii="Calibri" w:eastAsia="Times New Roman" w:hAnsi="Calibri" w:cs="Calibri"/>
                <w:color w:val="000000" w:themeColor="text1"/>
                <w:lang w:eastAsia="en-IN"/>
              </w:rPr>
              <w:t>+69</w:t>
            </w:r>
          </w:p>
        </w:tc>
        <w:tc>
          <w:tcPr>
            <w:tcW w:w="1020" w:type="dxa"/>
            <w:noWrap/>
            <w:hideMark/>
          </w:tcPr>
          <w:p w:rsidR="00DE0F41" w:rsidRPr="00DE0F41" w:rsidRDefault="00DE0F41" w:rsidP="009958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lang w:eastAsia="en-IN"/>
              </w:rPr>
            </w:pPr>
            <w:r w:rsidRPr="00DE0F41">
              <w:rPr>
                <w:rFonts w:ascii="Calibri" w:eastAsia="Times New Roman" w:hAnsi="Calibri" w:cs="Calibri"/>
                <w:color w:val="000000" w:themeColor="text1"/>
                <w:lang w:eastAsia="en-IN"/>
              </w:rPr>
              <w:t>+588</w:t>
            </w:r>
          </w:p>
        </w:tc>
        <w:tc>
          <w:tcPr>
            <w:tcW w:w="1629" w:type="dxa"/>
            <w:noWrap/>
            <w:hideMark/>
          </w:tcPr>
          <w:p w:rsidR="00DE0F41" w:rsidRPr="00DE0F41" w:rsidRDefault="00DE0F41" w:rsidP="009958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lang w:eastAsia="en-IN"/>
              </w:rPr>
            </w:pPr>
            <w:r w:rsidRPr="00DE0F41">
              <w:rPr>
                <w:rFonts w:ascii="Calibri" w:eastAsia="Times New Roman" w:hAnsi="Calibri" w:cs="Calibri"/>
                <w:color w:val="000000" w:themeColor="text1"/>
                <w:lang w:eastAsia="en-IN"/>
              </w:rPr>
              <w:t>+320</w:t>
            </w:r>
          </w:p>
        </w:tc>
        <w:tc>
          <w:tcPr>
            <w:tcW w:w="916" w:type="dxa"/>
            <w:noWrap/>
            <w:hideMark/>
          </w:tcPr>
          <w:p w:rsidR="00DE0F41" w:rsidRPr="00DE0F41" w:rsidRDefault="00DE0F41" w:rsidP="009958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lang w:eastAsia="en-IN"/>
              </w:rPr>
            </w:pPr>
            <w:r w:rsidRPr="00DE0F41">
              <w:rPr>
                <w:rFonts w:ascii="Calibri" w:eastAsia="Times New Roman" w:hAnsi="Calibri" w:cs="Calibri"/>
                <w:color w:val="000000" w:themeColor="text1"/>
                <w:lang w:eastAsia="en-IN"/>
              </w:rPr>
              <w:t>+343</w:t>
            </w:r>
          </w:p>
        </w:tc>
      </w:tr>
    </w:tbl>
    <w:p w:rsidR="00DE0F41" w:rsidRPr="00DE0F41" w:rsidRDefault="00DE0F41" w:rsidP="00DE0F41">
      <w:pPr>
        <w:rPr>
          <w:rFonts w:ascii="Calibri" w:hAnsi="Calibri" w:cs="Calibri"/>
          <w:b/>
          <w:sz w:val="32"/>
        </w:rPr>
      </w:pPr>
      <w:r w:rsidRPr="00DE0F41">
        <w:rPr>
          <w:rFonts w:ascii="Calibri" w:hAnsi="Calibri" w:cs="Calibri"/>
          <w:b/>
          <w:sz w:val="32"/>
        </w:rPr>
        <w:t>Cash Flow Observations</w:t>
      </w:r>
    </w:p>
    <w:p w:rsidR="00DE0F41" w:rsidRPr="00DE0F41" w:rsidRDefault="00DE0F41" w:rsidP="00DE0F41">
      <w:pPr>
        <w:rPr>
          <w:rFonts w:ascii="Calibri" w:hAnsi="Calibri" w:cs="Calibri"/>
          <w:sz w:val="32"/>
        </w:rPr>
      </w:pPr>
      <w:proofErr w:type="gramStart"/>
      <w:r w:rsidRPr="00DE0F41">
        <w:rPr>
          <w:rFonts w:ascii="Calibri" w:hAnsi="Calibri" w:cs="Calibri"/>
          <w:sz w:val="32"/>
        </w:rPr>
        <w:t>1.An</w:t>
      </w:r>
      <w:proofErr w:type="gramEnd"/>
      <w:r w:rsidRPr="00DE0F41">
        <w:rPr>
          <w:rFonts w:ascii="Calibri" w:hAnsi="Calibri" w:cs="Calibri"/>
          <w:sz w:val="32"/>
        </w:rPr>
        <w:t xml:space="preserve"> Decrease/Increase in the CF from Operations can be attributed to the payment for leases which were earlier made under the Core Operating Expenses</w:t>
      </w:r>
    </w:p>
    <w:p w:rsidR="00DE0F41" w:rsidRPr="00DE0F41" w:rsidRDefault="00DE0F41" w:rsidP="00DE0F41">
      <w:pPr>
        <w:rPr>
          <w:rFonts w:ascii="Calibri" w:hAnsi="Calibri" w:cs="Calibri"/>
          <w:sz w:val="32"/>
        </w:rPr>
      </w:pPr>
      <w:proofErr w:type="gramStart"/>
      <w:r w:rsidRPr="00DE0F41">
        <w:rPr>
          <w:rFonts w:ascii="Calibri" w:hAnsi="Calibri" w:cs="Calibri"/>
          <w:sz w:val="32"/>
        </w:rPr>
        <w:t>2.An</w:t>
      </w:r>
      <w:proofErr w:type="gramEnd"/>
      <w:r w:rsidRPr="00DE0F41">
        <w:rPr>
          <w:rFonts w:ascii="Calibri" w:hAnsi="Calibri" w:cs="Calibri"/>
          <w:sz w:val="32"/>
        </w:rPr>
        <w:t xml:space="preserve"> Increase in the Lease Payments amount is because of the IFRS 16 leases expense recognition clauses</w:t>
      </w:r>
    </w:p>
    <w:p w:rsidR="00DE0F41" w:rsidRPr="00DE0F41" w:rsidRDefault="00DE0F41" w:rsidP="00DE0F41">
      <w:pPr>
        <w:rPr>
          <w:rFonts w:ascii="Calibri" w:hAnsi="Calibri" w:cs="Calibri"/>
          <w:sz w:val="32"/>
        </w:rPr>
      </w:pPr>
      <w:proofErr w:type="gramStart"/>
      <w:r w:rsidRPr="00DE0F41">
        <w:rPr>
          <w:rFonts w:ascii="Calibri" w:hAnsi="Calibri" w:cs="Calibri"/>
          <w:sz w:val="32"/>
        </w:rPr>
        <w:t>3.Extra</w:t>
      </w:r>
      <w:proofErr w:type="gramEnd"/>
      <w:r w:rsidRPr="00DE0F41">
        <w:rPr>
          <w:rFonts w:ascii="Calibri" w:hAnsi="Calibri" w:cs="Calibri"/>
          <w:sz w:val="32"/>
        </w:rPr>
        <w:t xml:space="preserve"> Lease Obligation has been added in the CFS of every company as an impact of IFRS 16.</w:t>
      </w:r>
    </w:p>
    <w:p w:rsidR="00723622" w:rsidRDefault="00DE0F41" w:rsidP="00DE0F41">
      <w:pPr>
        <w:rPr>
          <w:rFonts w:ascii="Calibri" w:hAnsi="Calibri" w:cs="Calibri"/>
          <w:b/>
          <w:sz w:val="32"/>
        </w:rPr>
      </w:pPr>
      <w:r w:rsidRPr="00DE0F41">
        <w:rPr>
          <w:rFonts w:ascii="Calibri" w:hAnsi="Calibri" w:cs="Calibri"/>
          <w:b/>
          <w:sz w:val="32"/>
        </w:rPr>
        <w:br/>
      </w:r>
    </w:p>
    <w:p w:rsidR="00DE0F41" w:rsidRPr="00DE0F41" w:rsidRDefault="00DE0F41" w:rsidP="00DE0F41">
      <w:pPr>
        <w:rPr>
          <w:rFonts w:ascii="Calibri" w:hAnsi="Calibri" w:cs="Calibri"/>
          <w:b/>
          <w:sz w:val="32"/>
        </w:rPr>
      </w:pPr>
      <w:r w:rsidRPr="00DE0F41">
        <w:rPr>
          <w:rFonts w:ascii="Calibri" w:hAnsi="Calibri" w:cs="Calibri"/>
          <w:b/>
          <w:sz w:val="32"/>
        </w:rPr>
        <w:lastRenderedPageBreak/>
        <w:t>Income Statement Observations</w:t>
      </w:r>
    </w:p>
    <w:p w:rsidR="00DE0F41" w:rsidRPr="00DE0F41" w:rsidRDefault="00DE0F41" w:rsidP="00DE0F41">
      <w:pPr>
        <w:pStyle w:val="ListParagraph"/>
        <w:numPr>
          <w:ilvl w:val="0"/>
          <w:numId w:val="8"/>
        </w:numPr>
        <w:rPr>
          <w:rFonts w:ascii="Calibri" w:hAnsi="Calibri" w:cs="Calibri"/>
          <w:sz w:val="32"/>
        </w:rPr>
      </w:pPr>
      <w:r w:rsidRPr="00DE0F41">
        <w:rPr>
          <w:rFonts w:ascii="Calibri" w:hAnsi="Calibri" w:cs="Calibri"/>
          <w:sz w:val="32"/>
        </w:rPr>
        <w:t xml:space="preserve">No Impact on Revenue </w:t>
      </w:r>
    </w:p>
    <w:p w:rsidR="00DE0F41" w:rsidRPr="00DE0F41" w:rsidRDefault="00DE0F41" w:rsidP="00DE0F41">
      <w:pPr>
        <w:pStyle w:val="ListParagraph"/>
        <w:numPr>
          <w:ilvl w:val="0"/>
          <w:numId w:val="8"/>
        </w:numPr>
        <w:rPr>
          <w:rFonts w:ascii="Calibri" w:hAnsi="Calibri" w:cs="Calibri"/>
          <w:sz w:val="32"/>
        </w:rPr>
      </w:pPr>
      <w:r w:rsidRPr="00DE0F41">
        <w:rPr>
          <w:rFonts w:ascii="Calibri" w:hAnsi="Calibri" w:cs="Calibri"/>
          <w:sz w:val="32"/>
        </w:rPr>
        <w:t>As observed by the table ,COGS have been reduced by a -1% to 0.24% range ,which can be used to draw a conclusion that would also follow to a higher G/P number which may lead to better Margins for majority of the players.</w:t>
      </w:r>
    </w:p>
    <w:p w:rsidR="00DE0F41" w:rsidRPr="00DE0F41" w:rsidRDefault="00DE0F41" w:rsidP="00DE0F41">
      <w:pPr>
        <w:pStyle w:val="ListParagraph"/>
        <w:numPr>
          <w:ilvl w:val="0"/>
          <w:numId w:val="8"/>
        </w:numPr>
        <w:rPr>
          <w:rFonts w:ascii="Calibri" w:hAnsi="Calibri" w:cs="Calibri"/>
          <w:sz w:val="32"/>
        </w:rPr>
      </w:pPr>
      <w:r w:rsidRPr="00DE0F41">
        <w:rPr>
          <w:rFonts w:ascii="Calibri" w:hAnsi="Calibri" w:cs="Calibri"/>
          <w:sz w:val="32"/>
        </w:rPr>
        <w:t>Operating Profit has increased from 8.5% to 25.7% ,as an impact of  Lease as an expenses removed from the Operating Expenses which leads to high Operating Margins</w:t>
      </w:r>
    </w:p>
    <w:p w:rsidR="00DE0F41" w:rsidRPr="00DE0F41" w:rsidRDefault="00DE0F41" w:rsidP="00DE0F41">
      <w:pPr>
        <w:pStyle w:val="ListParagraph"/>
        <w:numPr>
          <w:ilvl w:val="0"/>
          <w:numId w:val="8"/>
        </w:numPr>
        <w:rPr>
          <w:rFonts w:ascii="Calibri" w:hAnsi="Calibri" w:cs="Calibri"/>
          <w:sz w:val="32"/>
        </w:rPr>
      </w:pPr>
      <w:r w:rsidRPr="00DE0F41">
        <w:rPr>
          <w:rFonts w:ascii="Calibri" w:hAnsi="Calibri" w:cs="Calibri"/>
          <w:sz w:val="32"/>
        </w:rPr>
        <w:t>Finance Cost and Income has seen an increase because of the firms accounting lease payments received or expensed under this head which were earlier kept off balance sheet.</w:t>
      </w:r>
    </w:p>
    <w:p w:rsidR="00E7783A" w:rsidRPr="00DE0F41" w:rsidRDefault="00E7783A" w:rsidP="009F0A1D">
      <w:pPr>
        <w:rPr>
          <w:rFonts w:ascii="Calibri" w:hAnsi="Calibri" w:cs="Calibri"/>
          <w:sz w:val="32"/>
        </w:rPr>
      </w:pPr>
    </w:p>
    <w:sectPr w:rsidR="00E7783A" w:rsidRPr="00DE0F41" w:rsidSect="008D4B08">
      <w:pgSz w:w="11906" w:h="16838"/>
      <w:pgMar w:top="1440" w:right="1440" w:bottom="1440" w:left="1440" w:header="708" w:footer="708" w:gutter="0"/>
      <w:pgBorders w:offsetFrom="page">
        <w:top w:val="doubleWave" w:sz="6" w:space="24" w:color="auto"/>
        <w:left w:val="doubleWave" w:sz="6" w:space="24" w:color="auto"/>
        <w:bottom w:val="doubleWave" w:sz="6" w:space="24" w:color="auto"/>
        <w:right w:val="doubleWave" w:sz="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22933"/>
    <w:multiLevelType w:val="hybridMultilevel"/>
    <w:tmpl w:val="8058407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BF3608"/>
    <w:multiLevelType w:val="hybridMultilevel"/>
    <w:tmpl w:val="3F7A7D1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674AAE"/>
    <w:multiLevelType w:val="hybridMultilevel"/>
    <w:tmpl w:val="4EA68E3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786B44"/>
    <w:multiLevelType w:val="hybridMultilevel"/>
    <w:tmpl w:val="91C604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AF83A7E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0B1F04"/>
    <w:multiLevelType w:val="hybridMultilevel"/>
    <w:tmpl w:val="1B0ABE5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0076EF"/>
    <w:multiLevelType w:val="hybridMultilevel"/>
    <w:tmpl w:val="1CBCC77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69537F"/>
    <w:multiLevelType w:val="hybridMultilevel"/>
    <w:tmpl w:val="9F56220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0AA4842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D52DF1"/>
    <w:multiLevelType w:val="hybridMultilevel"/>
    <w:tmpl w:val="9A36713E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6"/>
  </w:num>
  <w:num w:numId="5">
    <w:abstractNumId w:val="2"/>
  </w:num>
  <w:num w:numId="6">
    <w:abstractNumId w:val="7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937"/>
    <w:rsid w:val="00316A5A"/>
    <w:rsid w:val="00392523"/>
    <w:rsid w:val="00407DF0"/>
    <w:rsid w:val="006B48B9"/>
    <w:rsid w:val="00723622"/>
    <w:rsid w:val="008A325D"/>
    <w:rsid w:val="008D4B08"/>
    <w:rsid w:val="009F0A1D"/>
    <w:rsid w:val="009F26C8"/>
    <w:rsid w:val="00BD5E60"/>
    <w:rsid w:val="00D33ABB"/>
    <w:rsid w:val="00DE0F41"/>
    <w:rsid w:val="00E7783A"/>
    <w:rsid w:val="00FD0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E1460"/>
  <w15:chartTrackingRefBased/>
  <w15:docId w15:val="{3550AADA-2A00-429F-912C-3F6538C38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4B0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325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F0A1D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9F0A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GridTable4-Accent1">
    <w:name w:val="Grid Table 4 Accent 1"/>
    <w:basedOn w:val="TableNormal"/>
    <w:uiPriority w:val="49"/>
    <w:rsid w:val="00DE0F4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986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7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7</Pages>
  <Words>1417</Words>
  <Characters>8080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Utkarsh Chaudhary</dc:creator>
  <cp:keywords/>
  <dc:description/>
  <cp:lastModifiedBy>Utkarsh Chaudhary</cp:lastModifiedBy>
  <cp:revision>10</cp:revision>
  <dcterms:created xsi:type="dcterms:W3CDTF">2019-08-04T14:24:00Z</dcterms:created>
  <dcterms:modified xsi:type="dcterms:W3CDTF">2019-08-04T15:48:00Z</dcterms:modified>
</cp:coreProperties>
</file>