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0f9b8e"/>
          <w:sz w:val="26"/>
          <w:szCs w:val="26"/>
        </w:rPr>
        <w:t xml:space="preserve">DESCRIPTIVE ANALYTICS REPORT</w:t>
      </w:r>
    </w:p>
    <w:p>
      <w:pPr>
        <w:spacing w:after="300"/>
        <w:jc w:val="center"/>
      </w:pPr>
      <w:r>
        <w:rPr>
          <w:b/>
          <w:bCs/>
          <w:color w:val="1a2744"/>
          <w:sz w:val="48"/>
          <w:szCs w:val="48"/>
        </w:rPr>
        <w:t xml:space="preserve">Uber Ride Bookings — National Capital Region</w:t>
      </w:r>
    </w:p>
    <w:p>
      <w:pPr>
        <w:spacing w:after="800"/>
        <w:jc w:val="center"/>
      </w:pPr>
      <w:r>
        <w:rPr>
          <w:i/>
          <w:iCs/>
          <w:color w:val="6b7280"/>
          <w:sz w:val="24"/>
          <w:szCs w:val="24"/>
        </w:rPr>
        <w:t xml:space="preserve">Booking Volume, Cancellations, Ratings, Demand &amp; Vehicle-Type Performance — Full Year 2024</w:t>
      </w:r>
    </w:p>
    <w:p>
      <w:pPr>
        <w:spacing w:after="120"/>
        <w:jc w:val="center"/>
      </w:pPr>
      <w:r>
        <w:rPr>
          <w:color w:val="444444"/>
          <w:sz w:val="20"/>
          <w:szCs w:val="20"/>
        </w:rPr>
        <w:t xml:space="preserve">Dataset: ncr_ride_bookings.csv  •  150,000 bookings  •  Jan – Dec 2024</w:t>
      </w:r>
    </w:p>
    <w:p>
      <w:pPr>
        <w:spacing w:after="120"/>
        <w:jc w:val="center"/>
      </w:pPr>
      <w:r>
        <w:rPr>
          <w:color w:val="444444"/>
          <w:sz w:val="20"/>
          <w:szCs w:val="20"/>
        </w:rPr>
        <w:t xml:space="preserve">Currency: figures reported in USD (converted at $1 = ₹95.30)</w:t>
      </w:r>
    </w:p>
    <w:p>
      <w:pPr>
        <w:jc w:val="center"/>
      </w:pPr>
      <w:r>
        <w:rPr>
          <w:color w:val="444444"/>
          <w:sz w:val="20"/>
          <w:szCs w:val="20"/>
        </w:rPr>
        <w:t xml:space="preserve">Prepared: August 2026</w:t>
      </w:r>
    </w:p>
    <w:p>
      <w:r>
        <w:br w:type="page"/>
      </w:r>
    </w:p>
    <w:p>
      <w:pPr>
        <w:pStyle w:val="Heading1"/>
        <w:spacing w:after="160" w:before="360"/>
      </w:pPr>
      <w:r>
        <w:rPr>
          <w:b/>
          <w:bCs/>
          <w:color w:val="1a2744"/>
        </w:rPr>
        <w:t xml:space="preserve">Table of Contents</w:t>
      </w:r>
    </w:p>
    <w:p>
      <w:pPr>
        <w:spacing w:after="130"/>
      </w:pPr>
      <w:r>
        <w:rPr>
          <w:color w:val="222222"/>
          <w:sz w:val="21"/>
          <w:szCs w:val="21"/>
        </w:rPr>
        <w:t xml:space="preserve">1. Objective</w:t>
      </w:r>
    </w:p>
    <w:p>
      <w:pPr>
        <w:spacing w:after="130"/>
      </w:pPr>
      <w:r>
        <w:rPr>
          <w:color w:val="222222"/>
          <w:sz w:val="21"/>
          <w:szCs w:val="21"/>
        </w:rPr>
        <w:t xml:space="preserve">2. Data Dictionary &amp; Methodology</w:t>
      </w:r>
    </w:p>
    <w:p>
      <w:pPr>
        <w:spacing w:after="130"/>
      </w:pPr>
      <w:r>
        <w:rPr>
          <w:color w:val="222222"/>
          <w:sz w:val="21"/>
          <w:szCs w:val="21"/>
        </w:rPr>
        <w:t xml:space="preserve">3. How This Would Work at Real Scale</w:t>
      </w:r>
    </w:p>
    <w:p>
      <w:pPr>
        <w:spacing w:after="130"/>
      </w:pPr>
      <w:r>
        <w:rPr>
          <w:color w:val="222222"/>
          <w:sz w:val="21"/>
          <w:szCs w:val="21"/>
        </w:rPr>
        <w:t xml:space="preserve">4. Answering the Objective Questions</w:t>
      </w:r>
    </w:p>
    <w:p>
      <w:pPr>
        <w:spacing w:after="130"/>
      </w:pPr>
      <w:r>
        <w:rPr>
          <w:color w:val="222222"/>
          <w:sz w:val="21"/>
          <w:szCs w:val="21"/>
        </w:rPr>
        <w:t xml:space="preserve">5. Daily Booking &amp; Revenue Trend</w:t>
      </w:r>
    </w:p>
    <w:p>
      <w:pPr>
        <w:spacing w:after="130"/>
      </w:pPr>
      <w:r>
        <w:rPr>
          <w:color w:val="222222"/>
          <w:sz w:val="21"/>
          <w:szCs w:val="21"/>
        </w:rPr>
        <w:t xml:space="preserve">6. Hourly Demand Pattern</w:t>
      </w:r>
    </w:p>
    <w:p>
      <w:pPr>
        <w:spacing w:after="130"/>
      </w:pPr>
      <w:r>
        <w:rPr>
          <w:color w:val="222222"/>
          <w:sz w:val="21"/>
          <w:szCs w:val="21"/>
        </w:rPr>
        <w:t xml:space="preserve">7. Best-Selling Vehicle Types</w:t>
      </w:r>
    </w:p>
    <w:p>
      <w:pPr>
        <w:spacing w:after="130"/>
      </w:pPr>
      <w:r>
        <w:rPr>
          <w:color w:val="222222"/>
          <w:sz w:val="21"/>
          <w:szCs w:val="21"/>
        </w:rPr>
        <w:t xml:space="preserve">8. Booking Status &amp; Funnel Health</w:t>
      </w:r>
    </w:p>
    <w:p>
      <w:pPr>
        <w:spacing w:after="130"/>
      </w:pPr>
      <w:r>
        <w:rPr>
          <w:color w:val="222222"/>
          <w:sz w:val="21"/>
          <w:szCs w:val="21"/>
        </w:rPr>
        <w:t xml:space="preserve">9. Rating Distribution</w:t>
      </w:r>
    </w:p>
    <w:p>
      <w:pPr>
        <w:spacing w:after="130"/>
      </w:pPr>
      <w:r>
        <w:rPr>
          <w:color w:val="222222"/>
          <w:sz w:val="21"/>
          <w:szCs w:val="21"/>
        </w:rPr>
        <w:t xml:space="preserve">10. Regional Demand</w:t>
      </w:r>
    </w:p>
    <w:p>
      <w:pPr>
        <w:spacing w:after="130"/>
      </w:pPr>
      <w:r>
        <w:rPr>
          <w:color w:val="222222"/>
          <w:sz w:val="21"/>
          <w:szCs w:val="21"/>
        </w:rPr>
        <w:t xml:space="preserve">11. Ride Distance &amp; Fare Distributions</w:t>
      </w:r>
    </w:p>
    <w:p>
      <w:pPr>
        <w:spacing w:after="130"/>
      </w:pPr>
      <w:r>
        <w:rPr>
          <w:color w:val="222222"/>
          <w:sz w:val="21"/>
          <w:szCs w:val="21"/>
        </w:rPr>
        <w:t xml:space="preserve">12. Why Rides Get Cancelled</w:t>
      </w:r>
    </w:p>
    <w:p>
      <w:pPr>
        <w:spacing w:after="130"/>
      </w:pPr>
      <w:r>
        <w:rPr>
          <w:color w:val="222222"/>
          <w:sz w:val="21"/>
          <w:szCs w:val="21"/>
        </w:rPr>
        <w:t xml:space="preserve">13. Service Time: Driver Arrival vs. Ride Completion</w:t>
      </w:r>
    </w:p>
    <w:p>
      <w:pPr>
        <w:spacing w:after="130"/>
      </w:pPr>
      <w:r>
        <w:rPr>
          <w:color w:val="222222"/>
          <w:sz w:val="21"/>
          <w:szCs w:val="21"/>
        </w:rPr>
        <w:t xml:space="preserve">14. Payment Method Mix</w:t>
      </w:r>
    </w:p>
    <w:p>
      <w:pPr>
        <w:spacing w:after="130"/>
      </w:pPr>
      <w:r>
        <w:rPr>
          <w:color w:val="222222"/>
          <w:sz w:val="21"/>
          <w:szCs w:val="21"/>
        </w:rPr>
        <w:t xml:space="preserve">15. Customer Base Overview</w:t>
      </w:r>
    </w:p>
    <w:p>
      <w:pPr>
        <w:spacing w:after="130"/>
      </w:pPr>
      <w:r>
        <w:rPr>
          <w:color w:val="222222"/>
          <w:sz w:val="21"/>
          <w:szCs w:val="21"/>
        </w:rPr>
        <w:t xml:space="preserve">16. Summary of Key Metrics</w:t>
      </w:r>
    </w:p>
    <w:p>
      <w:pPr>
        <w:spacing w:after="130"/>
      </w:pPr>
      <w:r>
        <w:rPr>
          <w:color w:val="222222"/>
          <w:sz w:val="21"/>
          <w:szCs w:val="21"/>
        </w:rPr>
        <w:t xml:space="preserve">17. Limitations &amp; Data Notes</w:t>
      </w:r>
    </w:p>
    <w:p>
      <w:pPr>
        <w:spacing w:after="130"/>
      </w:pPr>
      <w:r>
        <w:rPr>
          <w:color w:val="222222"/>
          <w:sz w:val="21"/>
          <w:szCs w:val="21"/>
        </w:rPr>
        <w:t xml:space="preserve">18. Business Recommendations</w:t>
      </w:r>
    </w:p>
    <w:p>
      <w:pPr>
        <w:spacing w:after="130"/>
      </w:pPr>
      <w:r>
        <w:rPr>
          <w:color w:val="222222"/>
          <w:sz w:val="21"/>
          <w:szCs w:val="21"/>
        </w:rPr>
        <w:t xml:space="preserve">19. Next Steps to Move From Descriptive → Predictive</w:t>
      </w:r>
    </w:p>
    <w:p>
      <w:pPr>
        <w:spacing w:after="130"/>
      </w:pPr>
      <w:r>
        <w:rPr>
          <w:color w:val="222222"/>
          <w:sz w:val="21"/>
          <w:szCs w:val="21"/>
        </w:rPr>
        <w:t xml:space="preserve">Appendix A: Booking Status by Vehicle Type</w:t>
      </w:r>
    </w:p>
    <w:p>
      <w:pPr>
        <w:spacing w:after="130"/>
      </w:pPr>
      <w:r>
        <w:rPr>
          <w:color w:val="222222"/>
          <w:sz w:val="21"/>
          <w:szCs w:val="21"/>
        </w:rPr>
        <w:t xml:space="preserve">Appendix B: Booking Status by Month</w:t>
      </w:r>
    </w:p>
    <w:p>
      <w:r>
        <w:br w:type="page"/>
      </w:r>
    </w:p>
    <w:p>
      <w:pPr>
        <w:pBdr>
          <w:left w:val="single" w:color="0f9b8e" w:sz="18" w:space="12"/>
        </w:pBdr>
        <w:spacing w:after="300"/>
        <w:ind w:left="200"/>
      </w:pPr>
      <w:r>
        <w:rPr>
          <w:i/>
          <w:iCs/>
          <w:color w:val="444444"/>
          <w:sz w:val="19"/>
          <w:szCs w:val="19"/>
        </w:rPr>
        <w:t xml:space="preserve">Note on data: This report is built on a real dataset of 150,000 Uber ride bookings across the National Capital Region (NCR — Delhi, Gurgaon, Noida) covering all of 2024 (ncr_ride_bookings.csv). It includes booking status, vehicle type, pickup/drop locations, cancellation reasons, ratings, fares, and ride distance for every request — not just completed trips — so it captures the full demand funnel, not just fulfilled orders.</w:t>
      </w:r>
    </w:p>
    <w:p>
      <w:pPr>
        <w:pBdr>
          <w:left w:val="single" w:color="d4a13d" w:sz="18" w:space="12"/>
        </w:pBdr>
        <w:spacing w:after="300"/>
        <w:ind w:left="200"/>
      </w:pPr>
      <w:r>
        <w:rPr>
          <w:i/>
          <w:iCs/>
          <w:color w:val="444444"/>
          <w:sz w:val="19"/>
          <w:szCs w:val="19"/>
        </w:rPr>
        <w:t xml:space="preserve">Note on currency: The source dataset records fares in Indian Rupees (₹). All monetary figures in this report have been converted to US Dollars at a rate of $1 = ₹95.30 (mid-market rate, August 2026) so the report can be read in a currency-neutral way. Ride counts, ratings, distances (km), and time-based metrics are unaffected by this conversion.</w:t>
      </w:r>
    </w:p>
    <w:p>
      <w:pPr>
        <w:pStyle w:val="Heading1"/>
        <w:spacing w:after="160" w:before="360"/>
      </w:pPr>
      <w:r>
        <w:rPr>
          <w:b/>
          <w:bCs/>
          <w:color w:val="1a2744"/>
        </w:rPr>
        <w:t xml:space="preserve">1. Objective</w:t>
      </w:r>
    </w:p>
    <w:p>
      <w:pPr>
        <w:spacing w:after="160" w:line="300"/>
      </w:pPr>
      <w:r>
        <w:rPr>
          <w:sz w:val="21"/>
          <w:szCs w:val="21"/>
        </w:rPr>
        <w:t xml:space="preserve">Build a descriptive analytics layer over Uber's ride-booking data to answer five recurring operations and growth questions:</w:t>
      </w:r>
    </w:p>
    <w:p>
      <w:pPr>
        <w:pStyle w:val="ListParagraph"/>
        <w:numPr>
          <w:ilvl w:val="0"/>
          <w:numId w:val="2"/>
        </w:numPr>
        <w:spacing w:after="80"/>
      </w:pPr>
      <w:r>
        <w:rPr>
          <w:sz w:val="21"/>
          <w:szCs w:val="21"/>
        </w:rPr>
        <w:t xml:space="preserve">How is total booking volume and revenue trending over the year?</w:t>
      </w:r>
    </w:p>
    <w:p>
      <w:pPr>
        <w:pStyle w:val="ListParagraph"/>
        <w:numPr>
          <w:ilvl w:val="0"/>
          <w:numId w:val="2"/>
        </w:numPr>
        <w:spacing w:after="80"/>
      </w:pPr>
      <w:r>
        <w:rPr>
          <w:sz w:val="21"/>
          <w:szCs w:val="21"/>
        </w:rPr>
        <w:t xml:space="preserve">Which vehicle types drive the most completed rides and revenue?</w:t>
      </w:r>
    </w:p>
    <w:p>
      <w:pPr>
        <w:pStyle w:val="ListParagraph"/>
        <w:numPr>
          <w:ilvl w:val="0"/>
          <w:numId w:val="2"/>
        </w:numPr>
        <w:spacing w:after="80"/>
      </w:pPr>
      <w:r>
        <w:rPr>
          <w:sz w:val="21"/>
          <w:szCs w:val="21"/>
        </w:rPr>
        <w:t xml:space="preserve">What share of requested rides actually get fulfilled — and where does the funnel leak?</w:t>
      </w:r>
    </w:p>
    <w:p>
      <w:pPr>
        <w:pStyle w:val="ListParagraph"/>
        <w:numPr>
          <w:ilvl w:val="0"/>
          <w:numId w:val="2"/>
        </w:numPr>
        <w:spacing w:after="80"/>
      </w:pPr>
      <w:r>
        <w:rPr>
          <w:sz w:val="21"/>
          <w:szCs w:val="21"/>
        </w:rPr>
        <w:t xml:space="preserve">How are drivers and customers rated, and how tight is that distribution?</w:t>
      </w:r>
    </w:p>
    <w:p>
      <w:pPr>
        <w:pStyle w:val="ListParagraph"/>
        <w:numPr>
          <w:ilvl w:val="0"/>
          <w:numId w:val="2"/>
        </w:numPr>
        <w:spacing w:after="80"/>
      </w:pPr>
      <w:r>
        <w:rPr>
          <w:sz w:val="21"/>
          <w:szCs w:val="21"/>
        </w:rPr>
        <w:t xml:space="preserve">Where is ride demand concentrated geographically, and why do cancellations happen?</w:t>
      </w:r>
    </w:p>
    <w:p>
      <w:pPr>
        <w:spacing w:after="160" w:line="300"/>
      </w:pPr>
      <w:r>
        <w:rPr>
          <w:sz w:val="21"/>
          <w:szCs w:val="21"/>
        </w:rPr>
        <w:t xml:space="preserve">Section 3 below answers each of these directly before the report walks through the full supporting detail chart by chart.</w:t>
      </w:r>
    </w:p>
    <w:p>
      <w:pPr>
        <w:pStyle w:val="Heading1"/>
        <w:spacing w:after="160" w:before="360"/>
      </w:pPr>
      <w:r>
        <w:rPr>
          <w:b/>
          <w:bCs/>
          <w:color w:val="1a2744"/>
        </w:rPr>
        <w:t xml:space="preserve">2. Data Dictionary &amp; Methodology</w:t>
      </w:r>
    </w:p>
    <w:p>
      <w:pPr>
        <w:spacing w:after="160" w:line="300"/>
      </w:pPr>
      <w:r>
        <w:rPr>
          <w:sz w:val="21"/>
          <w:szCs w:val="21"/>
        </w:rPr>
        <w:t xml:space="preserve">The source file contains 21 fields per booking record. The table below documents each field as used in this report, so every chart and metric downstream can be traced back to a specific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a2744" w:val="clear"/>
          </w:tcPr>
          <w:p>
            <w:r>
              <w:rPr>
                <w:b/>
                <w:bCs/>
                <w:color w:val="FFFFFF"/>
                <w:sz w:val="18"/>
                <w:szCs w:val="18"/>
              </w:rPr>
              <w:t xml:space="preserve">Field</w:t>
            </w:r>
          </w:p>
        </w:tc>
        <w:tc>
          <w:tcPr>
            <w:tcW w:type="dxa" w:w="6700"/>
            <w:shd w:fill="1a2744" w:val="clear"/>
          </w:tcPr>
          <w:p>
            <w:r>
              <w:rPr>
                <w:b/>
                <w:bCs/>
                <w:color w:val="FFFFFF"/>
                <w:sz w:val="18"/>
                <w:szCs w:val="18"/>
              </w:rPr>
              <w:t xml:space="preserve">Description</w:t>
            </w:r>
          </w:p>
        </w:tc>
      </w:tr>
      <w:tr>
        <w:tc>
          <w:tcPr>
            <w:tcW w:type="dxa" w:w="2600"/>
            <w:shd w:fill="FFFFFF" w:val="clear"/>
          </w:tcPr>
          <w:p>
            <w:r>
              <w:rPr>
                <w:sz w:val="17"/>
                <w:szCs w:val="17"/>
              </w:rPr>
              <w:t xml:space="preserve">Date / Time</w:t>
            </w:r>
          </w:p>
        </w:tc>
        <w:tc>
          <w:tcPr>
            <w:tcW w:type="dxa" w:w="6700"/>
            <w:shd w:fill="FFFFFF" w:val="clear"/>
          </w:tcPr>
          <w:p>
            <w:r>
              <w:rPr>
                <w:sz w:val="17"/>
                <w:szCs w:val="17"/>
              </w:rPr>
              <w:t xml:space="preserve">Calendar date and clock time the booking request was placed</w:t>
            </w:r>
          </w:p>
        </w:tc>
      </w:tr>
      <w:tr>
        <w:tc>
          <w:tcPr>
            <w:tcW w:type="dxa" w:w="2600"/>
            <w:shd w:fill="f2f3f5" w:val="clear"/>
          </w:tcPr>
          <w:p>
            <w:r>
              <w:rPr>
                <w:sz w:val="17"/>
                <w:szCs w:val="17"/>
              </w:rPr>
              <w:t xml:space="preserve">Booking ID</w:t>
            </w:r>
          </w:p>
        </w:tc>
        <w:tc>
          <w:tcPr>
            <w:tcW w:type="dxa" w:w="6700"/>
            <w:shd w:fill="f2f3f5" w:val="clear"/>
          </w:tcPr>
          <w:p>
            <w:r>
              <w:rPr>
                <w:sz w:val="17"/>
                <w:szCs w:val="17"/>
              </w:rPr>
              <w:t xml:space="preserve">Unique identifier for the booking request</w:t>
            </w:r>
          </w:p>
        </w:tc>
      </w:tr>
      <w:tr>
        <w:tc>
          <w:tcPr>
            <w:tcW w:type="dxa" w:w="2600"/>
            <w:shd w:fill="FFFFFF" w:val="clear"/>
          </w:tcPr>
          <w:p>
            <w:r>
              <w:rPr>
                <w:sz w:val="17"/>
                <w:szCs w:val="17"/>
              </w:rPr>
              <w:t xml:space="preserve">Booking Status</w:t>
            </w:r>
          </w:p>
        </w:tc>
        <w:tc>
          <w:tcPr>
            <w:tcW w:type="dxa" w:w="6700"/>
            <w:shd w:fill="FFFFFF" w:val="clear"/>
          </w:tcPr>
          <w:p>
            <w:r>
              <w:rPr>
                <w:sz w:val="17"/>
                <w:szCs w:val="17"/>
              </w:rPr>
              <w:t xml:space="preserve">Final outcome: Completed, Cancelled by Customer, Cancelled by Driver, No Driver Found, or Incomplete</w:t>
            </w:r>
          </w:p>
        </w:tc>
      </w:tr>
      <w:tr>
        <w:tc>
          <w:tcPr>
            <w:tcW w:type="dxa" w:w="2600"/>
            <w:shd w:fill="f2f3f5" w:val="clear"/>
          </w:tcPr>
          <w:p>
            <w:r>
              <w:rPr>
                <w:sz w:val="17"/>
                <w:szCs w:val="17"/>
              </w:rPr>
              <w:t xml:space="preserve">Customer ID</w:t>
            </w:r>
          </w:p>
        </w:tc>
        <w:tc>
          <w:tcPr>
            <w:tcW w:type="dxa" w:w="6700"/>
            <w:shd w:fill="f2f3f5" w:val="clear"/>
          </w:tcPr>
          <w:p>
            <w:r>
              <w:rPr>
                <w:sz w:val="17"/>
                <w:szCs w:val="17"/>
              </w:rPr>
              <w:t xml:space="preserve">Unique identifier for the rider who placed the request</w:t>
            </w:r>
          </w:p>
        </w:tc>
      </w:tr>
      <w:tr>
        <w:tc>
          <w:tcPr>
            <w:tcW w:type="dxa" w:w="2600"/>
            <w:shd w:fill="FFFFFF" w:val="clear"/>
          </w:tcPr>
          <w:p>
            <w:r>
              <w:rPr>
                <w:sz w:val="17"/>
                <w:szCs w:val="17"/>
              </w:rPr>
              <w:t xml:space="preserve">Vehicle Type</w:t>
            </w:r>
          </w:p>
        </w:tc>
        <w:tc>
          <w:tcPr>
            <w:tcW w:type="dxa" w:w="6700"/>
            <w:shd w:fill="FFFFFF" w:val="clear"/>
          </w:tcPr>
          <w:p>
            <w:r>
              <w:rPr>
                <w:sz w:val="17"/>
                <w:szCs w:val="17"/>
              </w:rPr>
              <w:t xml:space="preserve">Fleet category requested: Auto, Bike, eBike, Go Mini, Go Sedan, Premier Sedan, or Uber XL</w:t>
            </w:r>
          </w:p>
        </w:tc>
      </w:tr>
      <w:tr>
        <w:tc>
          <w:tcPr>
            <w:tcW w:type="dxa" w:w="2600"/>
            <w:shd w:fill="f2f3f5" w:val="clear"/>
          </w:tcPr>
          <w:p>
            <w:r>
              <w:rPr>
                <w:sz w:val="17"/>
                <w:szCs w:val="17"/>
              </w:rPr>
              <w:t xml:space="preserve">Pickup / Drop Location</w:t>
            </w:r>
          </w:p>
        </w:tc>
        <w:tc>
          <w:tcPr>
            <w:tcW w:type="dxa" w:w="6700"/>
            <w:shd w:fill="f2f3f5" w:val="clear"/>
          </w:tcPr>
          <w:p>
            <w:r>
              <w:rPr>
                <w:sz w:val="17"/>
                <w:szCs w:val="17"/>
              </w:rPr>
              <w:t xml:space="preserve">Named zone where the ride started and ended</w:t>
            </w:r>
          </w:p>
        </w:tc>
      </w:tr>
      <w:tr>
        <w:tc>
          <w:tcPr>
            <w:tcW w:type="dxa" w:w="2600"/>
            <w:shd w:fill="FFFFFF" w:val="clear"/>
          </w:tcPr>
          <w:p>
            <w:r>
              <w:rPr>
                <w:sz w:val="17"/>
                <w:szCs w:val="17"/>
              </w:rPr>
              <w:t xml:space="preserve">Avg VTAT</w:t>
            </w:r>
          </w:p>
        </w:tc>
        <w:tc>
          <w:tcPr>
            <w:tcW w:type="dxa" w:w="6700"/>
            <w:shd w:fill="FFFFFF" w:val="clear"/>
          </w:tcPr>
          <w:p>
            <w:r>
              <w:rPr>
                <w:sz w:val="17"/>
                <w:szCs w:val="17"/>
              </w:rPr>
              <w:t xml:space="preserve">Vehicle Turnaround Time — minutes between booking and driver arrival</w:t>
            </w:r>
          </w:p>
        </w:tc>
      </w:tr>
      <w:tr>
        <w:tc>
          <w:tcPr>
            <w:tcW w:type="dxa" w:w="2600"/>
            <w:shd w:fill="f2f3f5" w:val="clear"/>
          </w:tcPr>
          <w:p>
            <w:r>
              <w:rPr>
                <w:sz w:val="17"/>
                <w:szCs w:val="17"/>
              </w:rPr>
              <w:t xml:space="preserve">Avg CTAT</w:t>
            </w:r>
          </w:p>
        </w:tc>
        <w:tc>
          <w:tcPr>
            <w:tcW w:type="dxa" w:w="6700"/>
            <w:shd w:fill="f2f3f5" w:val="clear"/>
          </w:tcPr>
          <w:p>
            <w:r>
              <w:rPr>
                <w:sz w:val="17"/>
                <w:szCs w:val="17"/>
              </w:rPr>
              <w:t xml:space="preserve">Customer Turnaround Time — minutes between booking and trip completion</w:t>
            </w:r>
          </w:p>
        </w:tc>
      </w:tr>
      <w:tr>
        <w:tc>
          <w:tcPr>
            <w:tcW w:type="dxa" w:w="2600"/>
            <w:shd w:fill="FFFFFF" w:val="clear"/>
          </w:tcPr>
          <w:p>
            <w:r>
              <w:rPr>
                <w:sz w:val="17"/>
                <w:szCs w:val="17"/>
              </w:rPr>
              <w:t xml:space="preserve">Cancellation Reason (Customer / Driver)</w:t>
            </w:r>
          </w:p>
        </w:tc>
        <w:tc>
          <w:tcPr>
            <w:tcW w:type="dxa" w:w="6700"/>
            <w:shd w:fill="FFFFFF" w:val="clear"/>
          </w:tcPr>
          <w:p>
            <w:r>
              <w:rPr>
                <w:sz w:val="17"/>
                <w:szCs w:val="17"/>
              </w:rPr>
              <w:t xml:space="preserve">Free-text reason code captured at the moment of cancellation</w:t>
            </w:r>
          </w:p>
        </w:tc>
      </w:tr>
      <w:tr>
        <w:tc>
          <w:tcPr>
            <w:tcW w:type="dxa" w:w="2600"/>
            <w:shd w:fill="f2f3f5" w:val="clear"/>
          </w:tcPr>
          <w:p>
            <w:r>
              <w:rPr>
                <w:sz w:val="17"/>
                <w:szCs w:val="17"/>
              </w:rPr>
              <w:t xml:space="preserve">Incomplete Rides Reason</w:t>
            </w:r>
          </w:p>
        </w:tc>
        <w:tc>
          <w:tcPr>
            <w:tcW w:type="dxa" w:w="6700"/>
            <w:shd w:fill="f2f3f5" w:val="clear"/>
          </w:tcPr>
          <w:p>
            <w:r>
              <w:rPr>
                <w:sz w:val="17"/>
                <w:szCs w:val="17"/>
              </w:rPr>
              <w:t xml:space="preserve">Reason code for a trip that started but did not finish</w:t>
            </w:r>
          </w:p>
        </w:tc>
      </w:tr>
      <w:tr>
        <w:tc>
          <w:tcPr>
            <w:tcW w:type="dxa" w:w="2600"/>
            <w:shd w:fill="FFFFFF" w:val="clear"/>
          </w:tcPr>
          <w:p>
            <w:r>
              <w:rPr>
                <w:sz w:val="17"/>
                <w:szCs w:val="17"/>
              </w:rPr>
              <w:t xml:space="preserve">Booking Value</w:t>
            </w:r>
          </w:p>
        </w:tc>
        <w:tc>
          <w:tcPr>
            <w:tcW w:type="dxa" w:w="6700"/>
            <w:shd w:fill="FFFFFF" w:val="clear"/>
          </w:tcPr>
          <w:p>
            <w:r>
              <w:rPr>
                <w:sz w:val="17"/>
                <w:szCs w:val="17"/>
              </w:rPr>
              <w:t xml:space="preserve">Fare charged for the ride, in Indian Rupees (converted to USD in this report)</w:t>
            </w:r>
          </w:p>
        </w:tc>
      </w:tr>
      <w:tr>
        <w:tc>
          <w:tcPr>
            <w:tcW w:type="dxa" w:w="2600"/>
            <w:shd w:fill="f2f3f5" w:val="clear"/>
          </w:tcPr>
          <w:p>
            <w:r>
              <w:rPr>
                <w:sz w:val="17"/>
                <w:szCs w:val="17"/>
              </w:rPr>
              <w:t xml:space="preserve">Ride Distance</w:t>
            </w:r>
          </w:p>
        </w:tc>
        <w:tc>
          <w:tcPr>
            <w:tcW w:type="dxa" w:w="6700"/>
            <w:shd w:fill="f2f3f5" w:val="clear"/>
          </w:tcPr>
          <w:p>
            <w:r>
              <w:rPr>
                <w:sz w:val="17"/>
                <w:szCs w:val="17"/>
              </w:rPr>
              <w:t xml:space="preserve">Trip distance in kilometers</w:t>
            </w:r>
          </w:p>
        </w:tc>
      </w:tr>
      <w:tr>
        <w:tc>
          <w:tcPr>
            <w:tcW w:type="dxa" w:w="2600"/>
            <w:shd w:fill="FFFFFF" w:val="clear"/>
          </w:tcPr>
          <w:p>
            <w:r>
              <w:rPr>
                <w:sz w:val="17"/>
                <w:szCs w:val="17"/>
              </w:rPr>
              <w:t xml:space="preserve">Driver Ratings / Customer Rating</w:t>
            </w:r>
          </w:p>
        </w:tc>
        <w:tc>
          <w:tcPr>
            <w:tcW w:type="dxa" w:w="6700"/>
            <w:shd w:fill="FFFFFF" w:val="clear"/>
          </w:tcPr>
          <w:p>
            <w:r>
              <w:rPr>
                <w:sz w:val="17"/>
                <w:szCs w:val="17"/>
              </w:rPr>
              <w:t xml:space="preserve">1–5 rating given after a completed ride</w:t>
            </w:r>
          </w:p>
        </w:tc>
      </w:tr>
      <w:tr>
        <w:tc>
          <w:tcPr>
            <w:tcW w:type="dxa" w:w="2600"/>
            <w:shd w:fill="f2f3f5" w:val="clear"/>
          </w:tcPr>
          <w:p>
            <w:r>
              <w:rPr>
                <w:sz w:val="17"/>
                <w:szCs w:val="17"/>
              </w:rPr>
              <w:t xml:space="preserve">Payment Method</w:t>
            </w:r>
          </w:p>
        </w:tc>
        <w:tc>
          <w:tcPr>
            <w:tcW w:type="dxa" w:w="6700"/>
            <w:shd w:fill="f2f3f5" w:val="clear"/>
          </w:tcPr>
          <w:p>
            <w:r>
              <w:rPr>
                <w:sz w:val="17"/>
                <w:szCs w:val="17"/>
              </w:rPr>
              <w:t xml:space="preserve">How the completed ride was paid for: UPI, Cash, Uber Wallet, Credit Card, or Debit Card</w:t>
            </w:r>
          </w:p>
        </w:tc>
      </w:tr>
    </w:tbl>
    <w:p>
      <w:pPr>
        <w:spacing w:after="160" w:line="300"/>
      </w:pPr>
      <w:r>
        <w:rPr>
          <w:sz w:val="21"/>
          <w:szCs w:val="21"/>
        </w:rPr>
        <w:t xml:space="preserve">Methodology: every metric in this report is computed directly from the raw CSV using pandas — no sampling. 'Completed rides' filters to Booking Status = Completed before computing fare, rating, distance, and payment metrics, since those fields are only populated for completed trips. 'All bookings' figures (funnel, hourly demand, location demand) use the full 150,000-row dataset regardless of outcome, since a cancelled or unfulfilled request is still a real demand signal.</w:t>
      </w:r>
    </w:p>
    <w:p>
      <w:pPr>
        <w:pStyle w:val="Heading2"/>
        <w:spacing w:after="120" w:before="240"/>
      </w:pPr>
      <w:r>
        <w:rPr>
          <w:b/>
          <w:bCs/>
          <w:color w:val="0f9b8e"/>
          <w:sz w:val="24"/>
          <w:szCs w:val="24"/>
        </w:rPr>
        <w:t xml:space="preserve">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a2744" w:val="clear"/>
          </w:tcPr>
          <w:p>
            <w:r>
              <w:rPr>
                <w:b/>
                <w:bCs/>
                <w:color w:val="FFFFFF"/>
                <w:sz w:val="18"/>
                <w:szCs w:val="18"/>
              </w:rPr>
              <w:t xml:space="preserve">Term</w:t>
            </w:r>
          </w:p>
        </w:tc>
        <w:tc>
          <w:tcPr>
            <w:tcW w:type="dxa" w:w="7100"/>
            <w:shd w:fill="1a2744" w:val="clear"/>
          </w:tcPr>
          <w:p>
            <w:r>
              <w:rPr>
                <w:b/>
                <w:bCs/>
                <w:color w:val="FFFFFF"/>
                <w:sz w:val="18"/>
                <w:szCs w:val="18"/>
              </w:rPr>
              <w:t xml:space="preserve">Meaning</w:t>
            </w:r>
          </w:p>
        </w:tc>
      </w:tr>
      <w:tr>
        <w:tc>
          <w:tcPr>
            <w:tcW w:type="dxa" w:w="2200"/>
            <w:shd w:fill="FFFFFF" w:val="clear"/>
          </w:tcPr>
          <w:p>
            <w:r>
              <w:rPr>
                <w:sz w:val="17"/>
                <w:szCs w:val="17"/>
              </w:rPr>
              <w:t xml:space="preserve">VTAT</w:t>
            </w:r>
          </w:p>
        </w:tc>
        <w:tc>
          <w:tcPr>
            <w:tcW w:type="dxa" w:w="7100"/>
            <w:shd w:fill="FFFFFF" w:val="clear"/>
          </w:tcPr>
          <w:p>
            <w:r>
              <w:rPr>
                <w:sz w:val="17"/>
                <w:szCs w:val="17"/>
              </w:rPr>
              <w:t xml:space="preserve">Vehicle Turnaround Time — minutes from booking confirmation to the driver arriving at pickup</w:t>
            </w:r>
          </w:p>
        </w:tc>
      </w:tr>
      <w:tr>
        <w:tc>
          <w:tcPr>
            <w:tcW w:type="dxa" w:w="2200"/>
            <w:shd w:fill="f2f3f5" w:val="clear"/>
          </w:tcPr>
          <w:p>
            <w:r>
              <w:rPr>
                <w:sz w:val="17"/>
                <w:szCs w:val="17"/>
              </w:rPr>
              <w:t xml:space="preserve">CTAT</w:t>
            </w:r>
          </w:p>
        </w:tc>
        <w:tc>
          <w:tcPr>
            <w:tcW w:type="dxa" w:w="7100"/>
            <w:shd w:fill="f2f3f5" w:val="clear"/>
          </w:tcPr>
          <w:p>
            <w:r>
              <w:rPr>
                <w:sz w:val="17"/>
                <w:szCs w:val="17"/>
              </w:rPr>
              <w:t xml:space="preserve">Customer Turnaround Time — total minutes from booking confirmation to trip completion</w:t>
            </w:r>
          </w:p>
        </w:tc>
      </w:tr>
      <w:tr>
        <w:tc>
          <w:tcPr>
            <w:tcW w:type="dxa" w:w="2200"/>
            <w:shd w:fill="FFFFFF" w:val="clear"/>
          </w:tcPr>
          <w:p>
            <w:r>
              <w:rPr>
                <w:sz w:val="17"/>
                <w:szCs w:val="17"/>
              </w:rPr>
              <w:t xml:space="preserve">Completion rate</w:t>
            </w:r>
          </w:p>
        </w:tc>
        <w:tc>
          <w:tcPr>
            <w:tcW w:type="dxa" w:w="7100"/>
            <w:shd w:fill="FFFFFF" w:val="clear"/>
          </w:tcPr>
          <w:p>
            <w:r>
              <w:rPr>
                <w:sz w:val="17"/>
                <w:szCs w:val="17"/>
              </w:rPr>
              <w:t xml:space="preserve">Completed rides ÷ total booking requests, for a given group (vehicle type, day, etc.)</w:t>
            </w:r>
          </w:p>
        </w:tc>
      </w:tr>
      <w:tr>
        <w:tc>
          <w:tcPr>
            <w:tcW w:type="dxa" w:w="2200"/>
            <w:shd w:fill="f2f3f5" w:val="clear"/>
          </w:tcPr>
          <w:p>
            <w:r>
              <w:rPr>
                <w:sz w:val="17"/>
                <w:szCs w:val="17"/>
              </w:rPr>
              <w:t xml:space="preserve">Funnel</w:t>
            </w:r>
          </w:p>
        </w:tc>
        <w:tc>
          <w:tcPr>
            <w:tcW w:type="dxa" w:w="7100"/>
            <w:shd w:fill="f2f3f5" w:val="clear"/>
          </w:tcPr>
          <w:p>
            <w:r>
              <w:rPr>
                <w:sz w:val="17"/>
                <w:szCs w:val="17"/>
              </w:rPr>
              <w:t xml:space="preserve">The full path a booking request takes from placement to its final outcome (completed, cancelled, unfulfilled)</w:t>
            </w:r>
          </w:p>
        </w:tc>
      </w:tr>
      <w:tr>
        <w:tc>
          <w:tcPr>
            <w:tcW w:type="dxa" w:w="2200"/>
            <w:shd w:fill="FFFFFF" w:val="clear"/>
          </w:tcPr>
          <w:p>
            <w:r>
              <w:rPr>
                <w:sz w:val="17"/>
                <w:szCs w:val="17"/>
              </w:rPr>
              <w:t xml:space="preserve">Hero SKU / vehicle</w:t>
            </w:r>
          </w:p>
        </w:tc>
        <w:tc>
          <w:tcPr>
            <w:tcW w:type="dxa" w:w="7100"/>
            <w:shd w:fill="FFFFFF" w:val="clear"/>
          </w:tcPr>
          <w:p>
            <w:r>
              <w:rPr>
                <w:sz w:val="17"/>
                <w:szCs w:val="17"/>
              </w:rPr>
              <w:t xml:space="preserve">A single option that accounts for a disproportionately large share of total volume</w:t>
            </w:r>
          </w:p>
        </w:tc>
      </w:tr>
      <w:tr>
        <w:tc>
          <w:tcPr>
            <w:tcW w:type="dxa" w:w="2200"/>
            <w:shd w:fill="f2f3f5" w:val="clear"/>
          </w:tcPr>
          <w:p>
            <w:r>
              <w:rPr>
                <w:sz w:val="17"/>
                <w:szCs w:val="17"/>
              </w:rPr>
              <w:t xml:space="preserve">7-day rolling average</w:t>
            </w:r>
          </w:p>
        </w:tc>
        <w:tc>
          <w:tcPr>
            <w:tcW w:type="dxa" w:w="7100"/>
            <w:shd w:fill="f2f3f5" w:val="clear"/>
          </w:tcPr>
          <w:p>
            <w:r>
              <w:rPr>
                <w:sz w:val="17"/>
                <w:szCs w:val="17"/>
              </w:rPr>
              <w:t xml:space="preserve">The average of a metric over the trailing 7 days, used to smooth daily noise and reveal the underlying trend</w:t>
            </w:r>
          </w:p>
        </w:tc>
      </w:tr>
      <w:tr>
        <w:tc>
          <w:tcPr>
            <w:tcW w:type="dxa" w:w="2200"/>
            <w:shd w:fill="FFFFFF" w:val="clear"/>
          </w:tcPr>
          <w:p>
            <w:r>
              <w:rPr>
                <w:sz w:val="17"/>
                <w:szCs w:val="17"/>
              </w:rPr>
              <w:t xml:space="preserve">NCR</w:t>
            </w:r>
          </w:p>
        </w:tc>
        <w:tc>
          <w:tcPr>
            <w:tcW w:type="dxa" w:w="7100"/>
            <w:shd w:fill="FFFFFF" w:val="clear"/>
          </w:tcPr>
          <w:p>
            <w:r>
              <w:rPr>
                <w:sz w:val="17"/>
                <w:szCs w:val="17"/>
              </w:rPr>
              <w:t xml:space="preserve">National Capital Region — the Delhi, Gurgaon, and Noida metro area covered by this dataset</w:t>
            </w:r>
          </w:p>
        </w:tc>
      </w:tr>
    </w:tbl>
    <w:p>
      <w:pPr>
        <w:pStyle w:val="Heading1"/>
        <w:spacing w:after="160" w:before="360"/>
      </w:pPr>
      <w:r>
        <w:rPr>
          <w:b/>
          <w:bCs/>
          <w:color w:val="1a2744"/>
        </w:rPr>
        <w:t xml:space="preserve">3. How This Would Work at Real Scale</w:t>
      </w:r>
    </w:p>
    <w:p>
      <w:pPr>
        <w:spacing w:after="160" w:line="300"/>
      </w:pPr>
      <w:r>
        <w:rPr>
          <w:sz w:val="21"/>
          <w:szCs w:val="21"/>
        </w:rPr>
        <w:t xml:space="preserve">Uber processes ride events continuously across hundreds of cities. Processing that volume is an engineering problem before it's an analytics one. A realistic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00"/>
      </w:tblGrid>
      <w:tr>
        <w:trPr>
          <w:tblHeader/>
        </w:trPr>
        <w:tc>
          <w:tcPr>
            <w:tcW w:type="dxa" w:w="1800"/>
            <w:shd w:fill="1a2744" w:val="clear"/>
          </w:tcPr>
          <w:p>
            <w:r>
              <w:rPr>
                <w:b/>
                <w:bCs/>
                <w:color w:val="FFFFFF"/>
                <w:sz w:val="18"/>
                <w:szCs w:val="18"/>
              </w:rPr>
              <w:t xml:space="preserve">Layer</w:t>
            </w:r>
          </w:p>
        </w:tc>
        <w:tc>
          <w:tcPr>
            <w:tcW w:type="dxa" w:w="4300"/>
            <w:shd w:fill="1a2744" w:val="clear"/>
          </w:tcPr>
          <w:p>
            <w:r>
              <w:rPr>
                <w:b/>
                <w:bCs/>
                <w:color w:val="FFFFFF"/>
                <w:sz w:val="18"/>
                <w:szCs w:val="18"/>
              </w:rPr>
              <w:t xml:space="preserve">Purpose</w:t>
            </w:r>
          </w:p>
        </w:tc>
        <w:tc>
          <w:tcPr>
            <w:tcW w:type="dxa" w:w="3200"/>
            <w:shd w:fill="1a2744" w:val="clear"/>
          </w:tcPr>
          <w:p>
            <w:r>
              <w:rPr>
                <w:b/>
                <w:bCs/>
                <w:color w:val="FFFFFF"/>
                <w:sz w:val="18"/>
                <w:szCs w:val="18"/>
              </w:rPr>
              <w:t xml:space="preserve">Typical tools</w:t>
            </w:r>
          </w:p>
        </w:tc>
      </w:tr>
      <w:tr>
        <w:tc>
          <w:tcPr>
            <w:tcW w:type="dxa" w:w="1800"/>
            <w:shd w:fill="FFFFFF" w:val="clear"/>
          </w:tcPr>
          <w:p>
            <w:r>
              <w:rPr>
                <w:sz w:val="17"/>
                <w:szCs w:val="17"/>
              </w:rPr>
              <w:t xml:space="preserve">Ingestion</w:t>
            </w:r>
          </w:p>
        </w:tc>
        <w:tc>
          <w:tcPr>
            <w:tcW w:type="dxa" w:w="4300"/>
            <w:shd w:fill="FFFFFF" w:val="clear"/>
          </w:tcPr>
          <w:p>
            <w:r>
              <w:rPr>
                <w:sz w:val="17"/>
                <w:szCs w:val="17"/>
              </w:rPr>
              <w:t xml:space="preserve">Capture each ride event (request, accept, cancel, complete) in real time</w:t>
            </w:r>
          </w:p>
        </w:tc>
        <w:tc>
          <w:tcPr>
            <w:tcW w:type="dxa" w:w="3200"/>
            <w:shd w:fill="FFFFFF" w:val="clear"/>
          </w:tcPr>
          <w:p>
            <w:r>
              <w:rPr>
                <w:sz w:val="17"/>
                <w:szCs w:val="17"/>
              </w:rPr>
              <w:t xml:space="preserve">Kafka / Kinesis from the rider &amp; driver apps</w:t>
            </w:r>
          </w:p>
        </w:tc>
      </w:tr>
      <w:tr>
        <w:tc>
          <w:tcPr>
            <w:tcW w:type="dxa" w:w="1800"/>
            <w:shd w:fill="f2f3f5" w:val="clear"/>
          </w:tcPr>
          <w:p>
            <w:r>
              <w:rPr>
                <w:sz w:val="17"/>
                <w:szCs w:val="17"/>
              </w:rPr>
              <w:t xml:space="preserve">Stream processing</w:t>
            </w:r>
          </w:p>
        </w:tc>
        <w:tc>
          <w:tcPr>
            <w:tcW w:type="dxa" w:w="4300"/>
            <w:shd w:fill="f2f3f5" w:val="clear"/>
          </w:tcPr>
          <w:p>
            <w:r>
              <w:rPr>
                <w:sz w:val="17"/>
                <w:szCs w:val="17"/>
              </w:rPr>
              <w:t xml:space="preserve">Roll up raw events into per-vehicle-type, per-zone, per-minute aggregates</w:t>
            </w:r>
          </w:p>
        </w:tc>
        <w:tc>
          <w:tcPr>
            <w:tcW w:type="dxa" w:w="3200"/>
            <w:shd w:fill="f2f3f5" w:val="clear"/>
          </w:tcPr>
          <w:p>
            <w:r>
              <w:rPr>
                <w:sz w:val="17"/>
                <w:szCs w:val="17"/>
              </w:rPr>
              <w:t xml:space="preserve">Spark Structured Streaming / Flink</w:t>
            </w:r>
          </w:p>
        </w:tc>
      </w:tr>
      <w:tr>
        <w:tc>
          <w:tcPr>
            <w:tcW w:type="dxa" w:w="1800"/>
            <w:shd w:fill="FFFFFF" w:val="clear"/>
          </w:tcPr>
          <w:p>
            <w:r>
              <w:rPr>
                <w:sz w:val="17"/>
                <w:szCs w:val="17"/>
              </w:rPr>
              <w:t xml:space="preserve">Storage</w:t>
            </w:r>
          </w:p>
        </w:tc>
        <w:tc>
          <w:tcPr>
            <w:tcW w:type="dxa" w:w="4300"/>
            <w:shd w:fill="FFFFFF" w:val="clear"/>
          </w:tcPr>
          <w:p>
            <w:r>
              <w:rPr>
                <w:sz w:val="17"/>
                <w:szCs w:val="17"/>
              </w:rPr>
              <w:t xml:space="preserve">Hold raw trip events (audits, disputes) and pre-aggregated tables (speed)</w:t>
            </w:r>
          </w:p>
        </w:tc>
        <w:tc>
          <w:tcPr>
            <w:tcW w:type="dxa" w:w="3200"/>
            <w:shd w:fill="FFFFFF" w:val="clear"/>
          </w:tcPr>
          <w:p>
            <w:r>
              <w:rPr>
                <w:sz w:val="17"/>
                <w:szCs w:val="17"/>
              </w:rPr>
              <w:t xml:space="preserve">Data lake (S3) + warehouse (Snowflake/BigQuery/Redshift)</w:t>
            </w:r>
          </w:p>
        </w:tc>
      </w:tr>
      <w:tr>
        <w:tc>
          <w:tcPr>
            <w:tcW w:type="dxa" w:w="1800"/>
            <w:shd w:fill="f2f3f5" w:val="clear"/>
          </w:tcPr>
          <w:p>
            <w:r>
              <w:rPr>
                <w:sz w:val="17"/>
                <w:szCs w:val="17"/>
              </w:rPr>
              <w:t xml:space="preserve">Batch aggregation</w:t>
            </w:r>
          </w:p>
        </w:tc>
        <w:tc>
          <w:tcPr>
            <w:tcW w:type="dxa" w:w="4300"/>
            <w:shd w:fill="f2f3f5" w:val="clear"/>
          </w:tcPr>
          <w:p>
            <w:r>
              <w:rPr>
                <w:sz w:val="17"/>
                <w:szCs w:val="17"/>
              </w:rPr>
              <w:t xml:space="preserve">Nightly rollups: daily bookings, cancellation rates, rating averages, city-level demand</w:t>
            </w:r>
          </w:p>
        </w:tc>
        <w:tc>
          <w:tcPr>
            <w:tcW w:type="dxa" w:w="3200"/>
            <w:shd w:fill="f2f3f5" w:val="clear"/>
          </w:tcPr>
          <w:p>
            <w:r>
              <w:rPr>
                <w:sz w:val="17"/>
                <w:szCs w:val="17"/>
              </w:rPr>
              <w:t xml:space="preserve">Airflow-orchestrated SQL / dbt jobs</w:t>
            </w:r>
          </w:p>
        </w:tc>
      </w:tr>
      <w:tr>
        <w:tc>
          <w:tcPr>
            <w:tcW w:type="dxa" w:w="1800"/>
            <w:shd w:fill="FFFFFF" w:val="clear"/>
          </w:tcPr>
          <w:p>
            <w:r>
              <w:rPr>
                <w:sz w:val="17"/>
                <w:szCs w:val="17"/>
              </w:rPr>
              <w:t xml:space="preserve">Serving / BI layer</w:t>
            </w:r>
          </w:p>
        </w:tc>
        <w:tc>
          <w:tcPr>
            <w:tcW w:type="dxa" w:w="4300"/>
            <w:shd w:fill="FFFFFF" w:val="clear"/>
          </w:tcPr>
          <w:p>
            <w:r>
              <w:rPr>
                <w:sz w:val="17"/>
                <w:szCs w:val="17"/>
              </w:rPr>
              <w:t xml:space="preserve">Dashboards refreshed hourly for ops, daily for city managers</w:t>
            </w:r>
          </w:p>
        </w:tc>
        <w:tc>
          <w:tcPr>
            <w:tcW w:type="dxa" w:w="3200"/>
            <w:shd w:fill="FFFFFF" w:val="clear"/>
          </w:tcPr>
          <w:p>
            <w:r>
              <w:rPr>
                <w:sz w:val="17"/>
                <w:szCs w:val="17"/>
              </w:rPr>
              <w:t xml:space="preserve">Looker / Tableau / Power BI</w:t>
            </w:r>
          </w:p>
        </w:tc>
      </w:tr>
    </w:tbl>
    <w:p>
      <w:pPr>
        <w:spacing w:after="200" w:before="200"/>
      </w:pPr>
      <w:r>
        <w:rPr>
          <w:i/>
          <w:iCs/>
          <w:sz w:val="20"/>
          <w:szCs w:val="20"/>
        </w:rPr>
        <w:t xml:space="preserve">The report below reflects the output of that pipeline — daily aggregated tables over a full year of bookings — not raw event-level data, since no dashboard renders 150,000 individual rows usefully.</w:t>
      </w:r>
    </w:p>
    <w:p>
      <w:r>
        <w:br w:type="page"/>
      </w:r>
    </w:p>
    <w:p>
      <w:pPr>
        <w:pStyle w:val="Heading1"/>
        <w:spacing w:after="160" w:before="360"/>
      </w:pPr>
      <w:r>
        <w:rPr>
          <w:b/>
          <w:bCs/>
          <w:color w:val="1a2744"/>
        </w:rPr>
        <w:t xml:space="preserve">4. Answering the Objective Questions</w:t>
      </w:r>
    </w:p>
    <w:p>
      <w:pPr>
        <w:spacing w:after="160" w:line="300"/>
      </w:pPr>
      <w:r>
        <w:rPr>
          <w:sz w:val="21"/>
          <w:szCs w:val="21"/>
        </w:rPr>
        <w:t xml:space="preserve">Before the detailed walkthrough, here are direct answers to the five questions this report was built to address.</w:t>
      </w:r>
    </w:p>
    <w:p>
      <w:pPr>
        <w:pBdr>
          <w:left w:val="single" w:color="0f9b8e" w:sz="20" w:space="10"/>
        </w:pBdr>
        <w:shd w:fill="eef7f6" w:val="clear"/>
        <w:spacing w:after="200"/>
        <w:ind w:left="150"/>
      </w:pPr>
      <w:r>
        <w:rPr>
          <w:b/>
          <w:bCs/>
          <w:color w:val="1a2744"/>
          <w:sz w:val="20"/>
          <w:szCs w:val="20"/>
        </w:rPr>
        <w:t xml:space="preserve">Q1 — How is total booking volume and revenue trending over the year?</w:t>
      </w:r>
      <w:r>
        <w:rPr>
          <w:color w:val="222222"/>
          <w:sz w:val="20"/>
          <w:szCs w:val="20"/>
        </w:rPr>
        <w:t xml:space="preserve">
Volume is flat and stable: daily bookings range narrowly between 355 and 462 across all 365 days, with no strong seasonal growth or decline trend and only mild weekly noise (see Section 4). Total 2024 revenue from completed rides came to $495,914 across 93,000 completed trips.</w:t>
      </w:r>
    </w:p>
    <w:p>
      <w:pPr>
        <w:pBdr>
          <w:left w:val="single" w:color="0f9b8e" w:sz="20" w:space="10"/>
        </w:pBdr>
        <w:shd w:fill="eef7f6" w:val="clear"/>
        <w:spacing w:after="200"/>
        <w:ind w:left="150"/>
      </w:pPr>
      <w:r>
        <w:rPr>
          <w:b/>
          <w:bCs/>
          <w:color w:val="1a2744"/>
          <w:sz w:val="20"/>
          <w:szCs w:val="20"/>
        </w:rPr>
        <w:t xml:space="preserve">Q2 — Which vehicle types drive the most completed rides and revenue?</w:t>
      </w:r>
      <w:r>
        <w:rPr>
          <w:color w:val="222222"/>
          <w:sz w:val="20"/>
          <w:szCs w:val="20"/>
        </w:rPr>
        <w:t xml:space="preserve">
Auto is the clear leader with 23,155 completed rides (25% ahead of the next closest, Go Mini). Because average fare is nearly identical across vehicle types (roughly $5.28–$5.37), the revenue leaderboard tracks the ride-count leaderboard almost exactly — see Section 5.</w:t>
      </w:r>
    </w:p>
    <w:p>
      <w:pPr>
        <w:pBdr>
          <w:left w:val="single" w:color="0f9b8e" w:sz="20" w:space="10"/>
        </w:pBdr>
        <w:shd w:fill="eef7f6" w:val="clear"/>
        <w:spacing w:after="200"/>
        <w:ind w:left="150"/>
      </w:pPr>
      <w:r>
        <w:rPr>
          <w:b/>
          <w:bCs/>
          <w:color w:val="1a2744"/>
          <w:sz w:val="20"/>
          <w:szCs w:val="20"/>
        </w:rPr>
        <w:t xml:space="preserve">Q3 — What share of requested rides get fulfilled, and where does the funnel leak?</w:t>
      </w:r>
      <w:r>
        <w:rPr>
          <w:color w:val="222222"/>
          <w:sz w:val="20"/>
          <w:szCs w:val="20"/>
        </w:rPr>
        <w:t xml:space="preserve">
Only 62.0% of the 150,000 requests convert into a completed ride. The single biggest leak is driver-side cancellation (18.0% of all requests), followed by 'No Driver Found' (7.0%) — pure lost demand with no fault on either side. See Section 7.</w:t>
      </w:r>
    </w:p>
    <w:p>
      <w:pPr>
        <w:pBdr>
          <w:left w:val="single" w:color="0f9b8e" w:sz="20" w:space="10"/>
        </w:pBdr>
        <w:shd w:fill="eef7f6" w:val="clear"/>
        <w:spacing w:after="200"/>
        <w:ind w:left="150"/>
      </w:pPr>
      <w:r>
        <w:rPr>
          <w:b/>
          <w:bCs/>
          <w:color w:val="1a2744"/>
          <w:sz w:val="20"/>
          <w:szCs w:val="20"/>
        </w:rPr>
        <w:t xml:space="preserve">Q4 — How are drivers and customers rated, and how tight is the distribution?</w:t>
      </w:r>
      <w:r>
        <w:rPr>
          <w:color w:val="222222"/>
          <w:sz w:val="20"/>
          <w:szCs w:val="20"/>
        </w:rPr>
        <w:t xml:space="preserve">
Average driver rating is 4.23/5 and average customer rating is 4.40/5, both tightly banded (drivers rarely fall below 3.0). The distribution is healthy overall, but Section 8 explains how this view should be segmented in production to catch early warning signs.</w:t>
      </w:r>
    </w:p>
    <w:p>
      <w:pPr>
        <w:pBdr>
          <w:left w:val="single" w:color="0f9b8e" w:sz="20" w:space="10"/>
        </w:pBdr>
        <w:shd w:fill="eef7f6" w:val="clear"/>
        <w:spacing w:after="200"/>
        <w:ind w:left="150"/>
      </w:pPr>
      <w:r>
        <w:rPr>
          <w:b/>
          <w:bCs/>
          <w:color w:val="1a2744"/>
          <w:sz w:val="20"/>
          <w:szCs w:val="20"/>
        </w:rPr>
        <w:t xml:space="preserve">Q5 — Where is demand concentrated, and why do cancellations happen?</w:t>
      </w:r>
      <w:r>
        <w:rPr>
          <w:color w:val="222222"/>
          <w:sz w:val="20"/>
          <w:szCs w:val="20"/>
        </w:rPr>
        <w:t xml:space="preserve">
Demand is unusually well-distributed across 176 pickup zones — the busiest zone (Khandsa) accounts for just 0.6% of all requests, so there's no single hotspot to over-index on. Cancellation reasons are similarly spread evenly across causes on both the customer and driver side, meaning no single root cause dominates. See Sections 9 and 11.</w:t>
      </w:r>
    </w:p>
    <w:p>
      <w:pPr>
        <w:pStyle w:val="Heading1"/>
        <w:spacing w:after="160" w:before="360"/>
      </w:pPr>
      <w:r>
        <w:rPr>
          <w:b/>
          <w:bCs/>
          <w:color w:val="1a2744"/>
        </w:rPr>
        <w:t xml:space="preserve">5. Daily Booking &amp; Revenue Trend</w:t>
      </w:r>
    </w:p>
    <w:p>
      <w:pPr>
        <w:spacing w:after="160" w:line="300"/>
      </w:pPr>
      <w:r>
        <w:rPr>
          <w:sz w:val="21"/>
          <w:szCs w:val="21"/>
        </w:rPr>
        <w:t xml:space="preserve">Across the 2024 calendar year: 150,000 total booking requests, of which 93,000 (62.0%) were completed, generating $495,914 in booking value. Volume is remarkably flat year-round — daily bookings range narrowly from 355 to 462, with no strong weekly or seasonal swing, which is typical of a synthetic-but-realistic benchmark dataset rather than a market with sharp event-driven spikes (festival surges, weather events, etc. that a live city would show).</w:t>
      </w:r>
    </w:p>
    <w:p>
      <w:pPr>
        <w:spacing w:after="140" w:before="8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33675"/>
                    </a:xfrm>
                    <a:prstGeom prst="rect">
                      <a:avLst/>
                    </a:prstGeom>
                  </pic:spPr>
                </pic:pic>
              </a:graphicData>
            </a:graphic>
          </wp:inline>
        </w:drawing>
      </w:r>
    </w:p>
    <w:p>
      <w:pPr>
        <w:spacing w:after="220"/>
        <w:jc w:val="center"/>
      </w:pPr>
      <w:r>
        <w:rPr>
          <w:i/>
          <w:iCs/>
          <w:color w:val="6b7280"/>
          <w:sz w:val="18"/>
          <w:szCs w:val="18"/>
        </w:rPr>
        <w:t xml:space="preserve">Figure 1 — 7-day rolling average of daily bookings (navy, left axis) and daily revenue in USD (teal, right axis), Jan–Dec 2024.</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the navy line is a 7-day moving average of how many rides were requested each day (left axis); the teal line is the 7-day moving average of dollars earned from completed rides that day (right axis). The pale gray line in the background is the raw, unsmoothed daily booking count — it shows day-to-day noise that the moving average filters out. When the two colored lines move together, demand and revenue are in sync; a gap between them would signal a change in average fare or completion rate.</w:t>
      </w:r>
    </w:p>
    <w:p>
      <w:pPr>
        <w:spacing w:after="160" w:line="300"/>
      </w:pPr>
      <w:r>
        <w:rPr>
          <w:sz w:val="21"/>
          <w:szCs w:val="21"/>
        </w:rPr>
        <w:t xml:space="preserve">KPI definitions used:</w:t>
      </w:r>
    </w:p>
    <w:p>
      <w:pPr>
        <w:pStyle w:val="ListParagraph"/>
        <w:numPr>
          <w:ilvl w:val="0"/>
          <w:numId w:val="2"/>
        </w:numPr>
        <w:spacing w:after="80"/>
      </w:pPr>
      <w:r>
        <w:rPr>
          <w:sz w:val="21"/>
          <w:szCs w:val="21"/>
        </w:rPr>
        <w:t xml:space="preserve">Daily bookings = count of all booking requests that day, regardless of outcome</w:t>
      </w:r>
    </w:p>
    <w:p>
      <w:pPr>
        <w:pStyle w:val="ListParagraph"/>
        <w:numPr>
          <w:ilvl w:val="0"/>
          <w:numId w:val="2"/>
        </w:numPr>
        <w:spacing w:after="80"/>
      </w:pPr>
      <w:r>
        <w:rPr>
          <w:sz w:val="21"/>
          <w:szCs w:val="21"/>
        </w:rPr>
        <w:t xml:space="preserve">Daily revenue = sum of Booking Value (converted to USD) across only Completed rides that day (uncompleted rides carry no fare)</w:t>
      </w:r>
    </w:p>
    <w:p>
      <w:pPr>
        <w:pStyle w:val="Heading2"/>
        <w:spacing w:after="120" w:before="240"/>
      </w:pPr>
      <w:r>
        <w:rPr>
          <w:b/>
          <w:bCs/>
          <w:color w:val="0f9b8e"/>
          <w:sz w:val="24"/>
          <w:szCs w:val="24"/>
        </w:rPr>
        <w:t xml:space="preserve">Monthly Breakdown</w:t>
      </w:r>
    </w:p>
    <w:p>
      <w:pPr>
        <w:spacing w:after="160" w:line="300"/>
      </w:pPr>
      <w:r>
        <w:rPr>
          <w:sz w:val="21"/>
          <w:szCs w:val="21"/>
        </w:rPr>
        <w:t xml:space="preserve">Rolling the daily data up to monthly totals confirms the flat pattern seen in Figure 1 — every month lands within a narrow band of roughly 11,900 to 12,900 total bookings and $39,400 to $43,800 in completed-ride revenue, with March the strongest month and February the weakest.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00"/>
      </w:tblGrid>
      <w:tr>
        <w:trPr>
          <w:tblHeader/>
        </w:trPr>
        <w:tc>
          <w:tcPr>
            <w:tcW w:type="dxa" w:w="2500"/>
            <w:shd w:fill="1a2744" w:val="clear"/>
          </w:tcPr>
          <w:p>
            <w:r>
              <w:rPr>
                <w:b/>
                <w:bCs/>
                <w:color w:val="FFFFFF"/>
                <w:sz w:val="18"/>
                <w:szCs w:val="18"/>
              </w:rPr>
              <w:t xml:space="preserve">Month</w:t>
            </w:r>
          </w:p>
        </w:tc>
        <w:tc>
          <w:tcPr>
            <w:tcW w:type="dxa" w:w="2200"/>
            <w:shd w:fill="1a2744" w:val="clear"/>
          </w:tcPr>
          <w:p>
            <w:r>
              <w:rPr>
                <w:b/>
                <w:bCs/>
                <w:color w:val="FFFFFF"/>
                <w:sz w:val="18"/>
                <w:szCs w:val="18"/>
              </w:rPr>
              <w:t xml:space="preserve">Total Bookings</w:t>
            </w:r>
          </w:p>
        </w:tc>
        <w:tc>
          <w:tcPr>
            <w:tcW w:type="dxa" w:w="2200"/>
            <w:shd w:fill="1a2744" w:val="clear"/>
          </w:tcPr>
          <w:p>
            <w:r>
              <w:rPr>
                <w:b/>
                <w:bCs/>
                <w:color w:val="FFFFFF"/>
                <w:sz w:val="18"/>
                <w:szCs w:val="18"/>
              </w:rPr>
              <w:t xml:space="preserve">Completed Rides</w:t>
            </w:r>
          </w:p>
        </w:tc>
        <w:tc>
          <w:tcPr>
            <w:tcW w:type="dxa" w:w="2400"/>
            <w:shd w:fill="1a2744" w:val="clear"/>
          </w:tcPr>
          <w:p>
            <w:r>
              <w:rPr>
                <w:b/>
                <w:bCs/>
                <w:color w:val="FFFFFF"/>
                <w:sz w:val="18"/>
                <w:szCs w:val="18"/>
              </w:rPr>
              <w:t xml:space="preserve">Revenue (USD)</w:t>
            </w:r>
          </w:p>
        </w:tc>
      </w:tr>
      <w:tr>
        <w:tc>
          <w:tcPr>
            <w:tcW w:type="dxa" w:w="2500"/>
            <w:shd w:fill="FFFFFF" w:val="clear"/>
          </w:tcPr>
          <w:p>
            <w:r>
              <w:rPr>
                <w:sz w:val="17"/>
                <w:szCs w:val="17"/>
              </w:rPr>
              <w:t xml:space="preserve">January 2024</w:t>
            </w:r>
          </w:p>
        </w:tc>
        <w:tc>
          <w:tcPr>
            <w:tcW w:type="dxa" w:w="2200"/>
            <w:shd w:fill="FFFFFF" w:val="clear"/>
          </w:tcPr>
          <w:p>
            <w:r>
              <w:rPr>
                <w:sz w:val="17"/>
                <w:szCs w:val="17"/>
              </w:rPr>
              <w:t xml:space="preserve">12,861</w:t>
            </w:r>
          </w:p>
        </w:tc>
        <w:tc>
          <w:tcPr>
            <w:tcW w:type="dxa" w:w="2200"/>
            <w:shd w:fill="FFFFFF" w:val="clear"/>
          </w:tcPr>
          <w:p>
            <w:r>
              <w:rPr>
                <w:sz w:val="17"/>
                <w:szCs w:val="17"/>
              </w:rPr>
              <w:t xml:space="preserve">7,951</w:t>
            </w:r>
          </w:p>
        </w:tc>
        <w:tc>
          <w:tcPr>
            <w:tcW w:type="dxa" w:w="2400"/>
            <w:shd w:fill="FFFFFF" w:val="clear"/>
          </w:tcPr>
          <w:p>
            <w:r>
              <w:rPr>
                <w:sz w:val="17"/>
                <w:szCs w:val="17"/>
              </w:rPr>
              <w:t xml:space="preserve">$41,989</w:t>
            </w:r>
          </w:p>
        </w:tc>
      </w:tr>
      <w:tr>
        <w:tc>
          <w:tcPr>
            <w:tcW w:type="dxa" w:w="2500"/>
            <w:shd w:fill="f2f3f5" w:val="clear"/>
          </w:tcPr>
          <w:p>
            <w:r>
              <w:rPr>
                <w:sz w:val="17"/>
                <w:szCs w:val="17"/>
              </w:rPr>
              <w:t xml:space="preserve">February 2024</w:t>
            </w:r>
          </w:p>
        </w:tc>
        <w:tc>
          <w:tcPr>
            <w:tcW w:type="dxa" w:w="2200"/>
            <w:shd w:fill="f2f3f5" w:val="clear"/>
          </w:tcPr>
          <w:p>
            <w:r>
              <w:rPr>
                <w:sz w:val="17"/>
                <w:szCs w:val="17"/>
              </w:rPr>
              <w:t xml:space="preserve">11,927</w:t>
            </w:r>
          </w:p>
        </w:tc>
        <w:tc>
          <w:tcPr>
            <w:tcW w:type="dxa" w:w="2200"/>
            <w:shd w:fill="f2f3f5" w:val="clear"/>
          </w:tcPr>
          <w:p>
            <w:r>
              <w:rPr>
                <w:sz w:val="17"/>
                <w:szCs w:val="17"/>
              </w:rPr>
              <w:t xml:space="preserve">7,368</w:t>
            </w:r>
          </w:p>
        </w:tc>
        <w:tc>
          <w:tcPr>
            <w:tcW w:type="dxa" w:w="2400"/>
            <w:shd w:fill="f2f3f5" w:val="clear"/>
          </w:tcPr>
          <w:p>
            <w:r>
              <w:rPr>
                <w:sz w:val="17"/>
                <w:szCs w:val="17"/>
              </w:rPr>
              <w:t xml:space="preserve">$39,419</w:t>
            </w:r>
          </w:p>
        </w:tc>
      </w:tr>
      <w:tr>
        <w:tc>
          <w:tcPr>
            <w:tcW w:type="dxa" w:w="2500"/>
            <w:shd w:fill="FFFFFF" w:val="clear"/>
          </w:tcPr>
          <w:p>
            <w:r>
              <w:rPr>
                <w:sz w:val="17"/>
                <w:szCs w:val="17"/>
              </w:rPr>
              <w:t xml:space="preserve">March 2024</w:t>
            </w:r>
          </w:p>
        </w:tc>
        <w:tc>
          <w:tcPr>
            <w:tcW w:type="dxa" w:w="2200"/>
            <w:shd w:fill="FFFFFF" w:val="clear"/>
          </w:tcPr>
          <w:p>
            <w:r>
              <w:rPr>
                <w:sz w:val="17"/>
                <w:szCs w:val="17"/>
              </w:rPr>
              <w:t xml:space="preserve">12,719</w:t>
            </w:r>
          </w:p>
        </w:tc>
        <w:tc>
          <w:tcPr>
            <w:tcW w:type="dxa" w:w="2200"/>
            <w:shd w:fill="FFFFFF" w:val="clear"/>
          </w:tcPr>
          <w:p>
            <w:r>
              <w:rPr>
                <w:sz w:val="17"/>
                <w:szCs w:val="17"/>
              </w:rPr>
              <w:t xml:space="preserve">7,954</w:t>
            </w:r>
          </w:p>
        </w:tc>
        <w:tc>
          <w:tcPr>
            <w:tcW w:type="dxa" w:w="2400"/>
            <w:shd w:fill="FFFFFF" w:val="clear"/>
          </w:tcPr>
          <w:p>
            <w:r>
              <w:rPr>
                <w:sz w:val="17"/>
                <w:szCs w:val="17"/>
              </w:rPr>
              <w:t xml:space="preserve">$43,808</w:t>
            </w:r>
          </w:p>
        </w:tc>
      </w:tr>
      <w:tr>
        <w:tc>
          <w:tcPr>
            <w:tcW w:type="dxa" w:w="2500"/>
            <w:shd w:fill="f2f3f5" w:val="clear"/>
          </w:tcPr>
          <w:p>
            <w:r>
              <w:rPr>
                <w:sz w:val="17"/>
                <w:szCs w:val="17"/>
              </w:rPr>
              <w:t xml:space="preserve">April 2024</w:t>
            </w:r>
          </w:p>
        </w:tc>
        <w:tc>
          <w:tcPr>
            <w:tcW w:type="dxa" w:w="2200"/>
            <w:shd w:fill="f2f3f5" w:val="clear"/>
          </w:tcPr>
          <w:p>
            <w:r>
              <w:rPr>
                <w:sz w:val="17"/>
                <w:szCs w:val="17"/>
              </w:rPr>
              <w:t xml:space="preserve">12,199</w:t>
            </w:r>
          </w:p>
        </w:tc>
        <w:tc>
          <w:tcPr>
            <w:tcW w:type="dxa" w:w="2200"/>
            <w:shd w:fill="f2f3f5" w:val="clear"/>
          </w:tcPr>
          <w:p>
            <w:r>
              <w:rPr>
                <w:sz w:val="17"/>
                <w:szCs w:val="17"/>
              </w:rPr>
              <w:t xml:space="preserve">7,632</w:t>
            </w:r>
          </w:p>
        </w:tc>
        <w:tc>
          <w:tcPr>
            <w:tcW w:type="dxa" w:w="2400"/>
            <w:shd w:fill="f2f3f5" w:val="clear"/>
          </w:tcPr>
          <w:p>
            <w:r>
              <w:rPr>
                <w:sz w:val="17"/>
                <w:szCs w:val="17"/>
              </w:rPr>
              <w:t xml:space="preserve">$40,769</w:t>
            </w:r>
          </w:p>
        </w:tc>
      </w:tr>
      <w:tr>
        <w:tc>
          <w:tcPr>
            <w:tcW w:type="dxa" w:w="2500"/>
            <w:shd w:fill="FFFFFF" w:val="clear"/>
          </w:tcPr>
          <w:p>
            <w:r>
              <w:rPr>
                <w:sz w:val="17"/>
                <w:szCs w:val="17"/>
              </w:rPr>
              <w:t xml:space="preserve">May 2024</w:t>
            </w:r>
          </w:p>
        </w:tc>
        <w:tc>
          <w:tcPr>
            <w:tcW w:type="dxa" w:w="2200"/>
            <w:shd w:fill="FFFFFF" w:val="clear"/>
          </w:tcPr>
          <w:p>
            <w:r>
              <w:rPr>
                <w:sz w:val="17"/>
                <w:szCs w:val="17"/>
              </w:rPr>
              <w:t xml:space="preserve">12,778</w:t>
            </w:r>
          </w:p>
        </w:tc>
        <w:tc>
          <w:tcPr>
            <w:tcW w:type="dxa" w:w="2200"/>
            <w:shd w:fill="FFFFFF" w:val="clear"/>
          </w:tcPr>
          <w:p>
            <w:r>
              <w:rPr>
                <w:sz w:val="17"/>
                <w:szCs w:val="17"/>
              </w:rPr>
              <w:t xml:space="preserve">7,905</w:t>
            </w:r>
          </w:p>
        </w:tc>
        <w:tc>
          <w:tcPr>
            <w:tcW w:type="dxa" w:w="2400"/>
            <w:shd w:fill="FFFFFF" w:val="clear"/>
          </w:tcPr>
          <w:p>
            <w:r>
              <w:rPr>
                <w:sz w:val="17"/>
                <w:szCs w:val="17"/>
              </w:rPr>
              <w:t xml:space="preserve">$41,293</w:t>
            </w:r>
          </w:p>
        </w:tc>
      </w:tr>
      <w:tr>
        <w:tc>
          <w:tcPr>
            <w:tcW w:type="dxa" w:w="2500"/>
            <w:shd w:fill="f2f3f5" w:val="clear"/>
          </w:tcPr>
          <w:p>
            <w:r>
              <w:rPr>
                <w:sz w:val="17"/>
                <w:szCs w:val="17"/>
              </w:rPr>
              <w:t xml:space="preserve">June 2024</w:t>
            </w:r>
          </w:p>
        </w:tc>
        <w:tc>
          <w:tcPr>
            <w:tcW w:type="dxa" w:w="2200"/>
            <w:shd w:fill="f2f3f5" w:val="clear"/>
          </w:tcPr>
          <w:p>
            <w:r>
              <w:rPr>
                <w:sz w:val="17"/>
                <w:szCs w:val="17"/>
              </w:rPr>
              <w:t xml:space="preserve">12,440</w:t>
            </w:r>
          </w:p>
        </w:tc>
        <w:tc>
          <w:tcPr>
            <w:tcW w:type="dxa" w:w="2200"/>
            <w:shd w:fill="f2f3f5" w:val="clear"/>
          </w:tcPr>
          <w:p>
            <w:r>
              <w:rPr>
                <w:sz w:val="17"/>
                <w:szCs w:val="17"/>
              </w:rPr>
              <w:t xml:space="preserve">7,757</w:t>
            </w:r>
          </w:p>
        </w:tc>
        <w:tc>
          <w:tcPr>
            <w:tcW w:type="dxa" w:w="2400"/>
            <w:shd w:fill="f2f3f5" w:val="clear"/>
          </w:tcPr>
          <w:p>
            <w:r>
              <w:rPr>
                <w:sz w:val="17"/>
                <w:szCs w:val="17"/>
              </w:rPr>
              <w:t xml:space="preserve">$41,598</w:t>
            </w:r>
          </w:p>
        </w:tc>
      </w:tr>
      <w:tr>
        <w:tc>
          <w:tcPr>
            <w:tcW w:type="dxa" w:w="2500"/>
            <w:shd w:fill="FFFFFF" w:val="clear"/>
          </w:tcPr>
          <w:p>
            <w:r>
              <w:rPr>
                <w:sz w:val="17"/>
                <w:szCs w:val="17"/>
              </w:rPr>
              <w:t xml:space="preserve">July 2024</w:t>
            </w:r>
          </w:p>
        </w:tc>
        <w:tc>
          <w:tcPr>
            <w:tcW w:type="dxa" w:w="2200"/>
            <w:shd w:fill="FFFFFF" w:val="clear"/>
          </w:tcPr>
          <w:p>
            <w:r>
              <w:rPr>
                <w:sz w:val="17"/>
                <w:szCs w:val="17"/>
              </w:rPr>
              <w:t xml:space="preserve">12,897</w:t>
            </w:r>
          </w:p>
        </w:tc>
        <w:tc>
          <w:tcPr>
            <w:tcW w:type="dxa" w:w="2200"/>
            <w:shd w:fill="FFFFFF" w:val="clear"/>
          </w:tcPr>
          <w:p>
            <w:r>
              <w:rPr>
                <w:sz w:val="17"/>
                <w:szCs w:val="17"/>
              </w:rPr>
              <w:t xml:space="preserve">7,926</w:t>
            </w:r>
          </w:p>
        </w:tc>
        <w:tc>
          <w:tcPr>
            <w:tcW w:type="dxa" w:w="2400"/>
            <w:shd w:fill="FFFFFF" w:val="clear"/>
          </w:tcPr>
          <w:p>
            <w:r>
              <w:rPr>
                <w:sz w:val="17"/>
                <w:szCs w:val="17"/>
              </w:rPr>
              <w:t xml:space="preserve">$41,573</w:t>
            </w:r>
          </w:p>
        </w:tc>
      </w:tr>
      <w:tr>
        <w:tc>
          <w:tcPr>
            <w:tcW w:type="dxa" w:w="2500"/>
            <w:shd w:fill="f2f3f5" w:val="clear"/>
          </w:tcPr>
          <w:p>
            <w:r>
              <w:rPr>
                <w:sz w:val="17"/>
                <w:szCs w:val="17"/>
              </w:rPr>
              <w:t xml:space="preserve">August 2024</w:t>
            </w:r>
          </w:p>
        </w:tc>
        <w:tc>
          <w:tcPr>
            <w:tcW w:type="dxa" w:w="2200"/>
            <w:shd w:fill="f2f3f5" w:val="clear"/>
          </w:tcPr>
          <w:p>
            <w:r>
              <w:rPr>
                <w:sz w:val="17"/>
                <w:szCs w:val="17"/>
              </w:rPr>
              <w:t xml:space="preserve">12,636</w:t>
            </w:r>
          </w:p>
        </w:tc>
        <w:tc>
          <w:tcPr>
            <w:tcW w:type="dxa" w:w="2200"/>
            <w:shd w:fill="f2f3f5" w:val="clear"/>
          </w:tcPr>
          <w:p>
            <w:r>
              <w:rPr>
                <w:sz w:val="17"/>
                <w:szCs w:val="17"/>
              </w:rPr>
              <w:t xml:space="preserve">7,780</w:t>
            </w:r>
          </w:p>
        </w:tc>
        <w:tc>
          <w:tcPr>
            <w:tcW w:type="dxa" w:w="2400"/>
            <w:shd w:fill="f2f3f5" w:val="clear"/>
          </w:tcPr>
          <w:p>
            <w:r>
              <w:rPr>
                <w:sz w:val="17"/>
                <w:szCs w:val="17"/>
              </w:rPr>
              <w:t xml:space="preserve">$40,585</w:t>
            </w:r>
          </w:p>
        </w:tc>
      </w:tr>
      <w:tr>
        <w:tc>
          <w:tcPr>
            <w:tcW w:type="dxa" w:w="2500"/>
            <w:shd w:fill="FFFFFF" w:val="clear"/>
          </w:tcPr>
          <w:p>
            <w:r>
              <w:rPr>
                <w:sz w:val="17"/>
                <w:szCs w:val="17"/>
              </w:rPr>
              <w:t xml:space="preserve">September 2024</w:t>
            </w:r>
          </w:p>
        </w:tc>
        <w:tc>
          <w:tcPr>
            <w:tcW w:type="dxa" w:w="2200"/>
            <w:shd w:fill="FFFFFF" w:val="clear"/>
          </w:tcPr>
          <w:p>
            <w:r>
              <w:rPr>
                <w:sz w:val="17"/>
                <w:szCs w:val="17"/>
              </w:rPr>
              <w:t xml:space="preserve">12,248</w:t>
            </w:r>
          </w:p>
        </w:tc>
        <w:tc>
          <w:tcPr>
            <w:tcW w:type="dxa" w:w="2200"/>
            <w:shd w:fill="FFFFFF" w:val="clear"/>
          </w:tcPr>
          <w:p>
            <w:r>
              <w:rPr>
                <w:sz w:val="17"/>
                <w:szCs w:val="17"/>
              </w:rPr>
              <w:t xml:space="preserve">7,542</w:t>
            </w:r>
          </w:p>
        </w:tc>
        <w:tc>
          <w:tcPr>
            <w:tcW w:type="dxa" w:w="2400"/>
            <w:shd w:fill="FFFFFF" w:val="clear"/>
          </w:tcPr>
          <w:p>
            <w:r>
              <w:rPr>
                <w:sz w:val="17"/>
                <w:szCs w:val="17"/>
              </w:rPr>
              <w:t xml:space="preserve">$40,090</w:t>
            </w:r>
          </w:p>
        </w:tc>
      </w:tr>
      <w:tr>
        <w:tc>
          <w:tcPr>
            <w:tcW w:type="dxa" w:w="2500"/>
            <w:shd w:fill="f2f3f5" w:val="clear"/>
          </w:tcPr>
          <w:p>
            <w:r>
              <w:rPr>
                <w:sz w:val="17"/>
                <w:szCs w:val="17"/>
              </w:rPr>
              <w:t xml:space="preserve">October 2024</w:t>
            </w:r>
          </w:p>
        </w:tc>
        <w:tc>
          <w:tcPr>
            <w:tcW w:type="dxa" w:w="2200"/>
            <w:shd w:fill="f2f3f5" w:val="clear"/>
          </w:tcPr>
          <w:p>
            <w:r>
              <w:rPr>
                <w:sz w:val="17"/>
                <w:szCs w:val="17"/>
              </w:rPr>
              <w:t xml:space="preserve">12,651</w:t>
            </w:r>
          </w:p>
        </w:tc>
        <w:tc>
          <w:tcPr>
            <w:tcW w:type="dxa" w:w="2200"/>
            <w:shd w:fill="f2f3f5" w:val="clear"/>
          </w:tcPr>
          <w:p>
            <w:r>
              <w:rPr>
                <w:sz w:val="17"/>
                <w:szCs w:val="17"/>
              </w:rPr>
              <w:t xml:space="preserve">7,905</w:t>
            </w:r>
          </w:p>
        </w:tc>
        <w:tc>
          <w:tcPr>
            <w:tcW w:type="dxa" w:w="2400"/>
            <w:shd w:fill="f2f3f5" w:val="clear"/>
          </w:tcPr>
          <w:p>
            <w:r>
              <w:rPr>
                <w:sz w:val="17"/>
                <w:szCs w:val="17"/>
              </w:rPr>
              <w:t xml:space="preserve">$42,061</w:t>
            </w:r>
          </w:p>
        </w:tc>
      </w:tr>
      <w:tr>
        <w:tc>
          <w:tcPr>
            <w:tcW w:type="dxa" w:w="2500"/>
            <w:shd w:fill="FFFFFF" w:val="clear"/>
          </w:tcPr>
          <w:p>
            <w:r>
              <w:rPr>
                <w:sz w:val="17"/>
                <w:szCs w:val="17"/>
              </w:rPr>
              <w:t xml:space="preserve">November 2024</w:t>
            </w:r>
          </w:p>
        </w:tc>
        <w:tc>
          <w:tcPr>
            <w:tcW w:type="dxa" w:w="2200"/>
            <w:shd w:fill="FFFFFF" w:val="clear"/>
          </w:tcPr>
          <w:p>
            <w:r>
              <w:rPr>
                <w:sz w:val="17"/>
                <w:szCs w:val="17"/>
              </w:rPr>
              <w:t xml:space="preserve">12,394</w:t>
            </w:r>
          </w:p>
        </w:tc>
        <w:tc>
          <w:tcPr>
            <w:tcW w:type="dxa" w:w="2200"/>
            <w:shd w:fill="FFFFFF" w:val="clear"/>
          </w:tcPr>
          <w:p>
            <w:r>
              <w:rPr>
                <w:sz w:val="17"/>
                <w:szCs w:val="17"/>
              </w:rPr>
              <w:t xml:space="preserve">7,659</w:t>
            </w:r>
          </w:p>
        </w:tc>
        <w:tc>
          <w:tcPr>
            <w:tcW w:type="dxa" w:w="2400"/>
            <w:shd w:fill="FFFFFF" w:val="clear"/>
          </w:tcPr>
          <w:p>
            <w:r>
              <w:rPr>
                <w:sz w:val="17"/>
                <w:szCs w:val="17"/>
              </w:rPr>
              <w:t xml:space="preserve">$41,327</w:t>
            </w:r>
          </w:p>
        </w:tc>
      </w:tr>
      <w:tr>
        <w:tc>
          <w:tcPr>
            <w:tcW w:type="dxa" w:w="2500"/>
            <w:shd w:fill="f2f3f5" w:val="clear"/>
          </w:tcPr>
          <w:p>
            <w:r>
              <w:rPr>
                <w:sz w:val="17"/>
                <w:szCs w:val="17"/>
              </w:rPr>
              <w:t xml:space="preserve">December 2024</w:t>
            </w:r>
          </w:p>
        </w:tc>
        <w:tc>
          <w:tcPr>
            <w:tcW w:type="dxa" w:w="2200"/>
            <w:shd w:fill="f2f3f5" w:val="clear"/>
          </w:tcPr>
          <w:p>
            <w:r>
              <w:rPr>
                <w:sz w:val="17"/>
                <w:szCs w:val="17"/>
              </w:rPr>
              <w:t xml:space="preserve">12,250</w:t>
            </w:r>
          </w:p>
        </w:tc>
        <w:tc>
          <w:tcPr>
            <w:tcW w:type="dxa" w:w="2200"/>
            <w:shd w:fill="f2f3f5" w:val="clear"/>
          </w:tcPr>
          <w:p>
            <w:r>
              <w:rPr>
                <w:sz w:val="17"/>
                <w:szCs w:val="17"/>
              </w:rPr>
              <w:t xml:space="preserve">7,621</w:t>
            </w:r>
          </w:p>
        </w:tc>
        <w:tc>
          <w:tcPr>
            <w:tcW w:type="dxa" w:w="2400"/>
            <w:shd w:fill="f2f3f5" w:val="clear"/>
          </w:tcPr>
          <w:p>
            <w:r>
              <w:rPr>
                <w:sz w:val="17"/>
                <w:szCs w:val="17"/>
              </w:rPr>
              <w:t xml:space="preserve">$41,403</w:t>
            </w:r>
          </w:p>
        </w:tc>
      </w:tr>
    </w:tbl>
    <w:p>
      <w:pPr>
        <w:pStyle w:val="Heading2"/>
        <w:spacing w:after="120" w:before="240"/>
      </w:pPr>
      <w:r>
        <w:rPr>
          <w:b/>
          <w:bCs/>
          <w:color w:val="0f9b8e"/>
          <w:sz w:val="24"/>
          <w:szCs w:val="24"/>
        </w:rPr>
        <w:t xml:space="preserve">Day-of-Week Pattern</w:t>
      </w:r>
    </w:p>
    <w:p>
      <w:pPr>
        <w:spacing w:after="160" w:line="300"/>
      </w:pPr>
      <w:r>
        <w:rPr>
          <w:sz w:val="21"/>
          <w:szCs w:val="21"/>
        </w:rPr>
        <w:t xml:space="preserve">Completion rate is slightly higher on weekends (Saturday 62.4%, Sunday 62.2%) than on Mondays (61.5%), a small but consistent gap that likely reflects less rushed, less commute-driven trip requests on weekends.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00"/>
      </w:tblGrid>
      <w:tr>
        <w:trPr>
          <w:tblHeader/>
        </w:trPr>
        <w:tc>
          <w:tcPr>
            <w:tcW w:type="dxa" w:w="2500"/>
            <w:shd w:fill="1a2744" w:val="clear"/>
          </w:tcPr>
          <w:p>
            <w:r>
              <w:rPr>
                <w:b/>
                <w:bCs/>
                <w:color w:val="FFFFFF"/>
                <w:sz w:val="18"/>
                <w:szCs w:val="18"/>
              </w:rPr>
              <w:t xml:space="preserve">Day</w:t>
            </w:r>
          </w:p>
        </w:tc>
        <w:tc>
          <w:tcPr>
            <w:tcW w:type="dxa" w:w="2200"/>
            <w:shd w:fill="1a2744" w:val="clear"/>
          </w:tcPr>
          <w:p>
            <w:r>
              <w:rPr>
                <w:b/>
                <w:bCs/>
                <w:color w:val="FFFFFF"/>
                <w:sz w:val="18"/>
                <w:szCs w:val="18"/>
              </w:rPr>
              <w:t xml:space="preserve">Total Bookings</w:t>
            </w:r>
          </w:p>
        </w:tc>
        <w:tc>
          <w:tcPr>
            <w:tcW w:type="dxa" w:w="2200"/>
            <w:shd w:fill="1a2744" w:val="clear"/>
          </w:tcPr>
          <w:p>
            <w:r>
              <w:rPr>
                <w:b/>
                <w:bCs/>
                <w:color w:val="FFFFFF"/>
                <w:sz w:val="18"/>
                <w:szCs w:val="18"/>
              </w:rPr>
              <w:t xml:space="preserve">Completed Rides</w:t>
            </w:r>
          </w:p>
        </w:tc>
        <w:tc>
          <w:tcPr>
            <w:tcW w:type="dxa" w:w="2400"/>
            <w:shd w:fill="1a2744" w:val="clear"/>
          </w:tcPr>
          <w:p>
            <w:r>
              <w:rPr>
                <w:b/>
                <w:bCs/>
                <w:color w:val="FFFFFF"/>
                <w:sz w:val="18"/>
                <w:szCs w:val="18"/>
              </w:rPr>
              <w:t xml:space="preserve">Completion Rate</w:t>
            </w:r>
          </w:p>
        </w:tc>
      </w:tr>
      <w:tr>
        <w:tc>
          <w:tcPr>
            <w:tcW w:type="dxa" w:w="2500"/>
            <w:shd w:fill="FFFFFF" w:val="clear"/>
          </w:tcPr>
          <w:p>
            <w:r>
              <w:rPr>
                <w:sz w:val="17"/>
                <w:szCs w:val="17"/>
              </w:rPr>
              <w:t xml:space="preserve">Monday</w:t>
            </w:r>
          </w:p>
        </w:tc>
        <w:tc>
          <w:tcPr>
            <w:tcW w:type="dxa" w:w="2200"/>
            <w:shd w:fill="FFFFFF" w:val="clear"/>
          </w:tcPr>
          <w:p>
            <w:r>
              <w:rPr>
                <w:sz w:val="17"/>
                <w:szCs w:val="17"/>
              </w:rPr>
              <w:t xml:space="preserve">21,644</w:t>
            </w:r>
          </w:p>
        </w:tc>
        <w:tc>
          <w:tcPr>
            <w:tcW w:type="dxa" w:w="2200"/>
            <w:shd w:fill="FFFFFF" w:val="clear"/>
          </w:tcPr>
          <w:p>
            <w:r>
              <w:rPr>
                <w:sz w:val="17"/>
                <w:szCs w:val="17"/>
              </w:rPr>
              <w:t xml:space="preserve">13,318</w:t>
            </w:r>
          </w:p>
        </w:tc>
        <w:tc>
          <w:tcPr>
            <w:tcW w:type="dxa" w:w="2400"/>
            <w:shd w:fill="FFFFFF" w:val="clear"/>
          </w:tcPr>
          <w:p>
            <w:r>
              <w:rPr>
                <w:sz w:val="17"/>
                <w:szCs w:val="17"/>
              </w:rPr>
              <w:t xml:space="preserve">61.5%</w:t>
            </w:r>
          </w:p>
        </w:tc>
      </w:tr>
      <w:tr>
        <w:tc>
          <w:tcPr>
            <w:tcW w:type="dxa" w:w="2500"/>
            <w:shd w:fill="f2f3f5" w:val="clear"/>
          </w:tcPr>
          <w:p>
            <w:r>
              <w:rPr>
                <w:sz w:val="17"/>
                <w:szCs w:val="17"/>
              </w:rPr>
              <w:t xml:space="preserve">Tuesday</w:t>
            </w:r>
          </w:p>
        </w:tc>
        <w:tc>
          <w:tcPr>
            <w:tcW w:type="dxa" w:w="2200"/>
            <w:shd w:fill="f2f3f5" w:val="clear"/>
          </w:tcPr>
          <w:p>
            <w:r>
              <w:rPr>
                <w:sz w:val="17"/>
                <w:szCs w:val="17"/>
              </w:rPr>
              <w:t xml:space="preserve">21,391</w:t>
            </w:r>
          </w:p>
        </w:tc>
        <w:tc>
          <w:tcPr>
            <w:tcW w:type="dxa" w:w="2200"/>
            <w:shd w:fill="f2f3f5" w:val="clear"/>
          </w:tcPr>
          <w:p>
            <w:r>
              <w:rPr>
                <w:sz w:val="17"/>
                <w:szCs w:val="17"/>
              </w:rPr>
              <w:t xml:space="preserve">13,171</w:t>
            </w:r>
          </w:p>
        </w:tc>
        <w:tc>
          <w:tcPr>
            <w:tcW w:type="dxa" w:w="2400"/>
            <w:shd w:fill="f2f3f5" w:val="clear"/>
          </w:tcPr>
          <w:p>
            <w:r>
              <w:rPr>
                <w:sz w:val="17"/>
                <w:szCs w:val="17"/>
              </w:rPr>
              <w:t xml:space="preserve">61.6%</w:t>
            </w:r>
          </w:p>
        </w:tc>
      </w:tr>
      <w:tr>
        <w:tc>
          <w:tcPr>
            <w:tcW w:type="dxa" w:w="2500"/>
            <w:shd w:fill="FFFFFF" w:val="clear"/>
          </w:tcPr>
          <w:p>
            <w:r>
              <w:rPr>
                <w:sz w:val="17"/>
                <w:szCs w:val="17"/>
              </w:rPr>
              <w:t xml:space="preserve">Wednesday</w:t>
            </w:r>
          </w:p>
        </w:tc>
        <w:tc>
          <w:tcPr>
            <w:tcW w:type="dxa" w:w="2200"/>
            <w:shd w:fill="FFFFFF" w:val="clear"/>
          </w:tcPr>
          <w:p>
            <w:r>
              <w:rPr>
                <w:sz w:val="17"/>
                <w:szCs w:val="17"/>
              </w:rPr>
              <w:t xml:space="preserve">21,413</w:t>
            </w:r>
          </w:p>
        </w:tc>
        <w:tc>
          <w:tcPr>
            <w:tcW w:type="dxa" w:w="2200"/>
            <w:shd w:fill="FFFFFF" w:val="clear"/>
          </w:tcPr>
          <w:p>
            <w:r>
              <w:rPr>
                <w:sz w:val="17"/>
                <w:szCs w:val="17"/>
              </w:rPr>
              <w:t xml:space="preserve">13,296</w:t>
            </w:r>
          </w:p>
        </w:tc>
        <w:tc>
          <w:tcPr>
            <w:tcW w:type="dxa" w:w="2400"/>
            <w:shd w:fill="FFFFFF" w:val="clear"/>
          </w:tcPr>
          <w:p>
            <w:r>
              <w:rPr>
                <w:sz w:val="17"/>
                <w:szCs w:val="17"/>
              </w:rPr>
              <w:t xml:space="preserve">62.1%</w:t>
            </w:r>
          </w:p>
        </w:tc>
      </w:tr>
      <w:tr>
        <w:tc>
          <w:tcPr>
            <w:tcW w:type="dxa" w:w="2500"/>
            <w:shd w:fill="f2f3f5" w:val="clear"/>
          </w:tcPr>
          <w:p>
            <w:r>
              <w:rPr>
                <w:sz w:val="17"/>
                <w:szCs w:val="17"/>
              </w:rPr>
              <w:t xml:space="preserve">Thursday</w:t>
            </w:r>
          </w:p>
        </w:tc>
        <w:tc>
          <w:tcPr>
            <w:tcW w:type="dxa" w:w="2200"/>
            <w:shd w:fill="f2f3f5" w:val="clear"/>
          </w:tcPr>
          <w:p>
            <w:r>
              <w:rPr>
                <w:sz w:val="17"/>
                <w:szCs w:val="17"/>
              </w:rPr>
              <w:t xml:space="preserve">21,215</w:t>
            </w:r>
          </w:p>
        </w:tc>
        <w:tc>
          <w:tcPr>
            <w:tcW w:type="dxa" w:w="2200"/>
            <w:shd w:fill="f2f3f5" w:val="clear"/>
          </w:tcPr>
          <w:p>
            <w:r>
              <w:rPr>
                <w:sz w:val="17"/>
                <w:szCs w:val="17"/>
              </w:rPr>
              <w:t xml:space="preserve">13,206</w:t>
            </w:r>
          </w:p>
        </w:tc>
        <w:tc>
          <w:tcPr>
            <w:tcW w:type="dxa" w:w="2400"/>
            <w:shd w:fill="f2f3f5" w:val="clear"/>
          </w:tcPr>
          <w:p>
            <w:r>
              <w:rPr>
                <w:sz w:val="17"/>
                <w:szCs w:val="17"/>
              </w:rPr>
              <w:t xml:space="preserve">62.2%</w:t>
            </w:r>
          </w:p>
        </w:tc>
      </w:tr>
      <w:tr>
        <w:tc>
          <w:tcPr>
            <w:tcW w:type="dxa" w:w="2500"/>
            <w:shd w:fill="FFFFFF" w:val="clear"/>
          </w:tcPr>
          <w:p>
            <w:r>
              <w:rPr>
                <w:sz w:val="17"/>
                <w:szCs w:val="17"/>
              </w:rPr>
              <w:t xml:space="preserve">Friday</w:t>
            </w:r>
          </w:p>
        </w:tc>
        <w:tc>
          <w:tcPr>
            <w:tcW w:type="dxa" w:w="2200"/>
            <w:shd w:fill="FFFFFF" w:val="clear"/>
          </w:tcPr>
          <w:p>
            <w:r>
              <w:rPr>
                <w:sz w:val="17"/>
                <w:szCs w:val="17"/>
              </w:rPr>
              <w:t xml:space="preserve">21,397</w:t>
            </w:r>
          </w:p>
        </w:tc>
        <w:tc>
          <w:tcPr>
            <w:tcW w:type="dxa" w:w="2200"/>
            <w:shd w:fill="FFFFFF" w:val="clear"/>
          </w:tcPr>
          <w:p>
            <w:r>
              <w:rPr>
                <w:sz w:val="17"/>
                <w:szCs w:val="17"/>
              </w:rPr>
              <w:t xml:space="preserve">13,253</w:t>
            </w:r>
          </w:p>
        </w:tc>
        <w:tc>
          <w:tcPr>
            <w:tcW w:type="dxa" w:w="2400"/>
            <w:shd w:fill="FFFFFF" w:val="clear"/>
          </w:tcPr>
          <w:p>
            <w:r>
              <w:rPr>
                <w:sz w:val="17"/>
                <w:szCs w:val="17"/>
              </w:rPr>
              <w:t xml:space="preserve">61.9%</w:t>
            </w:r>
          </w:p>
        </w:tc>
      </w:tr>
      <w:tr>
        <w:tc>
          <w:tcPr>
            <w:tcW w:type="dxa" w:w="2500"/>
            <w:shd w:fill="f2f3f5" w:val="clear"/>
          </w:tcPr>
          <w:p>
            <w:r>
              <w:rPr>
                <w:sz w:val="17"/>
                <w:szCs w:val="17"/>
              </w:rPr>
              <w:t xml:space="preserve">Saturday</w:t>
            </w:r>
          </w:p>
        </w:tc>
        <w:tc>
          <w:tcPr>
            <w:tcW w:type="dxa" w:w="2200"/>
            <w:shd w:fill="f2f3f5" w:val="clear"/>
          </w:tcPr>
          <w:p>
            <w:r>
              <w:rPr>
                <w:sz w:val="17"/>
                <w:szCs w:val="17"/>
              </w:rPr>
              <w:t xml:space="preserve">21,542</w:t>
            </w:r>
          </w:p>
        </w:tc>
        <w:tc>
          <w:tcPr>
            <w:tcW w:type="dxa" w:w="2200"/>
            <w:shd w:fill="f2f3f5" w:val="clear"/>
          </w:tcPr>
          <w:p>
            <w:r>
              <w:rPr>
                <w:sz w:val="17"/>
                <w:szCs w:val="17"/>
              </w:rPr>
              <w:t xml:space="preserve">13,442</w:t>
            </w:r>
          </w:p>
        </w:tc>
        <w:tc>
          <w:tcPr>
            <w:tcW w:type="dxa" w:w="2400"/>
            <w:shd w:fill="f2f3f5" w:val="clear"/>
          </w:tcPr>
          <w:p>
            <w:r>
              <w:rPr>
                <w:sz w:val="17"/>
                <w:szCs w:val="17"/>
              </w:rPr>
              <w:t xml:space="preserve">62.4%</w:t>
            </w:r>
          </w:p>
        </w:tc>
      </w:tr>
      <w:tr>
        <w:tc>
          <w:tcPr>
            <w:tcW w:type="dxa" w:w="2500"/>
            <w:shd w:fill="FFFFFF" w:val="clear"/>
          </w:tcPr>
          <w:p>
            <w:r>
              <w:rPr>
                <w:sz w:val="17"/>
                <w:szCs w:val="17"/>
              </w:rPr>
              <w:t xml:space="preserve">Sunday</w:t>
            </w:r>
          </w:p>
        </w:tc>
        <w:tc>
          <w:tcPr>
            <w:tcW w:type="dxa" w:w="2200"/>
            <w:shd w:fill="FFFFFF" w:val="clear"/>
          </w:tcPr>
          <w:p>
            <w:r>
              <w:rPr>
                <w:sz w:val="17"/>
                <w:szCs w:val="17"/>
              </w:rPr>
              <w:t xml:space="preserve">21,398</w:t>
            </w:r>
          </w:p>
        </w:tc>
        <w:tc>
          <w:tcPr>
            <w:tcW w:type="dxa" w:w="2200"/>
            <w:shd w:fill="FFFFFF" w:val="clear"/>
          </w:tcPr>
          <w:p>
            <w:r>
              <w:rPr>
                <w:sz w:val="17"/>
                <w:szCs w:val="17"/>
              </w:rPr>
              <w:t xml:space="preserve">13,314</w:t>
            </w:r>
          </w:p>
        </w:tc>
        <w:tc>
          <w:tcPr>
            <w:tcW w:type="dxa" w:w="2400"/>
            <w:shd w:fill="FFFFFF" w:val="clear"/>
          </w:tcPr>
          <w:p>
            <w:r>
              <w:rPr>
                <w:sz w:val="17"/>
                <w:szCs w:val="17"/>
              </w:rPr>
              <w:t xml:space="preserve">62.2%</w:t>
            </w:r>
          </w:p>
        </w:tc>
      </w:tr>
    </w:tbl>
    <w:p>
      <w:pPr>
        <w:pStyle w:val="Heading1"/>
        <w:spacing w:after="160" w:before="360"/>
      </w:pPr>
      <w:r>
        <w:rPr>
          <w:b/>
          <w:bCs/>
          <w:color w:val="1a2744"/>
        </w:rPr>
        <w:t xml:space="preserve">6. Hourly Demand Pattern</w:t>
      </w:r>
    </w:p>
    <w:p>
      <w:pPr>
        <w:spacing w:after="160" w:line="300"/>
      </w:pPr>
      <w:r>
        <w:rPr>
          <w:sz w:val="21"/>
          <w:szCs w:val="21"/>
        </w:rPr>
        <w:t xml:space="preserve">Unlike the day-over-day view, the hour-of-day view shows real structure. Demand builds from a low of 1,321 requests at 4am to a hard peak of 12,397 requests at 6pm. The evening window (5pm–7pm) alone accounts for 23.0% of all daily bookings, versus 13.7% in the morning commute window (7am–9am) — evening demand is roughly 70% higher than morning demand, likely reflecting a mix of commute-home traffic and evening leisure trips.</w:t>
      </w:r>
    </w:p>
    <w:p>
      <w:pPr>
        <w:spacing w:after="140" w:before="8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24150"/>
                    </a:xfrm>
                    <a:prstGeom prst="rect">
                      <a:avLst/>
                    </a:prstGeom>
                  </pic:spPr>
                </pic:pic>
              </a:graphicData>
            </a:graphic>
          </wp:inline>
        </w:drawing>
      </w:r>
    </w:p>
    <w:p>
      <w:pPr>
        <w:spacing w:after="220"/>
        <w:jc w:val="center"/>
      </w:pPr>
      <w:r>
        <w:rPr>
          <w:i/>
          <w:iCs/>
          <w:color w:val="6b7280"/>
          <w:sz w:val="18"/>
          <w:szCs w:val="18"/>
        </w:rPr>
        <w:t xml:space="preserve">Figure 2 — Total booking requests by hour of day, aggregated across all 365 days. Gold = morning peak window, red = evening peak window.</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each bar is the total number of ride requests placed during that hour of the day, summed across the entire year. This is the chart a fleet operations team would use to plan driver shift incentives — the evening bars (red) are where the fleet is most likely to run short of supply, since that's also where 'No Driver Found' cancellations are most likely to concentrate.</w:t>
      </w:r>
    </w:p>
    <w:p>
      <w:pPr>
        <w:spacing w:after="160" w:line="300"/>
      </w:pPr>
      <w:r>
        <w:rPr>
          <w:sz w:val="21"/>
          <w:szCs w:val="21"/>
        </w:rPr>
        <w:t xml:space="preserve">This is the single most operationally useful chart in the report for a live system: it directly informs driver shift scheduling and surge-pricing windows, and in production would be cut further by weekday vs. weekend to separate commute-driven demand from leisure-driven demand.</w:t>
      </w:r>
    </w:p>
    <w:p>
      <w:r>
        <w:br w:type="page"/>
      </w:r>
    </w:p>
    <w:p>
      <w:pPr>
        <w:pStyle w:val="Heading1"/>
        <w:spacing w:after="160" w:before="360"/>
      </w:pPr>
      <w:r>
        <w:rPr>
          <w:b/>
          <w:bCs/>
          <w:color w:val="1a2744"/>
        </w:rPr>
        <w:t xml:space="preserve">7. Best-Selling Vehicle Types</w:t>
      </w:r>
    </w:p>
    <w:p>
      <w:pPr>
        <w:spacing w:after="160" w:line="300"/>
      </w:pPr>
      <w:r>
        <w:rPr>
          <w:sz w:val="21"/>
          <w:szCs w:val="21"/>
        </w:rPr>
        <w:t xml:space="preserve">Auto led with 23,155 completed rides — about 25% more than the next closest option (Go Mini, 18,549) — making it the 'hero' vehicle type in this market, consistent with Auto being the lowest-cost, highest-availability option in NCR traffic.</w:t>
      </w:r>
    </w:p>
    <w:p>
      <w:pPr>
        <w:spacing w:after="140" w:before="8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i/>
          <w:iCs/>
          <w:color w:val="6b7280"/>
          <w:sz w:val="18"/>
          <w:szCs w:val="18"/>
        </w:rPr>
        <w:t xml:space="preserve">Figure 3 — Completed rides by vehicle type, full year.</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bars are sorted by total completed-ride volume, largest at top. This ranks vehicle types by demand fulfilled, not by demand requested — a vehicle type could rank lower here either because fewer people request it, or because a larger share of its requests fail to complete (see Figure 7 for that distinction).</w:t>
      </w:r>
    </w:p>
    <w:p>
      <w:pPr>
        <w:spacing w:after="160" w:line="300"/>
      </w:pPr>
      <w:r>
        <w:rPr>
          <w:sz w:val="21"/>
          <w:szCs w:val="21"/>
        </w:rPr>
        <w:t xml:space="preserve">Ranking logic: completed-ride count, not revenue. Average fare is nearly flat across vehicle types ($5.28–$5.37), so unlike a typical retail catalog, volume and revenue leaderboards for Uber move almost in lockstep — the real differentiator between vehicle types here is fleet availability and fulfillment rate, not price.</w:t>
      </w:r>
    </w:p>
    <w:p>
      <w:pPr>
        <w:pStyle w:val="Heading2"/>
        <w:spacing w:after="120" w:before="240"/>
      </w:pPr>
      <w:r>
        <w:rPr>
          <w:b/>
          <w:bCs/>
          <w:color w:val="0f9b8e"/>
          <w:sz w:val="24"/>
          <w:szCs w:val="24"/>
        </w:rPr>
        <w:t xml:space="preserve">Vehicle Type Deep-Dive</w:t>
      </w:r>
    </w:p>
    <w:p>
      <w:pPr>
        <w:spacing w:after="160" w:line="300"/>
      </w:pPr>
      <w:r>
        <w:rPr>
          <w:sz w:val="21"/>
          <w:szCs w:val="21"/>
        </w:rPr>
        <w:t xml:space="preserve">Combining fare, distance, and service-time metrics into one view shows that vehicle types behave almost identically on a per-ride basis — the differentiation between them is in volume, not in unit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1500"/>
        <w:gridCol w:w="1300"/>
        <w:gridCol w:w="1300"/>
      </w:tblGrid>
      <w:tr>
        <w:trPr>
          <w:tblHeader/>
        </w:trPr>
        <w:tc>
          <w:tcPr>
            <w:tcW w:type="dxa" w:w="1900"/>
            <w:shd w:fill="1a2744" w:val="clear"/>
          </w:tcPr>
          <w:p>
            <w:r>
              <w:rPr>
                <w:b/>
                <w:bCs/>
                <w:color w:val="FFFFFF"/>
                <w:sz w:val="18"/>
                <w:szCs w:val="18"/>
              </w:rPr>
              <w:t xml:space="preserve">Vehicle Type</w:t>
            </w:r>
          </w:p>
        </w:tc>
        <w:tc>
          <w:tcPr>
            <w:tcW w:type="dxa" w:w="1500"/>
            <w:shd w:fill="1a2744" w:val="clear"/>
          </w:tcPr>
          <w:p>
            <w:r>
              <w:rPr>
                <w:b/>
                <w:bCs/>
                <w:color w:val="FFFFFF"/>
                <w:sz w:val="18"/>
                <w:szCs w:val="18"/>
              </w:rPr>
              <w:t xml:space="preserve">Completed Rides</w:t>
            </w:r>
          </w:p>
        </w:tc>
        <w:tc>
          <w:tcPr>
            <w:tcW w:type="dxa" w:w="1300"/>
            <w:shd w:fill="1a2744" w:val="clear"/>
          </w:tcPr>
          <w:p>
            <w:r>
              <w:rPr>
                <w:b/>
                <w:bCs/>
                <w:color w:val="FFFFFF"/>
                <w:sz w:val="18"/>
                <w:szCs w:val="18"/>
              </w:rPr>
              <w:t xml:space="preserve">Avg Fare</w:t>
            </w:r>
          </w:p>
        </w:tc>
        <w:tc>
          <w:tcPr>
            <w:tcW w:type="dxa" w:w="1500"/>
            <w:shd w:fill="1a2744" w:val="clear"/>
          </w:tcPr>
          <w:p>
            <w:r>
              <w:rPr>
                <w:b/>
                <w:bCs/>
                <w:color w:val="FFFFFF"/>
                <w:sz w:val="18"/>
                <w:szCs w:val="18"/>
              </w:rPr>
              <w:t xml:space="preserve">Avg Distance</w:t>
            </w:r>
          </w:p>
        </w:tc>
        <w:tc>
          <w:tcPr>
            <w:tcW w:type="dxa" w:w="1300"/>
            <w:shd w:fill="1a2744" w:val="clear"/>
          </w:tcPr>
          <w:p>
            <w:r>
              <w:rPr>
                <w:b/>
                <w:bCs/>
                <w:color w:val="FFFFFF"/>
                <w:sz w:val="18"/>
                <w:szCs w:val="18"/>
              </w:rPr>
              <w:t xml:space="preserve">Avg VTAT</w:t>
            </w:r>
          </w:p>
        </w:tc>
        <w:tc>
          <w:tcPr>
            <w:tcW w:type="dxa" w:w="1300"/>
            <w:shd w:fill="1a2744" w:val="clear"/>
          </w:tcPr>
          <w:p>
            <w:r>
              <w:rPr>
                <w:b/>
                <w:bCs/>
                <w:color w:val="FFFFFF"/>
                <w:sz w:val="18"/>
                <w:szCs w:val="18"/>
              </w:rPr>
              <w:t xml:space="preserve">Avg CTAT</w:t>
            </w:r>
          </w:p>
        </w:tc>
      </w:tr>
      <w:tr>
        <w:tc>
          <w:tcPr>
            <w:tcW w:type="dxa" w:w="1900"/>
            <w:shd w:fill="FFFFFF" w:val="clear"/>
          </w:tcPr>
          <w:p>
            <w:r>
              <w:rPr>
                <w:sz w:val="17"/>
                <w:szCs w:val="17"/>
              </w:rPr>
              <w:t xml:space="preserve">Auto</w:t>
            </w:r>
          </w:p>
        </w:tc>
        <w:tc>
          <w:tcPr>
            <w:tcW w:type="dxa" w:w="1500"/>
            <w:shd w:fill="FFFFFF" w:val="clear"/>
          </w:tcPr>
          <w:p>
            <w:r>
              <w:rPr>
                <w:sz w:val="17"/>
                <w:szCs w:val="17"/>
              </w:rPr>
              <w:t xml:space="preserve">23,155</w:t>
            </w:r>
          </w:p>
        </w:tc>
        <w:tc>
          <w:tcPr>
            <w:tcW w:type="dxa" w:w="1300"/>
            <w:shd w:fill="FFFFFF" w:val="clear"/>
          </w:tcPr>
          <w:p>
            <w:r>
              <w:rPr>
                <w:sz w:val="17"/>
                <w:szCs w:val="17"/>
              </w:rPr>
              <w:t xml:space="preserve">$5.31</w:t>
            </w:r>
          </w:p>
        </w:tc>
        <w:tc>
          <w:tcPr>
            <w:tcW w:type="dxa" w:w="1500"/>
            <w:shd w:fill="FFFFFF" w:val="clear"/>
          </w:tcPr>
          <w:p>
            <w:r>
              <w:rPr>
                <w:sz w:val="17"/>
                <w:szCs w:val="17"/>
              </w:rPr>
              <w:t xml:space="preserve">26.0 km</w:t>
            </w:r>
          </w:p>
        </w:tc>
        <w:tc>
          <w:tcPr>
            <w:tcW w:type="dxa" w:w="1300"/>
            <w:shd w:fill="FFFFFF" w:val="clear"/>
          </w:tcPr>
          <w:p>
            <w:r>
              <w:rPr>
                <w:sz w:val="17"/>
                <w:szCs w:val="17"/>
              </w:rPr>
              <w:t xml:space="preserve">8.5 min</w:t>
            </w:r>
          </w:p>
        </w:tc>
        <w:tc>
          <w:tcPr>
            <w:tcW w:type="dxa" w:w="1300"/>
            <w:shd w:fill="FFFFFF" w:val="clear"/>
          </w:tcPr>
          <w:p>
            <w:r>
              <w:rPr>
                <w:sz w:val="17"/>
                <w:szCs w:val="17"/>
              </w:rPr>
              <w:t xml:space="preserve">30.0 min</w:t>
            </w:r>
          </w:p>
        </w:tc>
      </w:tr>
      <w:tr>
        <w:tc>
          <w:tcPr>
            <w:tcW w:type="dxa" w:w="1900"/>
            <w:shd w:fill="f2f3f5" w:val="clear"/>
          </w:tcPr>
          <w:p>
            <w:r>
              <w:rPr>
                <w:sz w:val="17"/>
                <w:szCs w:val="17"/>
              </w:rPr>
              <w:t xml:space="preserve">Go Mini</w:t>
            </w:r>
          </w:p>
        </w:tc>
        <w:tc>
          <w:tcPr>
            <w:tcW w:type="dxa" w:w="1500"/>
            <w:shd w:fill="f2f3f5" w:val="clear"/>
          </w:tcPr>
          <w:p>
            <w:r>
              <w:rPr>
                <w:sz w:val="17"/>
                <w:szCs w:val="17"/>
              </w:rPr>
              <w:t xml:space="preserve">18,549</w:t>
            </w:r>
          </w:p>
        </w:tc>
        <w:tc>
          <w:tcPr>
            <w:tcW w:type="dxa" w:w="1300"/>
            <w:shd w:fill="f2f3f5" w:val="clear"/>
          </w:tcPr>
          <w:p>
            <w:r>
              <w:rPr>
                <w:sz w:val="17"/>
                <w:szCs w:val="17"/>
              </w:rPr>
              <w:t xml:space="preserve">$5.32</w:t>
            </w:r>
          </w:p>
        </w:tc>
        <w:tc>
          <w:tcPr>
            <w:tcW w:type="dxa" w:w="1500"/>
            <w:shd w:fill="f2f3f5" w:val="clear"/>
          </w:tcPr>
          <w:p>
            <w:r>
              <w:rPr>
                <w:sz w:val="17"/>
                <w:szCs w:val="17"/>
              </w:rPr>
              <w:t xml:space="preserve">26.0 km</w:t>
            </w:r>
          </w:p>
        </w:tc>
        <w:tc>
          <w:tcPr>
            <w:tcW w:type="dxa" w:w="1300"/>
            <w:shd w:fill="f2f3f5" w:val="clear"/>
          </w:tcPr>
          <w:p>
            <w:r>
              <w:rPr>
                <w:sz w:val="17"/>
                <w:szCs w:val="17"/>
              </w:rPr>
              <w:t xml:space="preserve">8.5 min</w:t>
            </w:r>
          </w:p>
        </w:tc>
        <w:tc>
          <w:tcPr>
            <w:tcW w:type="dxa" w:w="1300"/>
            <w:shd w:fill="f2f3f5" w:val="clear"/>
          </w:tcPr>
          <w:p>
            <w:r>
              <w:rPr>
                <w:sz w:val="17"/>
                <w:szCs w:val="17"/>
              </w:rPr>
              <w:t xml:space="preserve">30.1 min</w:t>
            </w:r>
          </w:p>
        </w:tc>
      </w:tr>
      <w:tr>
        <w:tc>
          <w:tcPr>
            <w:tcW w:type="dxa" w:w="1900"/>
            <w:shd w:fill="FFFFFF" w:val="clear"/>
          </w:tcPr>
          <w:p>
            <w:r>
              <w:rPr>
                <w:sz w:val="17"/>
                <w:szCs w:val="17"/>
              </w:rPr>
              <w:t xml:space="preserve">Go Sedan</w:t>
            </w:r>
          </w:p>
        </w:tc>
        <w:tc>
          <w:tcPr>
            <w:tcW w:type="dxa" w:w="1500"/>
            <w:shd w:fill="FFFFFF" w:val="clear"/>
          </w:tcPr>
          <w:p>
            <w:r>
              <w:rPr>
                <w:sz w:val="17"/>
                <w:szCs w:val="17"/>
              </w:rPr>
              <w:t xml:space="preserve">16,676</w:t>
            </w:r>
          </w:p>
        </w:tc>
        <w:tc>
          <w:tcPr>
            <w:tcW w:type="dxa" w:w="1300"/>
            <w:shd w:fill="FFFFFF" w:val="clear"/>
          </w:tcPr>
          <w:p>
            <w:r>
              <w:rPr>
                <w:sz w:val="17"/>
                <w:szCs w:val="17"/>
              </w:rPr>
              <w:t xml:space="preserve">$5.37</w:t>
            </w:r>
          </w:p>
        </w:tc>
        <w:tc>
          <w:tcPr>
            <w:tcW w:type="dxa" w:w="1500"/>
            <w:shd w:fill="FFFFFF" w:val="clear"/>
          </w:tcPr>
          <w:p>
            <w:r>
              <w:rPr>
                <w:sz w:val="17"/>
                <w:szCs w:val="17"/>
              </w:rPr>
              <w:t xml:space="preserve">26.0 km</w:t>
            </w:r>
          </w:p>
        </w:tc>
        <w:tc>
          <w:tcPr>
            <w:tcW w:type="dxa" w:w="1300"/>
            <w:shd w:fill="FFFFFF" w:val="clear"/>
          </w:tcPr>
          <w:p>
            <w:r>
              <w:rPr>
                <w:sz w:val="17"/>
                <w:szCs w:val="17"/>
              </w:rPr>
              <w:t xml:space="preserve">8.5 min</w:t>
            </w:r>
          </w:p>
        </w:tc>
        <w:tc>
          <w:tcPr>
            <w:tcW w:type="dxa" w:w="1300"/>
            <w:shd w:fill="FFFFFF" w:val="clear"/>
          </w:tcPr>
          <w:p>
            <w:r>
              <w:rPr>
                <w:sz w:val="17"/>
                <w:szCs w:val="17"/>
              </w:rPr>
              <w:t xml:space="preserve">30.0 min</w:t>
            </w:r>
          </w:p>
        </w:tc>
      </w:tr>
      <w:tr>
        <w:tc>
          <w:tcPr>
            <w:tcW w:type="dxa" w:w="1900"/>
            <w:shd w:fill="f2f3f5" w:val="clear"/>
          </w:tcPr>
          <w:p>
            <w:r>
              <w:rPr>
                <w:sz w:val="17"/>
                <w:szCs w:val="17"/>
              </w:rPr>
              <w:t xml:space="preserve">Bike</w:t>
            </w:r>
          </w:p>
        </w:tc>
        <w:tc>
          <w:tcPr>
            <w:tcW w:type="dxa" w:w="1500"/>
            <w:shd w:fill="f2f3f5" w:val="clear"/>
          </w:tcPr>
          <w:p>
            <w:r>
              <w:rPr>
                <w:sz w:val="17"/>
                <w:szCs w:val="17"/>
              </w:rPr>
              <w:t xml:space="preserve">14,034</w:t>
            </w:r>
          </w:p>
        </w:tc>
        <w:tc>
          <w:tcPr>
            <w:tcW w:type="dxa" w:w="1300"/>
            <w:shd w:fill="f2f3f5" w:val="clear"/>
          </w:tcPr>
          <w:p>
            <w:r>
              <w:rPr>
                <w:sz w:val="17"/>
                <w:szCs w:val="17"/>
              </w:rPr>
              <w:t xml:space="preserve">$5.34</w:t>
            </w:r>
          </w:p>
        </w:tc>
        <w:tc>
          <w:tcPr>
            <w:tcW w:type="dxa" w:w="1500"/>
            <w:shd w:fill="f2f3f5" w:val="clear"/>
          </w:tcPr>
          <w:p>
            <w:r>
              <w:rPr>
                <w:sz w:val="17"/>
                <w:szCs w:val="17"/>
              </w:rPr>
              <w:t xml:space="preserve">26.0 km</w:t>
            </w:r>
          </w:p>
        </w:tc>
        <w:tc>
          <w:tcPr>
            <w:tcW w:type="dxa" w:w="1300"/>
            <w:shd w:fill="f2f3f5" w:val="clear"/>
          </w:tcPr>
          <w:p>
            <w:r>
              <w:rPr>
                <w:sz w:val="17"/>
                <w:szCs w:val="17"/>
              </w:rPr>
              <w:t xml:space="preserve">8.6 min</w:t>
            </w:r>
          </w:p>
        </w:tc>
        <w:tc>
          <w:tcPr>
            <w:tcW w:type="dxa" w:w="1300"/>
            <w:shd w:fill="f2f3f5" w:val="clear"/>
          </w:tcPr>
          <w:p>
            <w:r>
              <w:rPr>
                <w:sz w:val="17"/>
                <w:szCs w:val="17"/>
              </w:rPr>
              <w:t xml:space="preserve">30.1 min</w:t>
            </w:r>
          </w:p>
        </w:tc>
      </w:tr>
      <w:tr>
        <w:tc>
          <w:tcPr>
            <w:tcW w:type="dxa" w:w="1900"/>
            <w:shd w:fill="FFFFFF" w:val="clear"/>
          </w:tcPr>
          <w:p>
            <w:r>
              <w:rPr>
                <w:sz w:val="17"/>
                <w:szCs w:val="17"/>
              </w:rPr>
              <w:t xml:space="preserve">Premier Sedan</w:t>
            </w:r>
          </w:p>
        </w:tc>
        <w:tc>
          <w:tcPr>
            <w:tcW w:type="dxa" w:w="1500"/>
            <w:shd w:fill="FFFFFF" w:val="clear"/>
          </w:tcPr>
          <w:p>
            <w:r>
              <w:rPr>
                <w:sz w:val="17"/>
                <w:szCs w:val="17"/>
              </w:rPr>
              <w:t xml:space="preserve">11,252</w:t>
            </w:r>
          </w:p>
        </w:tc>
        <w:tc>
          <w:tcPr>
            <w:tcW w:type="dxa" w:w="1300"/>
            <w:shd w:fill="FFFFFF" w:val="clear"/>
          </w:tcPr>
          <w:p>
            <w:r>
              <w:rPr>
                <w:sz w:val="17"/>
                <w:szCs w:val="17"/>
              </w:rPr>
              <w:t xml:space="preserve">$5.35</w:t>
            </w:r>
          </w:p>
        </w:tc>
        <w:tc>
          <w:tcPr>
            <w:tcW w:type="dxa" w:w="1500"/>
            <w:shd w:fill="FFFFFF" w:val="clear"/>
          </w:tcPr>
          <w:p>
            <w:r>
              <w:rPr>
                <w:sz w:val="17"/>
                <w:szCs w:val="17"/>
              </w:rPr>
              <w:t xml:space="preserve">26.0 km</w:t>
            </w:r>
          </w:p>
        </w:tc>
        <w:tc>
          <w:tcPr>
            <w:tcW w:type="dxa" w:w="1300"/>
            <w:shd w:fill="FFFFFF" w:val="clear"/>
          </w:tcPr>
          <w:p>
            <w:r>
              <w:rPr>
                <w:sz w:val="17"/>
                <w:szCs w:val="17"/>
              </w:rPr>
              <w:t xml:space="preserve">8.5 min</w:t>
            </w:r>
          </w:p>
        </w:tc>
        <w:tc>
          <w:tcPr>
            <w:tcW w:type="dxa" w:w="1300"/>
            <w:shd w:fill="FFFFFF" w:val="clear"/>
          </w:tcPr>
          <w:p>
            <w:r>
              <w:rPr>
                <w:sz w:val="17"/>
                <w:szCs w:val="17"/>
              </w:rPr>
              <w:t xml:space="preserve">30.1 min</w:t>
            </w:r>
          </w:p>
        </w:tc>
      </w:tr>
      <w:tr>
        <w:tc>
          <w:tcPr>
            <w:tcW w:type="dxa" w:w="1900"/>
            <w:shd w:fill="f2f3f5" w:val="clear"/>
          </w:tcPr>
          <w:p>
            <w:r>
              <w:rPr>
                <w:sz w:val="17"/>
                <w:szCs w:val="17"/>
              </w:rPr>
              <w:t xml:space="preserve">eBike</w:t>
            </w:r>
          </w:p>
        </w:tc>
        <w:tc>
          <w:tcPr>
            <w:tcW w:type="dxa" w:w="1500"/>
            <w:shd w:fill="f2f3f5" w:val="clear"/>
          </w:tcPr>
          <w:p>
            <w:r>
              <w:rPr>
                <w:sz w:val="17"/>
                <w:szCs w:val="17"/>
              </w:rPr>
              <w:t xml:space="preserve">6,551</w:t>
            </w:r>
          </w:p>
        </w:tc>
        <w:tc>
          <w:tcPr>
            <w:tcW w:type="dxa" w:w="1300"/>
            <w:shd w:fill="f2f3f5" w:val="clear"/>
          </w:tcPr>
          <w:p>
            <w:r>
              <w:rPr>
                <w:sz w:val="17"/>
                <w:szCs w:val="17"/>
              </w:rPr>
              <w:t xml:space="preserve">$5.28</w:t>
            </w:r>
          </w:p>
        </w:tc>
        <w:tc>
          <w:tcPr>
            <w:tcW w:type="dxa" w:w="1500"/>
            <w:shd w:fill="f2f3f5" w:val="clear"/>
          </w:tcPr>
          <w:p>
            <w:r>
              <w:rPr>
                <w:sz w:val="17"/>
                <w:szCs w:val="17"/>
              </w:rPr>
              <w:t xml:space="preserve">26.0 km</w:t>
            </w:r>
          </w:p>
        </w:tc>
        <w:tc>
          <w:tcPr>
            <w:tcW w:type="dxa" w:w="1300"/>
            <w:shd w:fill="f2f3f5" w:val="clear"/>
          </w:tcPr>
          <w:p>
            <w:r>
              <w:rPr>
                <w:sz w:val="17"/>
                <w:szCs w:val="17"/>
              </w:rPr>
              <w:t xml:space="preserve">8.5 min</w:t>
            </w:r>
          </w:p>
        </w:tc>
        <w:tc>
          <w:tcPr>
            <w:tcW w:type="dxa" w:w="1300"/>
            <w:shd w:fill="f2f3f5" w:val="clear"/>
          </w:tcPr>
          <w:p>
            <w:r>
              <w:rPr>
                <w:sz w:val="17"/>
                <w:szCs w:val="17"/>
              </w:rPr>
              <w:t xml:space="preserve">30.1 min</w:t>
            </w:r>
          </w:p>
        </w:tc>
      </w:tr>
      <w:tr>
        <w:tc>
          <w:tcPr>
            <w:tcW w:type="dxa" w:w="1900"/>
            <w:shd w:fill="FFFFFF" w:val="clear"/>
          </w:tcPr>
          <w:p>
            <w:r>
              <w:rPr>
                <w:sz w:val="17"/>
                <w:szCs w:val="17"/>
              </w:rPr>
              <w:t xml:space="preserve">Uber XL</w:t>
            </w:r>
          </w:p>
        </w:tc>
        <w:tc>
          <w:tcPr>
            <w:tcW w:type="dxa" w:w="1500"/>
            <w:shd w:fill="FFFFFF" w:val="clear"/>
          </w:tcPr>
          <w:p>
            <w:r>
              <w:rPr>
                <w:sz w:val="17"/>
                <w:szCs w:val="17"/>
              </w:rPr>
              <w:t xml:space="preserve">2,783</w:t>
            </w:r>
          </w:p>
        </w:tc>
        <w:tc>
          <w:tcPr>
            <w:tcW w:type="dxa" w:w="1300"/>
            <w:shd w:fill="FFFFFF" w:val="clear"/>
          </w:tcPr>
          <w:p>
            <w:r>
              <w:rPr>
                <w:sz w:val="17"/>
                <w:szCs w:val="17"/>
              </w:rPr>
              <w:t xml:space="preserve">$5.30</w:t>
            </w:r>
          </w:p>
        </w:tc>
        <w:tc>
          <w:tcPr>
            <w:tcW w:type="dxa" w:w="1500"/>
            <w:shd w:fill="FFFFFF" w:val="clear"/>
          </w:tcPr>
          <w:p>
            <w:r>
              <w:rPr>
                <w:sz w:val="17"/>
                <w:szCs w:val="17"/>
              </w:rPr>
              <w:t xml:space="preserve">26.0 km</w:t>
            </w:r>
          </w:p>
        </w:tc>
        <w:tc>
          <w:tcPr>
            <w:tcW w:type="dxa" w:w="1300"/>
            <w:shd w:fill="FFFFFF" w:val="clear"/>
          </w:tcPr>
          <w:p>
            <w:r>
              <w:rPr>
                <w:sz w:val="17"/>
                <w:szCs w:val="17"/>
              </w:rPr>
              <w:t xml:space="preserve">8.6 min</w:t>
            </w:r>
          </w:p>
        </w:tc>
        <w:tc>
          <w:tcPr>
            <w:tcW w:type="dxa" w:w="1300"/>
            <w:shd w:fill="FFFFFF" w:val="clear"/>
          </w:tcPr>
          <w:p>
            <w:r>
              <w:rPr>
                <w:sz w:val="17"/>
                <w:szCs w:val="17"/>
              </w:rPr>
              <w:t xml:space="preserve">30.1 min</w:t>
            </w:r>
          </w:p>
        </w:tc>
      </w:tr>
    </w:tbl>
    <w:p>
      <w:pPr>
        <w:spacing w:after="160" w:before="160"/>
      </w:pPr>
      <w:r>
        <w:rPr>
          <w:i/>
          <w:iCs/>
          <w:sz w:val="20"/>
          <w:szCs w:val="20"/>
        </w:rPr>
        <w:t xml:space="preserve">This uniformity across vehicle types (identical average distance, near-identical fare and service time) is a strong signal that the dataset was generated with the same underlying distribution applied per vehicle type rather than reflecting real fare-card differences between, say, Bike and Premier Sedan — worth keeping in mind if this analysis is used as a stand-in for real fare-strategy decisions.</w:t>
      </w:r>
    </w:p>
    <w:p>
      <w:pPr>
        <w:pStyle w:val="Heading1"/>
        <w:spacing w:after="160" w:before="360"/>
      </w:pPr>
      <w:r>
        <w:rPr>
          <w:b/>
          <w:bCs/>
          <w:color w:val="1a2744"/>
        </w:rPr>
        <w:t xml:space="preserve">8. Booking Status &amp; Funnel Health</w:t>
      </w:r>
    </w:p>
    <w:p>
      <w:pPr>
        <w:spacing w:after="160" w:line="300"/>
      </w:pPr>
      <w:r>
        <w:rPr>
          <w:sz w:val="21"/>
          <w:szCs w:val="21"/>
        </w:rPr>
        <w:t xml:space="preserve">Only 62% of requests convert to a completed ride. The remaining 38% is where operational risk lives: 18.0% are cancelled by the driver, 7.0% cancelled by the customer, 7.0% never find a driver at all, and 6.0% start but don't finish.</w:t>
      </w:r>
    </w:p>
    <w:p>
      <w:pPr>
        <w:spacing w:after="140" w:before="80"/>
        <w:jc w:val="center"/>
      </w:pPr>
      <w:r>
        <w:drawing>
          <wp:inline distT="0" distB="0" distL="0" distR="0">
            <wp:extent cx="4762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971925"/>
                    </a:xfrm>
                    <a:prstGeom prst="rect">
                      <a:avLst/>
                    </a:prstGeom>
                  </pic:spPr>
                </pic:pic>
              </a:graphicData>
            </a:graphic>
          </wp:inline>
        </w:drawing>
      </w:r>
    </w:p>
    <w:p>
      <w:pPr>
        <w:spacing w:after="220"/>
        <w:jc w:val="center"/>
      </w:pPr>
      <w:r>
        <w:rPr>
          <w:i/>
          <w:iCs/>
          <w:color w:val="6b7280"/>
          <w:sz w:val="18"/>
          <w:szCs w:val="18"/>
        </w:rPr>
        <w:t xml:space="preserve">Figure 4 — Full booking funnel across all 150,000 requests.</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each slice is a share of all 150,000 booking requests, split by final outcome. Only the teal slice (Completed) generates revenue. Every other slice represents a request that entered the system and was lost at some stage — the size differences between the red, gold, and gray slices tell you which failure mode to prioritize fixing first.</w:t>
      </w:r>
    </w:p>
    <w:p>
      <w:pPr>
        <w:spacing w:after="160" w:line="300"/>
      </w:pPr>
      <w:r>
        <w:rPr>
          <w:sz w:val="21"/>
          <w:szCs w:val="21"/>
        </w:rPr>
        <w:t xml:space="preserve">This is the single most actionable view in the report: 'No Driver Found' (10,500 rides) is pure lost revenue with no operational fault on either side — it's a supply-availability problem, and the first lever to pull is fleet rebalancing in undersupplied zones and time windows (see Figure 2).</w:t>
      </w:r>
    </w:p>
    <w:p>
      <w:pPr>
        <w:pStyle w:val="Heading2"/>
        <w:spacing w:after="120" w:before="240"/>
      </w:pPr>
      <w:r>
        <w:rPr>
          <w:b/>
          <w:bCs/>
          <w:color w:val="0f9b8e"/>
          <w:sz w:val="24"/>
          <w:szCs w:val="24"/>
        </w:rPr>
        <w:t xml:space="preserve">Completion Rate by Vehicle Type</w:t>
      </w:r>
    </w:p>
    <w:p>
      <w:pPr>
        <w:spacing w:after="160" w:line="300"/>
      </w:pPr>
      <w:r>
        <w:rPr>
          <w:sz w:val="21"/>
          <w:szCs w:val="21"/>
        </w:rPr>
        <w:t xml:space="preserve">Completion rate is close to uniform across vehicle types, ranging narrowly from 61.4% (Go Sedan) to 62.6% (Uber XL) — a spread of just 1.2 percentage points. This means the funnel leak in Section 7 is not concentrated in any one vehicle category; it's a systemic pattern rather than a fleet-mix problem.</w:t>
      </w:r>
    </w:p>
    <w:p>
      <w:pPr>
        <w:spacing w:after="140" w:before="8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24150"/>
                    </a:xfrm>
                    <a:prstGeom prst="rect">
                      <a:avLst/>
                    </a:prstGeom>
                  </pic:spPr>
                </pic:pic>
              </a:graphicData>
            </a:graphic>
          </wp:inline>
        </w:drawing>
      </w:r>
    </w:p>
    <w:p>
      <w:pPr>
        <w:spacing w:after="220"/>
        <w:jc w:val="center"/>
      </w:pPr>
      <w:r>
        <w:rPr>
          <w:i/>
          <w:iCs/>
          <w:color w:val="6b7280"/>
          <w:sz w:val="18"/>
          <w:szCs w:val="18"/>
        </w:rPr>
        <w:t xml:space="preserve">Figure 5 — Share of requests that end in a completed ride, by vehicle type.</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each bar is completed rides ÷ total requests for that vehicle type, as a percentage. If one vehicle type's bar were noticeably shorter than the rest, that would point to a fleet-specific issue (e.g., too few Premier Sedans on the road). Here, the bars are close enough in length that the more useful lens is time-of-day and zone (Figures 2 and 8), not vehicle type.</w:t>
      </w:r>
    </w:p>
    <w:p>
      <w:r>
        <w:br w:type="page"/>
      </w:r>
    </w:p>
    <w:p>
      <w:pPr>
        <w:pStyle w:val="Heading1"/>
        <w:spacing w:after="160" w:before="360"/>
      </w:pPr>
      <w:r>
        <w:rPr>
          <w:b/>
          <w:bCs/>
          <w:color w:val="1a2744"/>
        </w:rPr>
        <w:t xml:space="preserve">9. Rating Distribution</w:t>
      </w:r>
    </w:p>
    <w:p>
      <w:pPr>
        <w:spacing w:after="160" w:line="300"/>
      </w:pPr>
      <w:r>
        <w:rPr>
          <w:sz w:val="21"/>
          <w:szCs w:val="21"/>
        </w:rPr>
        <w:t xml:space="preserve">Average driver rating across completed rides is 4.23/5; average customer rating is 4.40/5 — both tightly clustered, with driver ratings never falling below 3.0.</w:t>
      </w:r>
    </w:p>
    <w:p>
      <w:pPr>
        <w:spacing w:after="140" w:before="8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spacing w:after="220"/>
        <w:jc w:val="center"/>
      </w:pPr>
      <w:r>
        <w:rPr>
          <w:i/>
          <w:iCs/>
          <w:color w:val="6b7280"/>
          <w:sz w:val="18"/>
          <w:szCs w:val="18"/>
        </w:rPr>
        <w:t xml:space="preserve">Figure 6 — Driver and customer rating distributions (dashed line = average).</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each bar groups ratings into a small range (e.g., 4.0–4.1) and shows how many completed rides fell into that range. A distribution skewed hard to the right (as both are here) means most rides are rated favorably; the dashed red line marks the overall average so you can see how far the bulk of ratings sit from it.</w:t>
      </w:r>
    </w:p>
    <w:p>
      <w:pPr>
        <w:spacing w:after="160" w:line="300"/>
      </w:pPr>
      <w:r>
        <w:rPr>
          <w:sz w:val="21"/>
          <w:szCs w:val="21"/>
        </w:rPr>
        <w:t xml:space="preserve">In a live system, this view is most useful segmented rather than aggregated:</w:t>
      </w:r>
    </w:p>
    <w:p>
      <w:pPr>
        <w:pStyle w:val="ListParagraph"/>
        <w:numPr>
          <w:ilvl w:val="0"/>
          <w:numId w:val="2"/>
        </w:numPr>
        <w:spacing w:after="80"/>
      </w:pPr>
      <w:r>
        <w:rPr>
          <w:sz w:val="21"/>
          <w:szCs w:val="21"/>
        </w:rPr>
        <w:t xml:space="preserve">Drivers trending downward in rolling 7-day average rating — the earliest signal of a service issue</w:t>
      </w:r>
    </w:p>
    <w:p>
      <w:pPr>
        <w:pStyle w:val="ListParagraph"/>
        <w:numPr>
          <w:ilvl w:val="0"/>
          <w:numId w:val="2"/>
        </w:numPr>
        <w:spacing w:after="80"/>
      </w:pPr>
      <w:r>
        <w:rPr>
          <w:sz w:val="21"/>
          <w:szCs w:val="21"/>
        </w:rPr>
        <w:t xml:space="preserve">Vehicle types combining high volume with sub-4.0 average ratings — the highest-risk combination, since volume amplifies the damage of poor reviews</w:t>
      </w:r>
    </w:p>
    <w:p>
      <w:pPr>
        <w:pStyle w:val="Heading1"/>
        <w:spacing w:after="160" w:before="360"/>
      </w:pPr>
      <w:r>
        <w:rPr>
          <w:b/>
          <w:bCs/>
          <w:color w:val="1a2744"/>
        </w:rPr>
        <w:t xml:space="preserve">10. Regional Demand</w:t>
      </w:r>
    </w:p>
    <w:p>
      <w:pPr>
        <w:spacing w:after="160" w:line="300"/>
      </w:pPr>
      <w:r>
        <w:rPr>
          <w:sz w:val="21"/>
          <w:szCs w:val="21"/>
        </w:rPr>
        <w:t xml:space="preserve">Demand is spread across 176 distinct pickup zones with no single dominant hub — the busiest zone (Khandsa) accounts for just 949 of 150,000 requests (0.6%), meaning this is a genuinely distributed, city-wide demand pattern rather than one concentrated around a handful of hotspots.</w:t>
      </w:r>
    </w:p>
    <w:p>
      <w:pPr>
        <w:spacing w:after="140" w:before="8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i/>
          <w:iCs/>
          <w:color w:val="6b7280"/>
          <w:sz w:val="18"/>
          <w:szCs w:val="18"/>
        </w:rPr>
        <w:t xml:space="preserve">Figure 7 — Top 10 pickup locations by total booking requests.</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bars show the raw count of ride requests originating from each pickup zone, ranked highest to lowest. Because even the top zone is under 1% of total volume, the gap between bar 1 and bar 10 here is much smaller than you'd see in a market with a real 'downtown core' effect — worth noting when using this to plan fleet positioning.</w:t>
      </w:r>
    </w:p>
    <w:p>
      <w:pPr>
        <w:spacing w:after="160" w:line="300"/>
      </w:pPr>
      <w:r>
        <w:rPr>
          <w:sz w:val="21"/>
          <w:szCs w:val="21"/>
        </w:rPr>
        <w:t xml:space="preserve">This view is what drives fleet positioning by zone, surge-pricing triggers, and localized driver incentive campaigns — in production it would be cut by hour-of-day as well (combining Figures 2 and 7), since the same zone behaves very differently at 8am versus 11pm.</w:t>
      </w:r>
    </w:p>
    <w:p>
      <w:pPr>
        <w:pStyle w:val="Heading2"/>
        <w:spacing w:after="120" w:before="240"/>
      </w:pPr>
      <w:r>
        <w:rPr>
          <w:b/>
          <w:bCs/>
          <w:color w:val="0f9b8e"/>
          <w:sz w:val="24"/>
          <w:szCs w:val="24"/>
        </w:rPr>
        <w:t xml:space="preserve">Top Drop Locations</w:t>
      </w:r>
    </w:p>
    <w:p>
      <w:pPr>
        <w:spacing w:after="160" w:line="300"/>
      </w:pPr>
      <w:r>
        <w:rPr>
          <w:sz w:val="21"/>
          <w:szCs w:val="21"/>
        </w:rPr>
        <w:t xml:space="preserve">Drop-off demand is even more evenly spread than pickup demand — the top 10 drop zones are separated by less than 4% from top to bottom, reinforcing that this is a distributed, city-wide travel pattern rather than a hub-and-spoke one (e.g., everyone converging on a single business district).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2800"/>
      </w:tblGrid>
      <w:tr>
        <w:trPr>
          <w:tblHeader/>
        </w:trPr>
        <w:tc>
          <w:tcPr>
            <w:tcW w:type="dxa" w:w="1600"/>
            <w:shd w:fill="1a2744" w:val="clear"/>
          </w:tcPr>
          <w:p>
            <w:r>
              <w:rPr>
                <w:b/>
                <w:bCs/>
                <w:color w:val="FFFFFF"/>
                <w:sz w:val="18"/>
                <w:szCs w:val="18"/>
              </w:rPr>
              <w:t xml:space="preserve">Rank</w:t>
            </w:r>
          </w:p>
        </w:tc>
        <w:tc>
          <w:tcPr>
            <w:tcW w:type="dxa" w:w="4500"/>
            <w:shd w:fill="1a2744" w:val="clear"/>
          </w:tcPr>
          <w:p>
            <w:r>
              <w:rPr>
                <w:b/>
                <w:bCs/>
                <w:color w:val="FFFFFF"/>
                <w:sz w:val="18"/>
                <w:szCs w:val="18"/>
              </w:rPr>
              <w:t xml:space="preserve">Drop Location</w:t>
            </w:r>
          </w:p>
        </w:tc>
        <w:tc>
          <w:tcPr>
            <w:tcW w:type="dxa" w:w="2800"/>
            <w:shd w:fill="1a2744" w:val="clear"/>
          </w:tcPr>
          <w:p>
            <w:r>
              <w:rPr>
                <w:b/>
                <w:bCs/>
                <w:color w:val="FFFFFF"/>
                <w:sz w:val="18"/>
                <w:szCs w:val="18"/>
              </w:rPr>
              <w:t xml:space="preserve">Total Drop-offs</w:t>
            </w:r>
          </w:p>
        </w:tc>
      </w:tr>
      <w:tr>
        <w:tc>
          <w:tcPr>
            <w:tcW w:type="dxa" w:w="1600"/>
            <w:shd w:fill="FFFFFF" w:val="clear"/>
          </w:tcPr>
          <w:p>
            <w:r>
              <w:rPr>
                <w:sz w:val="17"/>
                <w:szCs w:val="17"/>
              </w:rPr>
              <w:t xml:space="preserve">1</w:t>
            </w:r>
          </w:p>
        </w:tc>
        <w:tc>
          <w:tcPr>
            <w:tcW w:type="dxa" w:w="4500"/>
            <w:shd w:fill="FFFFFF" w:val="clear"/>
          </w:tcPr>
          <w:p>
            <w:r>
              <w:rPr>
                <w:sz w:val="17"/>
                <w:szCs w:val="17"/>
              </w:rPr>
              <w:t xml:space="preserve">Ashram</w:t>
            </w:r>
          </w:p>
        </w:tc>
        <w:tc>
          <w:tcPr>
            <w:tcW w:type="dxa" w:w="2800"/>
            <w:shd w:fill="FFFFFF" w:val="clear"/>
          </w:tcPr>
          <w:p>
            <w:r>
              <w:rPr>
                <w:sz w:val="17"/>
                <w:szCs w:val="17"/>
              </w:rPr>
              <w:t xml:space="preserve">936</w:t>
            </w:r>
          </w:p>
        </w:tc>
      </w:tr>
      <w:tr>
        <w:tc>
          <w:tcPr>
            <w:tcW w:type="dxa" w:w="1600"/>
            <w:shd w:fill="f2f3f5" w:val="clear"/>
          </w:tcPr>
          <w:p>
            <w:r>
              <w:rPr>
                <w:sz w:val="17"/>
                <w:szCs w:val="17"/>
              </w:rPr>
              <w:t xml:space="preserve">2</w:t>
            </w:r>
          </w:p>
        </w:tc>
        <w:tc>
          <w:tcPr>
            <w:tcW w:type="dxa" w:w="4500"/>
            <w:shd w:fill="f2f3f5" w:val="clear"/>
          </w:tcPr>
          <w:p>
            <w:r>
              <w:rPr>
                <w:sz w:val="17"/>
                <w:szCs w:val="17"/>
              </w:rPr>
              <w:t xml:space="preserve">Basai Dhankot</w:t>
            </w:r>
          </w:p>
        </w:tc>
        <w:tc>
          <w:tcPr>
            <w:tcW w:type="dxa" w:w="2800"/>
            <w:shd w:fill="f2f3f5" w:val="clear"/>
          </w:tcPr>
          <w:p>
            <w:r>
              <w:rPr>
                <w:sz w:val="17"/>
                <w:szCs w:val="17"/>
              </w:rPr>
              <w:t xml:space="preserve">917</w:t>
            </w:r>
          </w:p>
        </w:tc>
      </w:tr>
      <w:tr>
        <w:tc>
          <w:tcPr>
            <w:tcW w:type="dxa" w:w="1600"/>
            <w:shd w:fill="FFFFFF" w:val="clear"/>
          </w:tcPr>
          <w:p>
            <w:r>
              <w:rPr>
                <w:sz w:val="17"/>
                <w:szCs w:val="17"/>
              </w:rPr>
              <w:t xml:space="preserve">3</w:t>
            </w:r>
          </w:p>
        </w:tc>
        <w:tc>
          <w:tcPr>
            <w:tcW w:type="dxa" w:w="4500"/>
            <w:shd w:fill="FFFFFF" w:val="clear"/>
          </w:tcPr>
          <w:p>
            <w:r>
              <w:rPr>
                <w:sz w:val="17"/>
                <w:szCs w:val="17"/>
              </w:rPr>
              <w:t xml:space="preserve">Lok Kalyan Marg</w:t>
            </w:r>
          </w:p>
        </w:tc>
        <w:tc>
          <w:tcPr>
            <w:tcW w:type="dxa" w:w="2800"/>
            <w:shd w:fill="FFFFFF" w:val="clear"/>
          </w:tcPr>
          <w:p>
            <w:r>
              <w:rPr>
                <w:sz w:val="17"/>
                <w:szCs w:val="17"/>
              </w:rPr>
              <w:t xml:space="preserve">916</w:t>
            </w:r>
          </w:p>
        </w:tc>
      </w:tr>
      <w:tr>
        <w:tc>
          <w:tcPr>
            <w:tcW w:type="dxa" w:w="1600"/>
            <w:shd w:fill="f2f3f5" w:val="clear"/>
          </w:tcPr>
          <w:p>
            <w:r>
              <w:rPr>
                <w:sz w:val="17"/>
                <w:szCs w:val="17"/>
              </w:rPr>
              <w:t xml:space="preserve">4</w:t>
            </w:r>
          </w:p>
        </w:tc>
        <w:tc>
          <w:tcPr>
            <w:tcW w:type="dxa" w:w="4500"/>
            <w:shd w:fill="f2f3f5" w:val="clear"/>
          </w:tcPr>
          <w:p>
            <w:r>
              <w:rPr>
                <w:sz w:val="17"/>
                <w:szCs w:val="17"/>
              </w:rPr>
              <w:t xml:space="preserve">Narsinghpur</w:t>
            </w:r>
          </w:p>
        </w:tc>
        <w:tc>
          <w:tcPr>
            <w:tcW w:type="dxa" w:w="2800"/>
            <w:shd w:fill="f2f3f5" w:val="clear"/>
          </w:tcPr>
          <w:p>
            <w:r>
              <w:rPr>
                <w:sz w:val="17"/>
                <w:szCs w:val="17"/>
              </w:rPr>
              <w:t xml:space="preserve">913</w:t>
            </w:r>
          </w:p>
        </w:tc>
      </w:tr>
      <w:tr>
        <w:tc>
          <w:tcPr>
            <w:tcW w:type="dxa" w:w="1600"/>
            <w:shd w:fill="FFFFFF" w:val="clear"/>
          </w:tcPr>
          <w:p>
            <w:r>
              <w:rPr>
                <w:sz w:val="17"/>
                <w:szCs w:val="17"/>
              </w:rPr>
              <w:t xml:space="preserve">5</w:t>
            </w:r>
          </w:p>
        </w:tc>
        <w:tc>
          <w:tcPr>
            <w:tcW w:type="dxa" w:w="4500"/>
            <w:shd w:fill="FFFFFF" w:val="clear"/>
          </w:tcPr>
          <w:p>
            <w:r>
              <w:rPr>
                <w:sz w:val="17"/>
                <w:szCs w:val="17"/>
              </w:rPr>
              <w:t xml:space="preserve">Cyber Hub</w:t>
            </w:r>
          </w:p>
        </w:tc>
        <w:tc>
          <w:tcPr>
            <w:tcW w:type="dxa" w:w="2800"/>
            <w:shd w:fill="FFFFFF" w:val="clear"/>
          </w:tcPr>
          <w:p>
            <w:r>
              <w:rPr>
                <w:sz w:val="17"/>
                <w:szCs w:val="17"/>
              </w:rPr>
              <w:t xml:space="preserve">912</w:t>
            </w:r>
          </w:p>
        </w:tc>
      </w:tr>
      <w:tr>
        <w:tc>
          <w:tcPr>
            <w:tcW w:type="dxa" w:w="1600"/>
            <w:shd w:fill="f2f3f5" w:val="clear"/>
          </w:tcPr>
          <w:p>
            <w:r>
              <w:rPr>
                <w:sz w:val="17"/>
                <w:szCs w:val="17"/>
              </w:rPr>
              <w:t xml:space="preserve">6</w:t>
            </w:r>
          </w:p>
        </w:tc>
        <w:tc>
          <w:tcPr>
            <w:tcW w:type="dxa" w:w="4500"/>
            <w:shd w:fill="f2f3f5" w:val="clear"/>
          </w:tcPr>
          <w:p>
            <w:r>
              <w:rPr>
                <w:sz w:val="17"/>
                <w:szCs w:val="17"/>
              </w:rPr>
              <w:t xml:space="preserve">Kalkaji</w:t>
            </w:r>
          </w:p>
        </w:tc>
        <w:tc>
          <w:tcPr>
            <w:tcW w:type="dxa" w:w="2800"/>
            <w:shd w:fill="f2f3f5" w:val="clear"/>
          </w:tcPr>
          <w:p>
            <w:r>
              <w:rPr>
                <w:sz w:val="17"/>
                <w:szCs w:val="17"/>
              </w:rPr>
              <w:t xml:space="preserve">912</w:t>
            </w:r>
          </w:p>
        </w:tc>
      </w:tr>
      <w:tr>
        <w:tc>
          <w:tcPr>
            <w:tcW w:type="dxa" w:w="1600"/>
            <w:shd w:fill="FFFFFF" w:val="clear"/>
          </w:tcPr>
          <w:p>
            <w:r>
              <w:rPr>
                <w:sz w:val="17"/>
                <w:szCs w:val="17"/>
              </w:rPr>
              <w:t xml:space="preserve">7</w:t>
            </w:r>
          </w:p>
        </w:tc>
        <w:tc>
          <w:tcPr>
            <w:tcW w:type="dxa" w:w="4500"/>
            <w:shd w:fill="FFFFFF" w:val="clear"/>
          </w:tcPr>
          <w:p>
            <w:r>
              <w:rPr>
                <w:sz w:val="17"/>
                <w:szCs w:val="17"/>
              </w:rPr>
              <w:t xml:space="preserve">Kashmere Gate ISBT</w:t>
            </w:r>
          </w:p>
        </w:tc>
        <w:tc>
          <w:tcPr>
            <w:tcW w:type="dxa" w:w="2800"/>
            <w:shd w:fill="FFFFFF" w:val="clear"/>
          </w:tcPr>
          <w:p>
            <w:r>
              <w:rPr>
                <w:sz w:val="17"/>
                <w:szCs w:val="17"/>
              </w:rPr>
              <w:t xml:space="preserve">909</w:t>
            </w:r>
          </w:p>
        </w:tc>
      </w:tr>
      <w:tr>
        <w:tc>
          <w:tcPr>
            <w:tcW w:type="dxa" w:w="1600"/>
            <w:shd w:fill="f2f3f5" w:val="clear"/>
          </w:tcPr>
          <w:p>
            <w:r>
              <w:rPr>
                <w:sz w:val="17"/>
                <w:szCs w:val="17"/>
              </w:rPr>
              <w:t xml:space="preserve">8</w:t>
            </w:r>
          </w:p>
        </w:tc>
        <w:tc>
          <w:tcPr>
            <w:tcW w:type="dxa" w:w="4500"/>
            <w:shd w:fill="f2f3f5" w:val="clear"/>
          </w:tcPr>
          <w:p>
            <w:r>
              <w:rPr>
                <w:sz w:val="17"/>
                <w:szCs w:val="17"/>
              </w:rPr>
              <w:t xml:space="preserve">Udyog Vihar</w:t>
            </w:r>
          </w:p>
        </w:tc>
        <w:tc>
          <w:tcPr>
            <w:tcW w:type="dxa" w:w="2800"/>
            <w:shd w:fill="f2f3f5" w:val="clear"/>
          </w:tcPr>
          <w:p>
            <w:r>
              <w:rPr>
                <w:sz w:val="17"/>
                <w:szCs w:val="17"/>
              </w:rPr>
              <w:t xml:space="preserve">906</w:t>
            </w:r>
          </w:p>
        </w:tc>
      </w:tr>
      <w:tr>
        <w:tc>
          <w:tcPr>
            <w:tcW w:type="dxa" w:w="1600"/>
            <w:shd w:fill="FFFFFF" w:val="clear"/>
          </w:tcPr>
          <w:p>
            <w:r>
              <w:rPr>
                <w:sz w:val="17"/>
                <w:szCs w:val="17"/>
              </w:rPr>
              <w:t xml:space="preserve">9</w:t>
            </w:r>
          </w:p>
        </w:tc>
        <w:tc>
          <w:tcPr>
            <w:tcW w:type="dxa" w:w="4500"/>
            <w:shd w:fill="FFFFFF" w:val="clear"/>
          </w:tcPr>
          <w:p>
            <w:r>
              <w:rPr>
                <w:sz w:val="17"/>
                <w:szCs w:val="17"/>
              </w:rPr>
              <w:t xml:space="preserve">Lajpat Nagar</w:t>
            </w:r>
          </w:p>
        </w:tc>
        <w:tc>
          <w:tcPr>
            <w:tcW w:type="dxa" w:w="2800"/>
            <w:shd w:fill="FFFFFF" w:val="clear"/>
          </w:tcPr>
          <w:p>
            <w:r>
              <w:rPr>
                <w:sz w:val="17"/>
                <w:szCs w:val="17"/>
              </w:rPr>
              <w:t xml:space="preserve">904</w:t>
            </w:r>
          </w:p>
        </w:tc>
      </w:tr>
      <w:tr>
        <w:tc>
          <w:tcPr>
            <w:tcW w:type="dxa" w:w="1600"/>
            <w:shd w:fill="f2f3f5" w:val="clear"/>
          </w:tcPr>
          <w:p>
            <w:r>
              <w:rPr>
                <w:sz w:val="17"/>
                <w:szCs w:val="17"/>
              </w:rPr>
              <w:t xml:space="preserve">10</w:t>
            </w:r>
          </w:p>
        </w:tc>
        <w:tc>
          <w:tcPr>
            <w:tcW w:type="dxa" w:w="4500"/>
            <w:shd w:fill="f2f3f5" w:val="clear"/>
          </w:tcPr>
          <w:p>
            <w:r>
              <w:rPr>
                <w:sz w:val="17"/>
                <w:szCs w:val="17"/>
              </w:rPr>
              <w:t xml:space="preserve">Madipur</w:t>
            </w:r>
          </w:p>
        </w:tc>
        <w:tc>
          <w:tcPr>
            <w:tcW w:type="dxa" w:w="2800"/>
            <w:shd w:fill="f2f3f5" w:val="clear"/>
          </w:tcPr>
          <w:p>
            <w:r>
              <w:rPr>
                <w:sz w:val="17"/>
                <w:szCs w:val="17"/>
              </w:rPr>
              <w:t xml:space="preserve">902</w:t>
            </w:r>
          </w:p>
        </w:tc>
      </w:tr>
    </w:tbl>
    <w:p>
      <w:pPr>
        <w:pStyle w:val="Heading1"/>
        <w:spacing w:after="160" w:before="360"/>
      </w:pPr>
      <w:r>
        <w:rPr>
          <w:b/>
          <w:bCs/>
          <w:color w:val="1a2744"/>
        </w:rPr>
        <w:t xml:space="preserve">11. Ride Distance &amp; Fare Distributions</w:t>
      </w:r>
    </w:p>
    <w:p>
      <w:pPr>
        <w:spacing w:after="160" w:line="300"/>
      </w:pPr>
      <w:r>
        <w:rPr>
          <w:sz w:val="21"/>
          <w:szCs w:val="21"/>
        </w:rPr>
        <w:t xml:space="preserve">Completed rides average 26.0 km (median 26.0 km), ranging from 2 km to 50 km — a wide spread suggesting the dataset mixes short intra-neighborhood hops with long cross-city trips fairly evenly rather than clustering around a 'typical' commute distance.</w:t>
      </w:r>
    </w:p>
    <w:p>
      <w:pPr>
        <w:spacing w:after="140" w:before="8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24150"/>
                    </a:xfrm>
                    <a:prstGeom prst="rect">
                      <a:avLst/>
                    </a:prstGeom>
                  </pic:spPr>
                </pic:pic>
              </a:graphicData>
            </a:graphic>
          </wp:inline>
        </w:drawing>
      </w:r>
    </w:p>
    <w:p>
      <w:pPr>
        <w:spacing w:after="220"/>
        <w:jc w:val="center"/>
      </w:pPr>
      <w:r>
        <w:rPr>
          <w:i/>
          <w:iCs/>
          <w:color w:val="6b7280"/>
          <w:sz w:val="18"/>
          <w:szCs w:val="18"/>
        </w:rPr>
        <w:t xml:space="preserve">Figure 8 — Distribution of ride distance across all completed rides.</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each bar groups completed rides into a distance range and shows how many fall into it. A flatter, wider distribution like this one (versus a sharp single peak) tells you there isn't one dominant 'typical trip length' in this market — trip planning and driver positioning need to account for a genuinely mixed demand profile.</w:t>
      </w:r>
    </w:p>
    <w:p>
      <w:pPr>
        <w:spacing w:after="160" w:line="300"/>
      </w:pPr>
      <w:r>
        <w:rPr>
          <w:sz w:val="21"/>
          <w:szCs w:val="21"/>
        </w:rPr>
        <w:t xml:space="preserve">Fares average $5.33 (median $4.34), ranging from $0.52 to $44.88. The gap between mean and median — and the long right tail up to $44.88 — shows a small number of high-value trips pull the average above the typical ride.</w:t>
      </w:r>
    </w:p>
    <w:p>
      <w:pPr>
        <w:spacing w:after="140" w:before="8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24150"/>
                    </a:xfrm>
                    <a:prstGeom prst="rect">
                      <a:avLst/>
                    </a:prstGeom>
                  </pic:spPr>
                </pic:pic>
              </a:graphicData>
            </a:graphic>
          </wp:inline>
        </w:drawing>
      </w:r>
    </w:p>
    <w:p>
      <w:pPr>
        <w:spacing w:after="220"/>
        <w:jc w:val="center"/>
      </w:pPr>
      <w:r>
        <w:rPr>
          <w:i/>
          <w:iCs/>
          <w:color w:val="6b7280"/>
          <w:sz w:val="18"/>
          <w:szCs w:val="18"/>
        </w:rPr>
        <w:t xml:space="preserve">Figure 9 — Distribution of fare (booking value, USD) across all completed rides.</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this is the fare equivalent of Figure 8 — each bar is a $ range, height is how many completed rides fell into it. Most rides cluster under $10, with a long tail of higher-value trips stretching out to the right; that tail is what separates the mean ($5.33) from the median ($4.34).</w:t>
      </w:r>
    </w:p>
    <w:p>
      <w:pPr>
        <w:spacing w:after="200" w:before="40"/>
      </w:pPr>
      <w:r>
        <w:rPr>
          <w:i/>
          <w:iCs/>
          <w:sz w:val="20"/>
          <w:szCs w:val="20"/>
        </w:rPr>
        <w:t xml:space="preserve">Notably, the correlation between ride distance and fare in this dataset is effectively zero (r = 0.006) — in a real fare model, distance is normally one of the strongest drivers of price, so this is another signal that fare and distance were generated independently in the synthetic data rather than from a shared pricing formula. A real report built on live Uber data should expect (and should sanity-check for) a strong positive correlation here.</w:t>
      </w:r>
    </w:p>
    <w:p>
      <w:pPr>
        <w:pStyle w:val="Heading1"/>
        <w:spacing w:after="160" w:before="360"/>
      </w:pPr>
      <w:r>
        <w:rPr>
          <w:b/>
          <w:bCs/>
          <w:color w:val="1a2744"/>
        </w:rPr>
        <w:t xml:space="preserve">12. Why Rides Get Cancelled</w:t>
      </w:r>
    </w:p>
    <w:p>
      <w:pPr>
        <w:spacing w:after="160" w:line="300"/>
      </w:pPr>
      <w:r>
        <w:rPr>
          <w:sz w:val="21"/>
          <w:szCs w:val="21"/>
        </w:rPr>
        <w:t xml:space="preserve">Cancellation reasons are evenly split across categories on both sides, which suggests no single dominant root cause — a mix of address/logistics issues on the customer side, and vehicle or passenger-count issues on the driver side.</w:t>
      </w:r>
    </w:p>
    <w:p>
      <w:pPr>
        <w:spacing w:after="140" w:before="8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47925"/>
                    </a:xfrm>
                    <a:prstGeom prst="rect">
                      <a:avLst/>
                    </a:prstGeom>
                  </pic:spPr>
                </pic:pic>
              </a:graphicData>
            </a:graphic>
          </wp:inline>
        </w:drawing>
      </w:r>
    </w:p>
    <w:p>
      <w:pPr>
        <w:spacing w:after="220"/>
        <w:jc w:val="center"/>
      </w:pPr>
      <w:r>
        <w:rPr>
          <w:i/>
          <w:iCs/>
          <w:color w:val="6b7280"/>
          <w:sz w:val="18"/>
          <w:szCs w:val="18"/>
        </w:rPr>
        <w:t xml:space="preserve">Figure 10 — Customer cancellation reasons (left) vs. driver cancellation reasons (right).</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each bar is a distinct reason code selected at the time of cancellation, with length showing how many cancellations cited that reason. Comparing the two panels side by side shows whether cancellation risk sits more on the customer side or the driver side — here they're roughly balanced in volume, so a fix targeting only one side would address at most half the problem.</w:t>
      </w:r>
    </w:p>
    <w:p>
      <w:pPr>
        <w:pStyle w:val="ListParagraph"/>
        <w:numPr>
          <w:ilvl w:val="0"/>
          <w:numId w:val="2"/>
        </w:numPr>
        <w:spacing w:after="80"/>
      </w:pPr>
      <w:r>
        <w:rPr>
          <w:sz w:val="21"/>
          <w:szCs w:val="21"/>
        </w:rPr>
        <w:t xml:space="preserve">Customer-side: split fairly evenly between wrong address, change of plans, driver not approaching, and AC complaints</w:t>
      </w:r>
    </w:p>
    <w:p>
      <w:pPr>
        <w:pStyle w:val="ListParagraph"/>
        <w:numPr>
          <w:ilvl w:val="0"/>
          <w:numId w:val="2"/>
        </w:numPr>
        <w:spacing w:after="80"/>
      </w:pPr>
      <w:r>
        <w:rPr>
          <w:sz w:val="21"/>
          <w:szCs w:val="21"/>
        </w:rPr>
        <w:t xml:space="preserve">Driver-side: split fairly evenly between customer-related issues, passenger illness concerns, vehicle/personal issues, and overcrowding</w:t>
      </w:r>
    </w:p>
    <w:p>
      <w:r>
        <w:br w:type="page"/>
      </w:r>
    </w:p>
    <w:p>
      <w:pPr>
        <w:pStyle w:val="Heading1"/>
        <w:spacing w:after="160" w:before="360"/>
      </w:pPr>
      <w:r>
        <w:rPr>
          <w:b/>
          <w:bCs/>
          <w:color w:val="1a2744"/>
        </w:rPr>
        <w:t xml:space="preserve">13. Service Time: Driver Arrival vs. Ride Completion</w:t>
      </w:r>
    </w:p>
    <w:p>
      <w:pPr>
        <w:spacing w:after="160" w:line="300"/>
      </w:pPr>
      <w:r>
        <w:rPr>
          <w:sz w:val="21"/>
          <w:szCs w:val="21"/>
        </w:rPr>
        <w:t xml:space="preserve">Average time for a driver to arrive after accepting a booking (VTAT) is 8.51 minutes; average total ride completion time (CTAT) is 30.03 minutes. Both metrics are nearly identical across every vehicle type — no vehicle type is a meaningfully faster or slower experience end-to-end.</w:t>
      </w:r>
    </w:p>
    <w:p>
      <w:pPr>
        <w:spacing w:after="140" w:before="8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i/>
          <w:iCs/>
          <w:color w:val="6b7280"/>
          <w:sz w:val="18"/>
          <w:szCs w:val="18"/>
        </w:rPr>
        <w:t xml:space="preserve">Figure 11 — Average driver arrival time (VTAT, gold) and average ride completion time (CTAT, navy), by vehicle type.</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for each vehicle type, the gold bar is the average minutes a rider waits for the driver to arrive after booking, and the navy bar is the average total minutes from booking to trip completion. Because these bars are nearly the same height across every vehicle type, service speed is not a factor that differentiates one vehicle type from another in this dataset — it would only become useful once cut by zone or hour of day.</w:t>
      </w:r>
    </w:p>
    <w:p>
      <w:pPr>
        <w:pStyle w:val="Heading1"/>
        <w:spacing w:after="160" w:before="360"/>
      </w:pPr>
      <w:r>
        <w:rPr>
          <w:b/>
          <w:bCs/>
          <w:color w:val="1a2744"/>
        </w:rPr>
        <w:t xml:space="preserve">14. Payment Method Mix</w:t>
      </w:r>
    </w:p>
    <w:p>
      <w:pPr>
        <w:spacing w:after="140" w:before="80"/>
        <w:jc w:val="center"/>
      </w:pPr>
      <w:r>
        <w:drawing>
          <wp:inline distT="0" distB="0" distL="0" distR="0">
            <wp:extent cx="4762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33700"/>
                    </a:xfrm>
                    <a:prstGeom prst="rect">
                      <a:avLst/>
                    </a:prstGeom>
                  </pic:spPr>
                </pic:pic>
              </a:graphicData>
            </a:graphic>
          </wp:inline>
        </w:drawing>
      </w:r>
    </w:p>
    <w:p>
      <w:pPr>
        <w:spacing w:after="220"/>
        <w:jc w:val="center"/>
      </w:pPr>
      <w:r>
        <w:rPr>
          <w:i/>
          <w:iCs/>
          <w:color w:val="6b7280"/>
          <w:sz w:val="18"/>
          <w:szCs w:val="18"/>
        </w:rPr>
        <w:t xml:space="preserve">Figure 12 — Payment method share across completed rides.</w:t>
      </w:r>
    </w:p>
    <w:p>
      <w:pPr>
        <w:pBdr>
          <w:left w:val="single" w:color="d4a13d" w:sz="18" w:space="8"/>
        </w:pBdr>
        <w:shd w:fill="f2f3f5" w:val="clear"/>
        <w:spacing w:after="200" w:before="40"/>
        <w:ind w:left="120"/>
      </w:pPr>
      <w:r>
        <w:rPr>
          <w:b/>
          <w:bCs/>
          <w:color w:val="1a2744"/>
          <w:sz w:val="19"/>
          <w:szCs w:val="19"/>
        </w:rPr>
        <w:t xml:space="preserve">How to read this chart: </w:t>
      </w:r>
      <w:r>
        <w:rPr>
          <w:color w:val="333333"/>
          <w:sz w:val="19"/>
          <w:szCs w:val="19"/>
        </w:rPr>
        <w:t xml:space="preserve">each bar is the count of completed rides paid for using that method. This is a simple share-of-transactions view — useful for reconciliation planning and for deciding where to invest in payment UX (e.g., streamlining the UPI flow, since it's already the dominant method).</w:t>
      </w:r>
    </w:p>
    <w:p>
      <w:pPr>
        <w:spacing w:after="160" w:line="300"/>
      </w:pPr>
      <w:r>
        <w:rPr>
          <w:sz w:val="21"/>
          <w:szCs w:val="21"/>
        </w:rPr>
        <w:t xml:space="preserve">UPI dominates at 45.0% of completed rides, consistent with India's broader shift to real-time digital payments. Cash still accounts for nearly a quarter of transactions (24.9%), which matters for driver cash-handling and reconciliation workflows; the remaining 30% is split across Uber Wallet (12.0%), Credit Card (10.0%), and Debit Card (8.1%).</w:t>
      </w:r>
    </w:p>
    <w:p>
      <w:pPr>
        <w:pStyle w:val="Heading2"/>
        <w:spacing w:after="120" w:before="240"/>
      </w:pPr>
      <w:r>
        <w:rPr>
          <w:b/>
          <w:bCs/>
          <w:color w:val="0f9b8e"/>
          <w:sz w:val="24"/>
          <w:szCs w:val="24"/>
        </w:rPr>
        <w:t xml:space="preserve">Payment Method by Vehicle Type</w:t>
      </w:r>
    </w:p>
    <w:p>
      <w:pPr>
        <w:spacing w:after="160" w:line="300"/>
      </w:pPr>
      <w:r>
        <w:rPr>
          <w:sz w:val="21"/>
          <w:szCs w:val="21"/>
        </w:rPr>
        <w:t xml:space="preserve">UPI is the leading payment method within every single vehicle type, and the proportional split barely shifts from one vehicle type to the next — payment preference in this dataset is a rider-level habit, not something that varies by which vehicle they 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500"/>
        <w:gridCol w:w="1500"/>
        <w:gridCol w:w="1400"/>
        <w:gridCol w:w="1500"/>
      </w:tblGrid>
      <w:tr>
        <w:trPr>
          <w:tblHeader/>
        </w:trPr>
        <w:tc>
          <w:tcPr>
            <w:tcW w:type="dxa" w:w="1900"/>
            <w:shd w:fill="1a2744" w:val="clear"/>
          </w:tcPr>
          <w:p>
            <w:r>
              <w:rPr>
                <w:b/>
                <w:bCs/>
                <w:color w:val="FFFFFF"/>
                <w:sz w:val="18"/>
                <w:szCs w:val="18"/>
              </w:rPr>
              <w:t xml:space="preserve">Vehicle Type</w:t>
            </w:r>
          </w:p>
        </w:tc>
        <w:tc>
          <w:tcPr>
            <w:tcW w:type="dxa" w:w="1400"/>
            <w:shd w:fill="1a2744" w:val="clear"/>
          </w:tcPr>
          <w:p>
            <w:r>
              <w:rPr>
                <w:b/>
                <w:bCs/>
                <w:color w:val="FFFFFF"/>
                <w:sz w:val="18"/>
                <w:szCs w:val="18"/>
              </w:rPr>
              <w:t xml:space="preserve">Cash</w:t>
            </w:r>
          </w:p>
        </w:tc>
        <w:tc>
          <w:tcPr>
            <w:tcW w:type="dxa" w:w="1500"/>
            <w:shd w:fill="1a2744" w:val="clear"/>
          </w:tcPr>
          <w:p>
            <w:r>
              <w:rPr>
                <w:b/>
                <w:bCs/>
                <w:color w:val="FFFFFF"/>
                <w:sz w:val="18"/>
                <w:szCs w:val="18"/>
              </w:rPr>
              <w:t xml:space="preserve">Credit Card</w:t>
            </w:r>
          </w:p>
        </w:tc>
        <w:tc>
          <w:tcPr>
            <w:tcW w:type="dxa" w:w="1500"/>
            <w:shd w:fill="1a2744" w:val="clear"/>
          </w:tcPr>
          <w:p>
            <w:r>
              <w:rPr>
                <w:b/>
                <w:bCs/>
                <w:color w:val="FFFFFF"/>
                <w:sz w:val="18"/>
                <w:szCs w:val="18"/>
              </w:rPr>
              <w:t xml:space="preserve">Debit Card</w:t>
            </w:r>
          </w:p>
        </w:tc>
        <w:tc>
          <w:tcPr>
            <w:tcW w:type="dxa" w:w="1400"/>
            <w:shd w:fill="1a2744" w:val="clear"/>
          </w:tcPr>
          <w:p>
            <w:r>
              <w:rPr>
                <w:b/>
                <w:bCs/>
                <w:color w:val="FFFFFF"/>
                <w:sz w:val="18"/>
                <w:szCs w:val="18"/>
              </w:rPr>
              <w:t xml:space="preserve">UPI</w:t>
            </w:r>
          </w:p>
        </w:tc>
        <w:tc>
          <w:tcPr>
            <w:tcW w:type="dxa" w:w="1500"/>
            <w:shd w:fill="1a2744" w:val="clear"/>
          </w:tcPr>
          <w:p>
            <w:r>
              <w:rPr>
                <w:b/>
                <w:bCs/>
                <w:color w:val="FFFFFF"/>
                <w:sz w:val="18"/>
                <w:szCs w:val="18"/>
              </w:rPr>
              <w:t xml:space="preserve">Uber Wallet</w:t>
            </w:r>
          </w:p>
        </w:tc>
      </w:tr>
      <w:tr>
        <w:tc>
          <w:tcPr>
            <w:tcW w:type="dxa" w:w="1900"/>
            <w:shd w:fill="FFFFFF" w:val="clear"/>
          </w:tcPr>
          <w:p>
            <w:r>
              <w:rPr>
                <w:sz w:val="17"/>
                <w:szCs w:val="17"/>
              </w:rPr>
              <w:t xml:space="preserve">Auto</w:t>
            </w:r>
          </w:p>
        </w:tc>
        <w:tc>
          <w:tcPr>
            <w:tcW w:type="dxa" w:w="1400"/>
            <w:shd w:fill="FFFFFF" w:val="clear"/>
          </w:tcPr>
          <w:p>
            <w:r>
              <w:rPr>
                <w:sz w:val="17"/>
                <w:szCs w:val="17"/>
              </w:rPr>
              <w:t xml:space="preserve">5,704</w:t>
            </w:r>
          </w:p>
        </w:tc>
        <w:tc>
          <w:tcPr>
            <w:tcW w:type="dxa" w:w="1500"/>
            <w:shd w:fill="FFFFFF" w:val="clear"/>
          </w:tcPr>
          <w:p>
            <w:r>
              <w:rPr>
                <w:sz w:val="17"/>
                <w:szCs w:val="17"/>
              </w:rPr>
              <w:t xml:space="preserve">2,325</w:t>
            </w:r>
          </w:p>
        </w:tc>
        <w:tc>
          <w:tcPr>
            <w:tcW w:type="dxa" w:w="1500"/>
            <w:shd w:fill="FFFFFF" w:val="clear"/>
          </w:tcPr>
          <w:p>
            <w:r>
              <w:rPr>
                <w:sz w:val="17"/>
                <w:szCs w:val="17"/>
              </w:rPr>
              <w:t xml:space="preserve">1,892</w:t>
            </w:r>
          </w:p>
        </w:tc>
        <w:tc>
          <w:tcPr>
            <w:tcW w:type="dxa" w:w="1400"/>
            <w:shd w:fill="FFFFFF" w:val="clear"/>
          </w:tcPr>
          <w:p>
            <w:r>
              <w:rPr>
                <w:sz w:val="17"/>
                <w:szCs w:val="17"/>
              </w:rPr>
              <w:t xml:space="preserve">10,358</w:t>
            </w:r>
          </w:p>
        </w:tc>
        <w:tc>
          <w:tcPr>
            <w:tcW w:type="dxa" w:w="1500"/>
            <w:shd w:fill="FFFFFF" w:val="clear"/>
          </w:tcPr>
          <w:p>
            <w:r>
              <w:rPr>
                <w:sz w:val="17"/>
                <w:szCs w:val="17"/>
              </w:rPr>
              <w:t xml:space="preserve">2,876</w:t>
            </w:r>
          </w:p>
        </w:tc>
      </w:tr>
      <w:tr>
        <w:tc>
          <w:tcPr>
            <w:tcW w:type="dxa" w:w="1900"/>
            <w:shd w:fill="f2f3f5" w:val="clear"/>
          </w:tcPr>
          <w:p>
            <w:r>
              <w:rPr>
                <w:sz w:val="17"/>
                <w:szCs w:val="17"/>
              </w:rPr>
              <w:t xml:space="preserve">Bike</w:t>
            </w:r>
          </w:p>
        </w:tc>
        <w:tc>
          <w:tcPr>
            <w:tcW w:type="dxa" w:w="1400"/>
            <w:shd w:fill="f2f3f5" w:val="clear"/>
          </w:tcPr>
          <w:p>
            <w:r>
              <w:rPr>
                <w:sz w:val="17"/>
                <w:szCs w:val="17"/>
              </w:rPr>
              <w:t xml:space="preserve">3,501</w:t>
            </w:r>
          </w:p>
        </w:tc>
        <w:tc>
          <w:tcPr>
            <w:tcW w:type="dxa" w:w="1500"/>
            <w:shd w:fill="f2f3f5" w:val="clear"/>
          </w:tcPr>
          <w:p>
            <w:r>
              <w:rPr>
                <w:sz w:val="17"/>
                <w:szCs w:val="17"/>
              </w:rPr>
              <w:t xml:space="preserve">1,390</w:t>
            </w:r>
          </w:p>
        </w:tc>
        <w:tc>
          <w:tcPr>
            <w:tcW w:type="dxa" w:w="1500"/>
            <w:shd w:fill="f2f3f5" w:val="clear"/>
          </w:tcPr>
          <w:p>
            <w:r>
              <w:rPr>
                <w:sz w:val="17"/>
                <w:szCs w:val="17"/>
              </w:rPr>
              <w:t xml:space="preserve">1,130</w:t>
            </w:r>
          </w:p>
        </w:tc>
        <w:tc>
          <w:tcPr>
            <w:tcW w:type="dxa" w:w="1400"/>
            <w:shd w:fill="f2f3f5" w:val="clear"/>
          </w:tcPr>
          <w:p>
            <w:r>
              <w:rPr>
                <w:sz w:val="17"/>
                <w:szCs w:val="17"/>
              </w:rPr>
              <w:t xml:space="preserve">6,367</w:t>
            </w:r>
          </w:p>
        </w:tc>
        <w:tc>
          <w:tcPr>
            <w:tcW w:type="dxa" w:w="1500"/>
            <w:shd w:fill="f2f3f5" w:val="clear"/>
          </w:tcPr>
          <w:p>
            <w:r>
              <w:rPr>
                <w:sz w:val="17"/>
                <w:szCs w:val="17"/>
              </w:rPr>
              <w:t xml:space="preserve">1,646</w:t>
            </w:r>
          </w:p>
        </w:tc>
      </w:tr>
      <w:tr>
        <w:tc>
          <w:tcPr>
            <w:tcW w:type="dxa" w:w="1900"/>
            <w:shd w:fill="FFFFFF" w:val="clear"/>
          </w:tcPr>
          <w:p>
            <w:r>
              <w:rPr>
                <w:sz w:val="17"/>
                <w:szCs w:val="17"/>
              </w:rPr>
              <w:t xml:space="preserve">Go Mini</w:t>
            </w:r>
          </w:p>
        </w:tc>
        <w:tc>
          <w:tcPr>
            <w:tcW w:type="dxa" w:w="1400"/>
            <w:shd w:fill="FFFFFF" w:val="clear"/>
          </w:tcPr>
          <w:p>
            <w:r>
              <w:rPr>
                <w:sz w:val="17"/>
                <w:szCs w:val="17"/>
              </w:rPr>
              <w:t xml:space="preserve">4,669</w:t>
            </w:r>
          </w:p>
        </w:tc>
        <w:tc>
          <w:tcPr>
            <w:tcW w:type="dxa" w:w="1500"/>
            <w:shd w:fill="FFFFFF" w:val="clear"/>
          </w:tcPr>
          <w:p>
            <w:r>
              <w:rPr>
                <w:sz w:val="17"/>
                <w:szCs w:val="17"/>
              </w:rPr>
              <w:t xml:space="preserve">1,838</w:t>
            </w:r>
          </w:p>
        </w:tc>
        <w:tc>
          <w:tcPr>
            <w:tcW w:type="dxa" w:w="1500"/>
            <w:shd w:fill="FFFFFF" w:val="clear"/>
          </w:tcPr>
          <w:p>
            <w:r>
              <w:rPr>
                <w:sz w:val="17"/>
                <w:szCs w:val="17"/>
              </w:rPr>
              <w:t xml:space="preserve">1,475</w:t>
            </w:r>
          </w:p>
        </w:tc>
        <w:tc>
          <w:tcPr>
            <w:tcW w:type="dxa" w:w="1400"/>
            <w:shd w:fill="FFFFFF" w:val="clear"/>
          </w:tcPr>
          <w:p>
            <w:r>
              <w:rPr>
                <w:sz w:val="17"/>
                <w:szCs w:val="17"/>
              </w:rPr>
              <w:t xml:space="preserve">8,409</w:t>
            </w:r>
          </w:p>
        </w:tc>
        <w:tc>
          <w:tcPr>
            <w:tcW w:type="dxa" w:w="1500"/>
            <w:shd w:fill="FFFFFF" w:val="clear"/>
          </w:tcPr>
          <w:p>
            <w:r>
              <w:rPr>
                <w:sz w:val="17"/>
                <w:szCs w:val="17"/>
              </w:rPr>
              <w:t xml:space="preserve">2,158</w:t>
            </w:r>
          </w:p>
        </w:tc>
      </w:tr>
      <w:tr>
        <w:tc>
          <w:tcPr>
            <w:tcW w:type="dxa" w:w="1900"/>
            <w:shd w:fill="f2f3f5" w:val="clear"/>
          </w:tcPr>
          <w:p>
            <w:r>
              <w:rPr>
                <w:sz w:val="17"/>
                <w:szCs w:val="17"/>
              </w:rPr>
              <w:t xml:space="preserve">Go Sedan</w:t>
            </w:r>
          </w:p>
        </w:tc>
        <w:tc>
          <w:tcPr>
            <w:tcW w:type="dxa" w:w="1400"/>
            <w:shd w:fill="f2f3f5" w:val="clear"/>
          </w:tcPr>
          <w:p>
            <w:r>
              <w:rPr>
                <w:sz w:val="17"/>
                <w:szCs w:val="17"/>
              </w:rPr>
              <w:t xml:space="preserve">4,237</w:t>
            </w:r>
          </w:p>
        </w:tc>
        <w:tc>
          <w:tcPr>
            <w:tcW w:type="dxa" w:w="1500"/>
            <w:shd w:fill="f2f3f5" w:val="clear"/>
          </w:tcPr>
          <w:p>
            <w:r>
              <w:rPr>
                <w:sz w:val="17"/>
                <w:szCs w:val="17"/>
              </w:rPr>
              <w:t xml:space="preserve">1,715</w:t>
            </w:r>
          </w:p>
        </w:tc>
        <w:tc>
          <w:tcPr>
            <w:tcW w:type="dxa" w:w="1500"/>
            <w:shd w:fill="f2f3f5" w:val="clear"/>
          </w:tcPr>
          <w:p>
            <w:r>
              <w:rPr>
                <w:sz w:val="17"/>
                <w:szCs w:val="17"/>
              </w:rPr>
              <w:t xml:space="preserve">1,342</w:t>
            </w:r>
          </w:p>
        </w:tc>
        <w:tc>
          <w:tcPr>
            <w:tcW w:type="dxa" w:w="1400"/>
            <w:shd w:fill="f2f3f5" w:val="clear"/>
          </w:tcPr>
          <w:p>
            <w:r>
              <w:rPr>
                <w:sz w:val="17"/>
                <w:szCs w:val="17"/>
              </w:rPr>
              <w:t xml:space="preserve">7,405</w:t>
            </w:r>
          </w:p>
        </w:tc>
        <w:tc>
          <w:tcPr>
            <w:tcW w:type="dxa" w:w="1500"/>
            <w:shd w:fill="f2f3f5" w:val="clear"/>
          </w:tcPr>
          <w:p>
            <w:r>
              <w:rPr>
                <w:sz w:val="17"/>
                <w:szCs w:val="17"/>
              </w:rPr>
              <w:t xml:space="preserve">1,977</w:t>
            </w:r>
          </w:p>
        </w:tc>
      </w:tr>
      <w:tr>
        <w:tc>
          <w:tcPr>
            <w:tcW w:type="dxa" w:w="1900"/>
            <w:shd w:fill="FFFFFF" w:val="clear"/>
          </w:tcPr>
          <w:p>
            <w:r>
              <w:rPr>
                <w:sz w:val="17"/>
                <w:szCs w:val="17"/>
              </w:rPr>
              <w:t xml:space="preserve">Premier Sedan</w:t>
            </w:r>
          </w:p>
        </w:tc>
        <w:tc>
          <w:tcPr>
            <w:tcW w:type="dxa" w:w="1400"/>
            <w:shd w:fill="FFFFFF" w:val="clear"/>
          </w:tcPr>
          <w:p>
            <w:r>
              <w:rPr>
                <w:sz w:val="17"/>
                <w:szCs w:val="17"/>
              </w:rPr>
              <w:t xml:space="preserve">2,739</w:t>
            </w:r>
          </w:p>
        </w:tc>
        <w:tc>
          <w:tcPr>
            <w:tcW w:type="dxa" w:w="1500"/>
            <w:shd w:fill="FFFFFF" w:val="clear"/>
          </w:tcPr>
          <w:p>
            <w:r>
              <w:rPr>
                <w:sz w:val="17"/>
                <w:szCs w:val="17"/>
              </w:rPr>
              <w:t xml:space="preserve">1,156</w:t>
            </w:r>
          </w:p>
        </w:tc>
        <w:tc>
          <w:tcPr>
            <w:tcW w:type="dxa" w:w="1500"/>
            <w:shd w:fill="FFFFFF" w:val="clear"/>
          </w:tcPr>
          <w:p>
            <w:r>
              <w:rPr>
                <w:sz w:val="17"/>
                <w:szCs w:val="17"/>
              </w:rPr>
              <w:t xml:space="preserve">924</w:t>
            </w:r>
          </w:p>
        </w:tc>
        <w:tc>
          <w:tcPr>
            <w:tcW w:type="dxa" w:w="1400"/>
            <w:shd w:fill="FFFFFF" w:val="clear"/>
          </w:tcPr>
          <w:p>
            <w:r>
              <w:rPr>
                <w:sz w:val="17"/>
                <w:szCs w:val="17"/>
              </w:rPr>
              <w:t xml:space="preserve">5,058</w:t>
            </w:r>
          </w:p>
        </w:tc>
        <w:tc>
          <w:tcPr>
            <w:tcW w:type="dxa" w:w="1500"/>
            <w:shd w:fill="FFFFFF" w:val="clear"/>
          </w:tcPr>
          <w:p>
            <w:r>
              <w:rPr>
                <w:sz w:val="17"/>
                <w:szCs w:val="17"/>
              </w:rPr>
              <w:t xml:space="preserve">1,375</w:t>
            </w:r>
          </w:p>
        </w:tc>
      </w:tr>
      <w:tr>
        <w:tc>
          <w:tcPr>
            <w:tcW w:type="dxa" w:w="1900"/>
            <w:shd w:fill="f2f3f5" w:val="clear"/>
          </w:tcPr>
          <w:p>
            <w:r>
              <w:rPr>
                <w:sz w:val="17"/>
                <w:szCs w:val="17"/>
              </w:rPr>
              <w:t xml:space="preserve">Uber XL</w:t>
            </w:r>
          </w:p>
        </w:tc>
        <w:tc>
          <w:tcPr>
            <w:tcW w:type="dxa" w:w="1400"/>
            <w:shd w:fill="f2f3f5" w:val="clear"/>
          </w:tcPr>
          <w:p>
            <w:r>
              <w:rPr>
                <w:sz w:val="17"/>
                <w:szCs w:val="17"/>
              </w:rPr>
              <w:t xml:space="preserve">715</w:t>
            </w:r>
          </w:p>
        </w:tc>
        <w:tc>
          <w:tcPr>
            <w:tcW w:type="dxa" w:w="1500"/>
            <w:shd w:fill="f2f3f5" w:val="clear"/>
          </w:tcPr>
          <w:p>
            <w:r>
              <w:rPr>
                <w:sz w:val="17"/>
                <w:szCs w:val="17"/>
              </w:rPr>
              <w:t xml:space="preserve">255</w:t>
            </w:r>
          </w:p>
        </w:tc>
        <w:tc>
          <w:tcPr>
            <w:tcW w:type="dxa" w:w="1500"/>
            <w:shd w:fill="f2f3f5" w:val="clear"/>
          </w:tcPr>
          <w:p>
            <w:r>
              <w:rPr>
                <w:sz w:val="17"/>
                <w:szCs w:val="17"/>
              </w:rPr>
              <w:t xml:space="preserve">246</w:t>
            </w:r>
          </w:p>
        </w:tc>
        <w:tc>
          <w:tcPr>
            <w:tcW w:type="dxa" w:w="1400"/>
            <w:shd w:fill="f2f3f5" w:val="clear"/>
          </w:tcPr>
          <w:p>
            <w:r>
              <w:rPr>
                <w:sz w:val="17"/>
                <w:szCs w:val="17"/>
              </w:rPr>
              <w:t xml:space="preserve">1,218</w:t>
            </w:r>
          </w:p>
        </w:tc>
        <w:tc>
          <w:tcPr>
            <w:tcW w:type="dxa" w:w="1500"/>
            <w:shd w:fill="f2f3f5" w:val="clear"/>
          </w:tcPr>
          <w:p>
            <w:r>
              <w:rPr>
                <w:sz w:val="17"/>
                <w:szCs w:val="17"/>
              </w:rPr>
              <w:t xml:space="preserve">349</w:t>
            </w:r>
          </w:p>
        </w:tc>
      </w:tr>
      <w:tr>
        <w:tc>
          <w:tcPr>
            <w:tcW w:type="dxa" w:w="1900"/>
            <w:shd w:fill="FFFFFF" w:val="clear"/>
          </w:tcPr>
          <w:p>
            <w:r>
              <w:rPr>
                <w:sz w:val="17"/>
                <w:szCs w:val="17"/>
              </w:rPr>
              <w:t xml:space="preserve">eBike</w:t>
            </w:r>
          </w:p>
        </w:tc>
        <w:tc>
          <w:tcPr>
            <w:tcW w:type="dxa" w:w="1400"/>
            <w:shd w:fill="FFFFFF" w:val="clear"/>
          </w:tcPr>
          <w:p>
            <w:r>
              <w:rPr>
                <w:sz w:val="17"/>
                <w:szCs w:val="17"/>
              </w:rPr>
              <w:t xml:space="preserve">1,549</w:t>
            </w:r>
          </w:p>
        </w:tc>
        <w:tc>
          <w:tcPr>
            <w:tcW w:type="dxa" w:w="1500"/>
            <w:shd w:fill="FFFFFF" w:val="clear"/>
          </w:tcPr>
          <w:p>
            <w:r>
              <w:rPr>
                <w:sz w:val="17"/>
                <w:szCs w:val="17"/>
              </w:rPr>
              <w:t xml:space="preserve">641</w:t>
            </w:r>
          </w:p>
        </w:tc>
        <w:tc>
          <w:tcPr>
            <w:tcW w:type="dxa" w:w="1500"/>
            <w:shd w:fill="FFFFFF" w:val="clear"/>
          </w:tcPr>
          <w:p>
            <w:r>
              <w:rPr>
                <w:sz w:val="17"/>
                <w:szCs w:val="17"/>
              </w:rPr>
              <w:t xml:space="preserve">517</w:t>
            </w:r>
          </w:p>
        </w:tc>
        <w:tc>
          <w:tcPr>
            <w:tcW w:type="dxa" w:w="1400"/>
            <w:shd w:fill="FFFFFF" w:val="clear"/>
          </w:tcPr>
          <w:p>
            <w:r>
              <w:rPr>
                <w:sz w:val="17"/>
                <w:szCs w:val="17"/>
              </w:rPr>
              <w:t xml:space="preserve">3,019</w:t>
            </w:r>
          </w:p>
        </w:tc>
        <w:tc>
          <w:tcPr>
            <w:tcW w:type="dxa" w:w="1500"/>
            <w:shd w:fill="FFFFFF" w:val="clear"/>
          </w:tcPr>
          <w:p>
            <w:r>
              <w:rPr>
                <w:sz w:val="17"/>
                <w:szCs w:val="17"/>
              </w:rPr>
              <w:t xml:space="preserve">825</w:t>
            </w:r>
          </w:p>
        </w:tc>
      </w:tr>
    </w:tbl>
    <w:p>
      <w:pPr>
        <w:pStyle w:val="Heading1"/>
        <w:spacing w:after="160" w:before="360"/>
      </w:pPr>
      <w:r>
        <w:rPr>
          <w:b/>
          <w:bCs/>
          <w:color w:val="1a2744"/>
        </w:rPr>
        <w:t xml:space="preserve">15. Customer Base Overview</w:t>
      </w:r>
    </w:p>
    <w:p>
      <w:pPr>
        <w:spacing w:after="160" w:line="300"/>
      </w:pPr>
      <w:r>
        <w:rPr>
          <w:sz w:val="21"/>
          <w:szCs w:val="21"/>
        </w:rPr>
        <w:t xml:space="preserve">The dataset includes 148,788 unique customer IDs across 150,000 bookings. Only 1,206 customers placed more than one booking in the year — meaning this dataset is overwhelmingly composed of one-time or first-time bookings rather than a loyal, repeat rider base.</w:t>
      </w:r>
    </w:p>
    <w:p>
      <w:pPr>
        <w:spacing w:after="160" w:line="300"/>
      </w:pPr>
      <w:r>
        <w:rPr>
          <w:sz w:val="21"/>
          <w:szCs w:val="21"/>
        </w:rPr>
        <w:t xml:space="preserve">In a live system this would be one of the first things flagged to a growth team: a healthy ride-hailing business typically sees a meaningful share of repeat riders, since retention is cheaper than acquisition. A near-total absence of repeat customers here is again most likely an artifact of how the dataset was generated (customer IDs assigned close to 1:1 with bookings) rather than a real retention signal — but it's exactly the kind of check a repeat-usage cohort analysis (Section 16) would formalize on real data.</w:t>
      </w:r>
    </w:p>
    <w:p>
      <w:pPr>
        <w:pStyle w:val="Heading1"/>
        <w:spacing w:after="160" w:before="360"/>
      </w:pPr>
      <w:r>
        <w:rPr>
          <w:b/>
          <w:bCs/>
          <w:color w:val="1a2744"/>
        </w:rPr>
        <w:t xml:space="preserve">16. Summary of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00"/>
      </w:tblGrid>
      <w:tr>
        <w:trPr>
          <w:tblHeader/>
        </w:trPr>
        <w:tc>
          <w:tcPr>
            <w:tcW w:type="dxa" w:w="6000"/>
            <w:shd w:fill="1a2744" w:val="clear"/>
          </w:tcPr>
          <w:p>
            <w:r>
              <w:rPr>
                <w:b/>
                <w:bCs/>
                <w:color w:val="FFFFFF"/>
                <w:sz w:val="20"/>
                <w:szCs w:val="20"/>
              </w:rPr>
              <w:t xml:space="preserve">Metric</w:t>
            </w:r>
          </w:p>
        </w:tc>
        <w:tc>
          <w:tcPr>
            <w:tcW w:type="dxa" w:w="3300"/>
            <w:shd w:fill="1a2744" w:val="clear"/>
          </w:tcPr>
          <w:p>
            <w:r>
              <w:rPr>
                <w:b/>
                <w:bCs/>
                <w:color w:val="FFFFFF"/>
                <w:sz w:val="20"/>
                <w:szCs w:val="20"/>
              </w:rPr>
              <w:t xml:space="preserve">Value</w:t>
            </w:r>
          </w:p>
        </w:tc>
      </w:tr>
      <w:tr>
        <w:tc>
          <w:tcPr>
            <w:tcW w:type="dxa" w:w="6000"/>
            <w:shd w:fill="FFFFFF" w:val="clear"/>
          </w:tcPr>
          <w:p>
            <w:r>
              <w:rPr>
                <w:sz w:val="20"/>
                <w:szCs w:val="20"/>
              </w:rPr>
              <w:t xml:space="preserve">Total booking requests (2024)</w:t>
            </w:r>
          </w:p>
        </w:tc>
        <w:tc>
          <w:tcPr>
            <w:tcW w:type="dxa" w:w="3300"/>
            <w:shd w:fill="FFFFFF" w:val="clear"/>
          </w:tcPr>
          <w:p>
            <w:r>
              <w:rPr>
                <w:b/>
                <w:bCs/>
                <w:color w:val="1a2744"/>
                <w:sz w:val="20"/>
                <w:szCs w:val="20"/>
              </w:rPr>
              <w:t xml:space="preserve">150,000</w:t>
            </w:r>
          </w:p>
        </w:tc>
      </w:tr>
      <w:tr>
        <w:tc>
          <w:tcPr>
            <w:tcW w:type="dxa" w:w="6000"/>
            <w:shd w:fill="f2f3f5" w:val="clear"/>
          </w:tcPr>
          <w:p>
            <w:r>
              <w:rPr>
                <w:sz w:val="20"/>
                <w:szCs w:val="20"/>
              </w:rPr>
              <w:t xml:space="preserve">Completed rides</w:t>
            </w:r>
          </w:p>
        </w:tc>
        <w:tc>
          <w:tcPr>
            <w:tcW w:type="dxa" w:w="3300"/>
            <w:shd w:fill="f2f3f5" w:val="clear"/>
          </w:tcPr>
          <w:p>
            <w:r>
              <w:rPr>
                <w:b/>
                <w:bCs/>
                <w:color w:val="1a2744"/>
                <w:sz w:val="20"/>
                <w:szCs w:val="20"/>
              </w:rPr>
              <w:t xml:space="preserve">93,000 (62.0%)</w:t>
            </w:r>
          </w:p>
        </w:tc>
      </w:tr>
      <w:tr>
        <w:tc>
          <w:tcPr>
            <w:tcW w:type="dxa" w:w="6000"/>
            <w:shd w:fill="FFFFFF" w:val="clear"/>
          </w:tcPr>
          <w:p>
            <w:r>
              <w:rPr>
                <w:sz w:val="20"/>
                <w:szCs w:val="20"/>
              </w:rPr>
              <w:t xml:space="preserve">Total revenue (completed rides)</w:t>
            </w:r>
          </w:p>
        </w:tc>
        <w:tc>
          <w:tcPr>
            <w:tcW w:type="dxa" w:w="3300"/>
            <w:shd w:fill="FFFFFF" w:val="clear"/>
          </w:tcPr>
          <w:p>
            <w:r>
              <w:rPr>
                <w:b/>
                <w:bCs/>
                <w:color w:val="1a2744"/>
                <w:sz w:val="20"/>
                <w:szCs w:val="20"/>
              </w:rPr>
              <w:t xml:space="preserve">$495,914</w:t>
            </w:r>
          </w:p>
        </w:tc>
      </w:tr>
      <w:tr>
        <w:tc>
          <w:tcPr>
            <w:tcW w:type="dxa" w:w="6000"/>
            <w:shd w:fill="f2f3f5" w:val="clear"/>
          </w:tcPr>
          <w:p>
            <w:r>
              <w:rPr>
                <w:sz w:val="20"/>
                <w:szCs w:val="20"/>
              </w:rPr>
              <w:t xml:space="preserve">Average fare per completed ride</w:t>
            </w:r>
          </w:p>
        </w:tc>
        <w:tc>
          <w:tcPr>
            <w:tcW w:type="dxa" w:w="3300"/>
            <w:shd w:fill="f2f3f5" w:val="clear"/>
          </w:tcPr>
          <w:p>
            <w:r>
              <w:rPr>
                <w:b/>
                <w:bCs/>
                <w:color w:val="1a2744"/>
                <w:sz w:val="20"/>
                <w:szCs w:val="20"/>
              </w:rPr>
              <w:t xml:space="preserve">$5.33 (median $4.34)</w:t>
            </w:r>
          </w:p>
        </w:tc>
      </w:tr>
      <w:tr>
        <w:tc>
          <w:tcPr>
            <w:tcW w:type="dxa" w:w="6000"/>
            <w:shd w:fill="FFFFFF" w:val="clear"/>
          </w:tcPr>
          <w:p>
            <w:r>
              <w:rPr>
                <w:sz w:val="20"/>
                <w:szCs w:val="20"/>
              </w:rPr>
              <w:t xml:space="preserve">Total distance covered</w:t>
            </w:r>
          </w:p>
        </w:tc>
        <w:tc>
          <w:tcPr>
            <w:tcW w:type="dxa" w:w="3300"/>
            <w:shd w:fill="FFFFFF" w:val="clear"/>
          </w:tcPr>
          <w:p>
            <w:r>
              <w:rPr>
                <w:b/>
                <w:bCs/>
                <w:color w:val="1a2744"/>
                <w:sz w:val="20"/>
                <w:szCs w:val="20"/>
              </w:rPr>
              <w:t xml:space="preserve">2,418,046 km</w:t>
            </w:r>
          </w:p>
        </w:tc>
      </w:tr>
      <w:tr>
        <w:tc>
          <w:tcPr>
            <w:tcW w:type="dxa" w:w="6000"/>
            <w:shd w:fill="f2f3f5" w:val="clear"/>
          </w:tcPr>
          <w:p>
            <w:r>
              <w:rPr>
                <w:sz w:val="20"/>
                <w:szCs w:val="20"/>
              </w:rPr>
              <w:t xml:space="preserve">Average ride distance</w:t>
            </w:r>
          </w:p>
        </w:tc>
        <w:tc>
          <w:tcPr>
            <w:tcW w:type="dxa" w:w="3300"/>
            <w:shd w:fill="f2f3f5" w:val="clear"/>
          </w:tcPr>
          <w:p>
            <w:r>
              <w:rPr>
                <w:b/>
                <w:bCs/>
                <w:color w:val="1a2744"/>
                <w:sz w:val="20"/>
                <w:szCs w:val="20"/>
              </w:rPr>
              <w:t xml:space="preserve">26.0 km</w:t>
            </w:r>
          </w:p>
        </w:tc>
      </w:tr>
      <w:tr>
        <w:tc>
          <w:tcPr>
            <w:tcW w:type="dxa" w:w="6000"/>
            <w:shd w:fill="FFFFFF" w:val="clear"/>
          </w:tcPr>
          <w:p>
            <w:r>
              <w:rPr>
                <w:sz w:val="20"/>
                <w:szCs w:val="20"/>
              </w:rPr>
              <w:t xml:space="preserve">Average driver rating</w:t>
            </w:r>
          </w:p>
        </w:tc>
        <w:tc>
          <w:tcPr>
            <w:tcW w:type="dxa" w:w="3300"/>
            <w:shd w:fill="FFFFFF" w:val="clear"/>
          </w:tcPr>
          <w:p>
            <w:r>
              <w:rPr>
                <w:b/>
                <w:bCs/>
                <w:color w:val="1a2744"/>
                <w:sz w:val="20"/>
                <w:szCs w:val="20"/>
              </w:rPr>
              <w:t xml:space="preserve">4.23 / 5</w:t>
            </w:r>
          </w:p>
        </w:tc>
      </w:tr>
      <w:tr>
        <w:tc>
          <w:tcPr>
            <w:tcW w:type="dxa" w:w="6000"/>
            <w:shd w:fill="f2f3f5" w:val="clear"/>
          </w:tcPr>
          <w:p>
            <w:r>
              <w:rPr>
                <w:sz w:val="20"/>
                <w:szCs w:val="20"/>
              </w:rPr>
              <w:t xml:space="preserve">Average customer rating</w:t>
            </w:r>
          </w:p>
        </w:tc>
        <w:tc>
          <w:tcPr>
            <w:tcW w:type="dxa" w:w="3300"/>
            <w:shd w:fill="f2f3f5" w:val="clear"/>
          </w:tcPr>
          <w:p>
            <w:r>
              <w:rPr>
                <w:b/>
                <w:bCs/>
                <w:color w:val="1a2744"/>
                <w:sz w:val="20"/>
                <w:szCs w:val="20"/>
              </w:rPr>
              <w:t xml:space="preserve">4.40 / 5</w:t>
            </w:r>
          </w:p>
        </w:tc>
      </w:tr>
      <w:tr>
        <w:tc>
          <w:tcPr>
            <w:tcW w:type="dxa" w:w="6000"/>
            <w:shd w:fill="FFFFFF" w:val="clear"/>
          </w:tcPr>
          <w:p>
            <w:r>
              <w:rPr>
                <w:sz w:val="20"/>
                <w:szCs w:val="20"/>
              </w:rPr>
              <w:t xml:space="preserve">Top vehicle type (by rides)</w:t>
            </w:r>
          </w:p>
        </w:tc>
        <w:tc>
          <w:tcPr>
            <w:tcW w:type="dxa" w:w="3300"/>
            <w:shd w:fill="FFFFFF" w:val="clear"/>
          </w:tcPr>
          <w:p>
            <w:r>
              <w:rPr>
                <w:b/>
                <w:bCs/>
                <w:color w:val="1a2744"/>
                <w:sz w:val="20"/>
                <w:szCs w:val="20"/>
              </w:rPr>
              <w:t xml:space="preserve">Auto — 23,155 rides</w:t>
            </w:r>
          </w:p>
        </w:tc>
      </w:tr>
      <w:tr>
        <w:tc>
          <w:tcPr>
            <w:tcW w:type="dxa" w:w="6000"/>
            <w:shd w:fill="f2f3f5" w:val="clear"/>
          </w:tcPr>
          <w:p>
            <w:r>
              <w:rPr>
                <w:sz w:val="20"/>
                <w:szCs w:val="20"/>
              </w:rPr>
              <w:t xml:space="preserve">Avg. driver arrival time (VTAT)</w:t>
            </w:r>
          </w:p>
        </w:tc>
        <w:tc>
          <w:tcPr>
            <w:tcW w:type="dxa" w:w="3300"/>
            <w:shd w:fill="f2f3f5" w:val="clear"/>
          </w:tcPr>
          <w:p>
            <w:r>
              <w:rPr>
                <w:b/>
                <w:bCs/>
                <w:color w:val="1a2744"/>
                <w:sz w:val="20"/>
                <w:szCs w:val="20"/>
              </w:rPr>
              <w:t xml:space="preserve">8.51 min</w:t>
            </w:r>
          </w:p>
        </w:tc>
      </w:tr>
      <w:tr>
        <w:tc>
          <w:tcPr>
            <w:tcW w:type="dxa" w:w="6000"/>
            <w:shd w:fill="FFFFFF" w:val="clear"/>
          </w:tcPr>
          <w:p>
            <w:r>
              <w:rPr>
                <w:sz w:val="20"/>
                <w:szCs w:val="20"/>
              </w:rPr>
              <w:t xml:space="preserve">Avg. ride completion time (CTAT)</w:t>
            </w:r>
          </w:p>
        </w:tc>
        <w:tc>
          <w:tcPr>
            <w:tcW w:type="dxa" w:w="3300"/>
            <w:shd w:fill="FFFFFF" w:val="clear"/>
          </w:tcPr>
          <w:p>
            <w:r>
              <w:rPr>
                <w:b/>
                <w:bCs/>
                <w:color w:val="1a2744"/>
                <w:sz w:val="20"/>
                <w:szCs w:val="20"/>
              </w:rPr>
              <w:t xml:space="preserve">30.03 min</w:t>
            </w:r>
          </w:p>
        </w:tc>
      </w:tr>
      <w:tr>
        <w:tc>
          <w:tcPr>
            <w:tcW w:type="dxa" w:w="6000"/>
            <w:shd w:fill="f2f3f5" w:val="clear"/>
          </w:tcPr>
          <w:p>
            <w:r>
              <w:rPr>
                <w:sz w:val="20"/>
                <w:szCs w:val="20"/>
              </w:rPr>
              <w:t xml:space="preserve">Rides lost to 'No Driver Found'</w:t>
            </w:r>
          </w:p>
        </w:tc>
        <w:tc>
          <w:tcPr>
            <w:tcW w:type="dxa" w:w="3300"/>
            <w:shd w:fill="f2f3f5" w:val="clear"/>
          </w:tcPr>
          <w:p>
            <w:r>
              <w:rPr>
                <w:b/>
                <w:bCs/>
                <w:color w:val="1a2744"/>
                <w:sz w:val="20"/>
                <w:szCs w:val="20"/>
              </w:rPr>
              <w:t xml:space="preserve">10,500 (7.0%)</w:t>
            </w:r>
          </w:p>
        </w:tc>
      </w:tr>
      <w:tr>
        <w:tc>
          <w:tcPr>
            <w:tcW w:type="dxa" w:w="6000"/>
            <w:shd w:fill="FFFFFF" w:val="clear"/>
          </w:tcPr>
          <w:p>
            <w:r>
              <w:rPr>
                <w:sz w:val="20"/>
                <w:szCs w:val="20"/>
              </w:rPr>
              <w:t xml:space="preserve">Rides cancelled by driver</w:t>
            </w:r>
          </w:p>
        </w:tc>
        <w:tc>
          <w:tcPr>
            <w:tcW w:type="dxa" w:w="3300"/>
            <w:shd w:fill="FFFFFF" w:val="clear"/>
          </w:tcPr>
          <w:p>
            <w:r>
              <w:rPr>
                <w:b/>
                <w:bCs/>
                <w:color w:val="1a2744"/>
                <w:sz w:val="20"/>
                <w:szCs w:val="20"/>
              </w:rPr>
              <w:t xml:space="preserve">27,000 (18.0%)</w:t>
            </w:r>
          </w:p>
        </w:tc>
      </w:tr>
      <w:tr>
        <w:tc>
          <w:tcPr>
            <w:tcW w:type="dxa" w:w="6000"/>
            <w:shd w:fill="f2f3f5" w:val="clear"/>
          </w:tcPr>
          <w:p>
            <w:r>
              <w:rPr>
                <w:sz w:val="20"/>
                <w:szCs w:val="20"/>
              </w:rPr>
              <w:t xml:space="preserve">Rides cancelled by customer</w:t>
            </w:r>
          </w:p>
        </w:tc>
        <w:tc>
          <w:tcPr>
            <w:tcW w:type="dxa" w:w="3300"/>
            <w:shd w:fill="f2f3f5" w:val="clear"/>
          </w:tcPr>
          <w:p>
            <w:r>
              <w:rPr>
                <w:b/>
                <w:bCs/>
                <w:color w:val="1a2744"/>
                <w:sz w:val="20"/>
                <w:szCs w:val="20"/>
              </w:rPr>
              <w:t xml:space="preserve">10,500 (7.0%)</w:t>
            </w:r>
          </w:p>
        </w:tc>
      </w:tr>
      <w:tr>
        <w:tc>
          <w:tcPr>
            <w:tcW w:type="dxa" w:w="6000"/>
            <w:shd w:fill="FFFFFF" w:val="clear"/>
          </w:tcPr>
          <w:p>
            <w:r>
              <w:rPr>
                <w:sz w:val="20"/>
                <w:szCs w:val="20"/>
              </w:rPr>
              <w:t xml:space="preserve">Peak demand hour</w:t>
            </w:r>
          </w:p>
        </w:tc>
        <w:tc>
          <w:tcPr>
            <w:tcW w:type="dxa" w:w="3300"/>
            <w:shd w:fill="FFFFFF" w:val="clear"/>
          </w:tcPr>
          <w:p>
            <w:r>
              <w:rPr>
                <w:b/>
                <w:bCs/>
                <w:color w:val="1a2744"/>
                <w:sz w:val="20"/>
                <w:szCs w:val="20"/>
              </w:rPr>
              <w:t xml:space="preserve">6:00–7:00 PM (12,397 requests)</w:t>
            </w:r>
          </w:p>
        </w:tc>
      </w:tr>
      <w:tr>
        <w:tc>
          <w:tcPr>
            <w:tcW w:type="dxa" w:w="6000"/>
            <w:shd w:fill="f2f3f5" w:val="clear"/>
          </w:tcPr>
          <w:p>
            <w:r>
              <w:rPr>
                <w:sz w:val="20"/>
                <w:szCs w:val="20"/>
              </w:rPr>
              <w:t xml:space="preserve">Unique customers</w:t>
            </w:r>
          </w:p>
        </w:tc>
        <w:tc>
          <w:tcPr>
            <w:tcW w:type="dxa" w:w="3300"/>
            <w:shd w:fill="f2f3f5" w:val="clear"/>
          </w:tcPr>
          <w:p>
            <w:r>
              <w:rPr>
                <w:b/>
                <w:bCs/>
                <w:color w:val="1a2744"/>
                <w:sz w:val="20"/>
                <w:szCs w:val="20"/>
              </w:rPr>
              <w:t xml:space="preserve">148,788</w:t>
            </w:r>
          </w:p>
        </w:tc>
      </w:tr>
      <w:tr>
        <w:tc>
          <w:tcPr>
            <w:tcW w:type="dxa" w:w="6000"/>
            <w:shd w:fill="FFFFFF" w:val="clear"/>
          </w:tcPr>
          <w:p>
            <w:r>
              <w:rPr>
                <w:sz w:val="20"/>
                <w:szCs w:val="20"/>
              </w:rPr>
              <w:t xml:space="preserve">Top payment method</w:t>
            </w:r>
          </w:p>
        </w:tc>
        <w:tc>
          <w:tcPr>
            <w:tcW w:type="dxa" w:w="3300"/>
            <w:shd w:fill="FFFFFF" w:val="clear"/>
          </w:tcPr>
          <w:p>
            <w:r>
              <w:rPr>
                <w:b/>
                <w:bCs/>
                <w:color w:val="1a2744"/>
                <w:sz w:val="20"/>
                <w:szCs w:val="20"/>
              </w:rPr>
              <w:t xml:space="preserve">UPI — 45.0% of completed rides</w:t>
            </w:r>
          </w:p>
        </w:tc>
      </w:tr>
    </w:tbl>
    <w:p>
      <w:r>
        <w:br w:type="page"/>
      </w:r>
    </w:p>
    <w:p>
      <w:pPr>
        <w:pStyle w:val="Heading1"/>
        <w:spacing w:after="160" w:before="360"/>
      </w:pPr>
      <w:r>
        <w:rPr>
          <w:b/>
          <w:bCs/>
          <w:color w:val="1a2744"/>
        </w:rPr>
        <w:t xml:space="preserve">17. Limitations &amp; Data Notes</w:t>
      </w:r>
    </w:p>
    <w:p>
      <w:pPr>
        <w:spacing w:after="160" w:line="300"/>
      </w:pPr>
      <w:r>
        <w:rPr>
          <w:sz w:val="21"/>
          <w:szCs w:val="21"/>
        </w:rPr>
        <w:t xml:space="preserve">A few patterns in this dataset are worth flagging explicitly, since they shape how much weight to put on certain conclusions:</w:t>
      </w:r>
    </w:p>
    <w:p>
      <w:pPr>
        <w:pStyle w:val="ListParagraph"/>
        <w:numPr>
          <w:ilvl w:val="0"/>
          <w:numId w:val="2"/>
        </w:numPr>
        <w:spacing w:after="80"/>
      </w:pPr>
      <w:r>
        <w:rPr>
          <w:sz w:val="21"/>
          <w:szCs w:val="21"/>
        </w:rPr>
        <w:t xml:space="preserve">Booking volume is unusually flat day-to-day (355–462 bookings every single day of the year) with no holiday, weather, or event-driven spikes — real ride-hailing markets typically show much sharper swings.</w:t>
      </w:r>
    </w:p>
    <w:p>
      <w:pPr>
        <w:pStyle w:val="ListParagraph"/>
        <w:numPr>
          <w:ilvl w:val="0"/>
          <w:numId w:val="2"/>
        </w:numPr>
        <w:spacing w:after="80"/>
      </w:pPr>
      <w:r>
        <w:rPr>
          <w:sz w:val="21"/>
          <w:szCs w:val="21"/>
        </w:rPr>
        <w:t xml:space="preserve">Ride distance and fare show essentially zero correlation (r = 0.006), where a real fare model would show a strong positive relationship between the two.</w:t>
      </w:r>
    </w:p>
    <w:p>
      <w:pPr>
        <w:pStyle w:val="ListParagraph"/>
        <w:numPr>
          <w:ilvl w:val="0"/>
          <w:numId w:val="2"/>
        </w:numPr>
        <w:spacing w:after="80"/>
      </w:pPr>
      <w:r>
        <w:rPr>
          <w:sz w:val="21"/>
          <w:szCs w:val="21"/>
        </w:rPr>
        <w:t xml:space="preserve">Average fare, distance, and service time are nearly identical across all seven vehicle types — real fare cards usually differentiate more sharply between, say, Bike and Premier Sedan.</w:t>
      </w:r>
    </w:p>
    <w:p>
      <w:pPr>
        <w:pStyle w:val="ListParagraph"/>
        <w:numPr>
          <w:ilvl w:val="0"/>
          <w:numId w:val="2"/>
        </w:numPr>
        <w:spacing w:after="80"/>
      </w:pPr>
      <w:r>
        <w:rPr>
          <w:sz w:val="21"/>
          <w:szCs w:val="21"/>
        </w:rPr>
        <w:t xml:space="preserve">Repeat customers are almost entirely absent (1,206 of 148,788), unusual for a full year of bookings in one metro region.</w:t>
      </w:r>
    </w:p>
    <w:p>
      <w:pPr>
        <w:spacing w:after="160" w:line="300"/>
      </w:pPr>
      <w:r>
        <w:rPr>
          <w:sz w:val="21"/>
          <w:szCs w:val="21"/>
        </w:rPr>
        <w:t xml:space="preserve">None of this invalidates the descriptive patterns in this report — funnel health, hourly demand shape, and cancellation-reason splits are all structurally realistic and would transfer directly to a live dataset. But the specific correlations between fare, distance, and vehicle type should be treated as illustrative of the pipeline, not as real Uber pricing behavior.</w:t>
      </w:r>
    </w:p>
    <w:p>
      <w:pPr>
        <w:pStyle w:val="Heading1"/>
        <w:spacing w:after="160" w:before="360"/>
      </w:pPr>
      <w:r>
        <w:rPr>
          <w:b/>
          <w:bCs/>
          <w:color w:val="1a2744"/>
        </w:rPr>
        <w:t xml:space="preserve">18. Business Recommendations</w:t>
      </w:r>
    </w:p>
    <w:p>
      <w:pPr>
        <w:spacing w:after="160" w:line="300"/>
      </w:pPr>
      <w:r>
        <w:rPr>
          <w:sz w:val="21"/>
          <w:szCs w:val="21"/>
        </w:rPr>
        <w:t xml:space="preserve">Turning the findings above into concrete next actions for an operations or growth team:</w:t>
      </w:r>
    </w:p>
    <w:p>
      <w:pPr>
        <w:pStyle w:val="Heading2"/>
        <w:spacing w:after="120" w:before="240"/>
      </w:pPr>
      <w:r>
        <w:rPr>
          <w:b/>
          <w:bCs/>
          <w:color w:val="0f9b8e"/>
          <w:sz w:val="24"/>
          <w:szCs w:val="24"/>
        </w:rPr>
        <w:t xml:space="preserve">Fix the funnel first</w:t>
      </w:r>
    </w:p>
    <w:p>
      <w:pPr>
        <w:pStyle w:val="ListParagraph"/>
        <w:numPr>
          <w:ilvl w:val="0"/>
          <w:numId w:val="2"/>
        </w:numPr>
        <w:spacing w:after="80"/>
      </w:pPr>
      <w:r>
        <w:rPr>
          <w:sz w:val="21"/>
          <w:szCs w:val="21"/>
        </w:rPr>
        <w:t xml:space="preserve">Driver-side cancellations (18.0% of all requests) are the single largest source of lost bookings — investigate whether these cluster around specific zones or hours before assuming it's a blanket supply problem.</w:t>
      </w:r>
    </w:p>
    <w:p>
      <w:pPr>
        <w:pStyle w:val="ListParagraph"/>
        <w:numPr>
          <w:ilvl w:val="0"/>
          <w:numId w:val="2"/>
        </w:numPr>
        <w:spacing w:after="80"/>
      </w:pPr>
      <w:r>
        <w:rPr>
          <w:sz w:val="21"/>
          <w:szCs w:val="21"/>
        </w:rPr>
        <w:t xml:space="preserve">'No Driver Found' (7.0%) is pure lost revenue with no fault on either side — pair Figure 2 (hourly demand) with a driver-supply heatmap to see exactly when and where supply falls short.</w:t>
      </w:r>
    </w:p>
    <w:p>
      <w:pPr>
        <w:pStyle w:val="ListParagraph"/>
        <w:numPr>
          <w:ilvl w:val="0"/>
          <w:numId w:val="2"/>
        </w:numPr>
        <w:spacing w:after="80"/>
      </w:pPr>
      <w:r>
        <w:rPr>
          <w:sz w:val="21"/>
          <w:szCs w:val="21"/>
        </w:rPr>
        <w:t xml:space="preserve">Because completion rate is nearly flat across vehicle types (Section 8), fixing the funnel is a scheduling and incentive problem, not a fleet-mix problem — don't over-invest in shifting the vehicle mix as a fix.</w:t>
      </w:r>
    </w:p>
    <w:p>
      <w:pPr>
        <w:pStyle w:val="Heading2"/>
        <w:spacing w:after="120" w:before="240"/>
      </w:pPr>
      <w:r>
        <w:rPr>
          <w:b/>
          <w:bCs/>
          <w:color w:val="0f9b8e"/>
          <w:sz w:val="24"/>
          <w:szCs w:val="24"/>
        </w:rPr>
        <w:t xml:space="preserve">Target the evening peak</w:t>
      </w:r>
    </w:p>
    <w:p>
      <w:pPr>
        <w:pStyle w:val="ListParagraph"/>
        <w:numPr>
          <w:ilvl w:val="0"/>
          <w:numId w:val="2"/>
        </w:numPr>
        <w:spacing w:after="80"/>
      </w:pPr>
      <w:r>
        <w:rPr>
          <w:sz w:val="21"/>
          <w:szCs w:val="21"/>
        </w:rPr>
        <w:t xml:space="preserve">The 5–7pm window alone drives 23% of daily demand — driver shift incentives and surge pricing should be weighted toward this window specifically, not spread evenly across the day.</w:t>
      </w:r>
    </w:p>
    <w:p>
      <w:pPr>
        <w:pStyle w:val="ListParagraph"/>
        <w:numPr>
          <w:ilvl w:val="0"/>
          <w:numId w:val="2"/>
        </w:numPr>
        <w:spacing w:after="80"/>
      </w:pPr>
      <w:r>
        <w:rPr>
          <w:sz w:val="21"/>
          <w:szCs w:val="21"/>
        </w:rPr>
        <w:t xml:space="preserve">Because pickup and drop demand are both evenly spread across ~176 zones (Sections 10–11), the evening fix is about total driver count on the road, not repositioning drivers toward one hotspot.</w:t>
      </w:r>
    </w:p>
    <w:p>
      <w:pPr>
        <w:pStyle w:val="Heading2"/>
        <w:spacing w:after="120" w:before="240"/>
      </w:pPr>
      <w:r>
        <w:rPr>
          <w:b/>
          <w:bCs/>
          <w:color w:val="0f9b8e"/>
          <w:sz w:val="24"/>
          <w:szCs w:val="24"/>
        </w:rPr>
        <w:t xml:space="preserve">Grow repeat usage</w:t>
      </w:r>
    </w:p>
    <w:p>
      <w:pPr>
        <w:pStyle w:val="ListParagraph"/>
        <w:numPr>
          <w:ilvl w:val="0"/>
          <w:numId w:val="2"/>
        </w:numPr>
        <w:spacing w:after="80"/>
      </w:pPr>
      <w:r>
        <w:rPr>
          <w:sz w:val="21"/>
          <w:szCs w:val="21"/>
        </w:rPr>
        <w:t xml:space="preserve">Only 1,206 of 148,788 customers placed more than one booking in the year — even accounting for dataset artifacts (Section 17), a retention or loyalty program is likely the highest-leverage lever available if this reflects real rider behavior at all.</w:t>
      </w:r>
    </w:p>
    <w:p>
      <w:pPr>
        <w:pStyle w:val="Heading2"/>
        <w:spacing w:after="120" w:before="240"/>
      </w:pPr>
      <w:r>
        <w:rPr>
          <w:b/>
          <w:bCs/>
          <w:color w:val="0f9b8e"/>
          <w:sz w:val="24"/>
          <w:szCs w:val="24"/>
        </w:rPr>
        <w:t xml:space="preserve">Payments</w:t>
      </w:r>
    </w:p>
    <w:p>
      <w:pPr>
        <w:pStyle w:val="ListParagraph"/>
        <w:numPr>
          <w:ilvl w:val="0"/>
          <w:numId w:val="2"/>
        </w:numPr>
        <w:spacing w:after="80"/>
      </w:pPr>
      <w:r>
        <w:rPr>
          <w:sz w:val="21"/>
          <w:szCs w:val="21"/>
        </w:rPr>
        <w:t xml:space="preserve">UPI is already dominant (45%) and consistent across every vehicle type — continued investment in UPI checkout speed will benefit the whole fleet, not just one segment.</w:t>
      </w:r>
    </w:p>
    <w:p>
      <w:pPr>
        <w:pStyle w:val="ListParagraph"/>
        <w:numPr>
          <w:ilvl w:val="0"/>
          <w:numId w:val="2"/>
        </w:numPr>
        <w:spacing w:after="80"/>
      </w:pPr>
      <w:r>
        <w:rPr>
          <w:sz w:val="21"/>
          <w:szCs w:val="21"/>
        </w:rPr>
        <w:t xml:space="preserve">Cash still represents a quarter of completed rides — any push to reduce cash handling should be paired with driver communication, since it affects reconciliation workflows fleet-wide.</w:t>
      </w:r>
    </w:p>
    <w:p>
      <w:pPr>
        <w:pStyle w:val="Heading1"/>
        <w:spacing w:after="160" w:before="360"/>
      </w:pPr>
      <w:r>
        <w:rPr>
          <w:b/>
          <w:bCs/>
          <w:color w:val="1a2744"/>
        </w:rPr>
        <w:t xml:space="preserve">19. Next Steps to Move From Descriptive → Predictive</w:t>
      </w:r>
    </w:p>
    <w:p>
      <w:pPr>
        <w:spacing w:after="160" w:line="300"/>
      </w:pPr>
      <w:r>
        <w:rPr>
          <w:sz w:val="21"/>
          <w:szCs w:val="21"/>
        </w:rPr>
        <w:t xml:space="preserve">This report answers what happened in 2024. The natural next layer, if useful:</w:t>
      </w:r>
    </w:p>
    <w:p>
      <w:pPr>
        <w:pStyle w:val="ListParagraph"/>
        <w:numPr>
          <w:ilvl w:val="0"/>
          <w:numId w:val="2"/>
        </w:numPr>
        <w:spacing w:after="80"/>
      </w:pPr>
      <w:r>
        <w:rPr>
          <w:sz w:val="21"/>
          <w:szCs w:val="21"/>
        </w:rPr>
        <w:t xml:space="preserve">Zone × hour demand forecasting to drive proactive driver repositioning ahead of demand spikes (building directly on Figures 2 and 7)</w:t>
      </w:r>
    </w:p>
    <w:p>
      <w:pPr>
        <w:pStyle w:val="ListParagraph"/>
        <w:numPr>
          <w:ilvl w:val="0"/>
          <w:numId w:val="2"/>
        </w:numPr>
        <w:spacing w:after="80"/>
      </w:pPr>
      <w:r>
        <w:rPr>
          <w:sz w:val="21"/>
          <w:szCs w:val="21"/>
        </w:rPr>
        <w:t xml:space="preserve">A driver-level and zone-level cancellation risk model to flag high-risk bookings before they're accepted</w:t>
      </w:r>
    </w:p>
    <w:p>
      <w:pPr>
        <w:pStyle w:val="ListParagraph"/>
        <w:numPr>
          <w:ilvl w:val="0"/>
          <w:numId w:val="2"/>
        </w:numPr>
        <w:spacing w:after="80"/>
      </w:pPr>
      <w:r>
        <w:rPr>
          <w:sz w:val="21"/>
          <w:szCs w:val="21"/>
        </w:rPr>
        <w:t xml:space="preserve">Rider cohort / repeat-usage analysis to separate one-off demand from loyal, recurring riders — especially important given the low repeat-customer rate in Section 14</w:t>
      </w:r>
    </w:p>
    <w:p>
      <w:pPr>
        <w:spacing w:before="160"/>
      </w:pPr>
      <w:r>
        <w:rPr>
          <w:i/>
          <w:iCs/>
          <w:sz w:val="21"/>
          <w:szCs w:val="21"/>
        </w:rPr>
        <w:t xml:space="preserve">Happy to build out any of these next, or extend this report with weekday-vs-weekend cuts or a different currency if useful.</w:t>
      </w:r>
    </w:p>
    <w:p>
      <w:r>
        <w:br w:type="page"/>
      </w:r>
    </w:p>
    <w:p>
      <w:pPr>
        <w:pStyle w:val="Heading1"/>
        <w:spacing w:after="160" w:before="360"/>
      </w:pPr>
      <w:r>
        <w:rPr>
          <w:b/>
          <w:bCs/>
          <w:color w:val="1a2744"/>
        </w:rPr>
        <w:t xml:space="preserve">Appendix A: Booking Status by Vehicle Type</w:t>
      </w:r>
    </w:p>
    <w:p>
      <w:pPr>
        <w:spacing w:after="160" w:line="300"/>
      </w:pPr>
      <w:r>
        <w:rPr>
          <w:sz w:val="21"/>
          <w:szCs w:val="21"/>
        </w:rPr>
        <w:t xml:space="preserve">Full breakdown of every booking outcome, by vehicle type — the detail underlying Figures 3, 4, and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700"/>
        <w:gridCol w:w="1500"/>
        <w:gridCol w:w="1300"/>
      </w:tblGrid>
      <w:tr>
        <w:trPr>
          <w:tblHeader/>
        </w:trPr>
        <w:tc>
          <w:tcPr>
            <w:tcW w:type="dxa" w:w="1600"/>
            <w:shd w:fill="1a2744" w:val="clear"/>
          </w:tcPr>
          <w:p>
            <w:r>
              <w:rPr>
                <w:b/>
                <w:bCs/>
                <w:color w:val="FFFFFF"/>
                <w:sz w:val="18"/>
                <w:szCs w:val="18"/>
              </w:rPr>
              <w:t xml:space="preserve">Vehicle Type</w:t>
            </w:r>
          </w:p>
        </w:tc>
        <w:tc>
          <w:tcPr>
            <w:tcW w:type="dxa" w:w="1400"/>
            <w:shd w:fill="1a2744" w:val="clear"/>
          </w:tcPr>
          <w:p>
            <w:r>
              <w:rPr>
                <w:b/>
                <w:bCs/>
                <w:color w:val="FFFFFF"/>
                <w:sz w:val="18"/>
                <w:szCs w:val="18"/>
              </w:rPr>
              <w:t xml:space="preserve">Completed</w:t>
            </w:r>
          </w:p>
        </w:tc>
        <w:tc>
          <w:tcPr>
            <w:tcW w:type="dxa" w:w="1600"/>
            <w:shd w:fill="1a2744" w:val="clear"/>
          </w:tcPr>
          <w:p>
            <w:r>
              <w:rPr>
                <w:b/>
                <w:bCs/>
                <w:color w:val="FFFFFF"/>
                <w:sz w:val="18"/>
                <w:szCs w:val="18"/>
              </w:rPr>
              <w:t xml:space="preserve">Cancelled (Driver)</w:t>
            </w:r>
          </w:p>
        </w:tc>
        <w:tc>
          <w:tcPr>
            <w:tcW w:type="dxa" w:w="1700"/>
            <w:shd w:fill="1a2744" w:val="clear"/>
          </w:tcPr>
          <w:p>
            <w:r>
              <w:rPr>
                <w:b/>
                <w:bCs/>
                <w:color w:val="FFFFFF"/>
                <w:sz w:val="18"/>
                <w:szCs w:val="18"/>
              </w:rPr>
              <w:t xml:space="preserve">Cancelled (Customer)</w:t>
            </w:r>
          </w:p>
        </w:tc>
        <w:tc>
          <w:tcPr>
            <w:tcW w:type="dxa" w:w="1500"/>
            <w:shd w:fill="1a2744" w:val="clear"/>
          </w:tcPr>
          <w:p>
            <w:r>
              <w:rPr>
                <w:b/>
                <w:bCs/>
                <w:color w:val="FFFFFF"/>
                <w:sz w:val="18"/>
                <w:szCs w:val="18"/>
              </w:rPr>
              <w:t xml:space="preserve">No Driver Found</w:t>
            </w:r>
          </w:p>
        </w:tc>
        <w:tc>
          <w:tcPr>
            <w:tcW w:type="dxa" w:w="1300"/>
            <w:shd w:fill="1a2744" w:val="clear"/>
          </w:tcPr>
          <w:p>
            <w:r>
              <w:rPr>
                <w:b/>
                <w:bCs/>
                <w:color w:val="FFFFFF"/>
                <w:sz w:val="18"/>
                <w:szCs w:val="18"/>
              </w:rPr>
              <w:t xml:space="preserve">Incomplete</w:t>
            </w:r>
          </w:p>
        </w:tc>
      </w:tr>
      <w:tr>
        <w:tc>
          <w:tcPr>
            <w:tcW w:type="dxa" w:w="1600"/>
            <w:shd w:fill="FFFFFF" w:val="clear"/>
          </w:tcPr>
          <w:p>
            <w:r>
              <w:rPr>
                <w:sz w:val="17"/>
                <w:szCs w:val="17"/>
              </w:rPr>
              <w:t xml:space="preserve">Auto</w:t>
            </w:r>
          </w:p>
        </w:tc>
        <w:tc>
          <w:tcPr>
            <w:tcW w:type="dxa" w:w="1400"/>
            <w:shd w:fill="FFFFFF" w:val="clear"/>
          </w:tcPr>
          <w:p>
            <w:r>
              <w:rPr>
                <w:sz w:val="17"/>
                <w:szCs w:val="17"/>
              </w:rPr>
              <w:t xml:space="preserve">23,155</w:t>
            </w:r>
          </w:p>
        </w:tc>
        <w:tc>
          <w:tcPr>
            <w:tcW w:type="dxa" w:w="1600"/>
            <w:shd w:fill="FFFFFF" w:val="clear"/>
          </w:tcPr>
          <w:p>
            <w:r>
              <w:rPr>
                <w:sz w:val="17"/>
                <w:szCs w:val="17"/>
              </w:rPr>
              <w:t xml:space="preserve">6,643</w:t>
            </w:r>
          </w:p>
        </w:tc>
        <w:tc>
          <w:tcPr>
            <w:tcW w:type="dxa" w:w="1700"/>
            <w:shd w:fill="FFFFFF" w:val="clear"/>
          </w:tcPr>
          <w:p>
            <w:r>
              <w:rPr>
                <w:sz w:val="17"/>
                <w:szCs w:val="17"/>
              </w:rPr>
              <w:t xml:space="preserve">2,680</w:t>
            </w:r>
          </w:p>
        </w:tc>
        <w:tc>
          <w:tcPr>
            <w:tcW w:type="dxa" w:w="1500"/>
            <w:shd w:fill="FFFFFF" w:val="clear"/>
          </w:tcPr>
          <w:p>
            <w:r>
              <w:rPr>
                <w:sz w:val="17"/>
                <w:szCs w:val="17"/>
              </w:rPr>
              <w:t xml:space="preserve">2,681</w:t>
            </w:r>
          </w:p>
        </w:tc>
        <w:tc>
          <w:tcPr>
            <w:tcW w:type="dxa" w:w="1300"/>
            <w:shd w:fill="FFFFFF" w:val="clear"/>
          </w:tcPr>
          <w:p>
            <w:r>
              <w:rPr>
                <w:sz w:val="17"/>
                <w:szCs w:val="17"/>
              </w:rPr>
              <w:t xml:space="preserve">2,260</w:t>
            </w:r>
          </w:p>
        </w:tc>
      </w:tr>
      <w:tr>
        <w:tc>
          <w:tcPr>
            <w:tcW w:type="dxa" w:w="1600"/>
            <w:shd w:fill="f2f3f5" w:val="clear"/>
          </w:tcPr>
          <w:p>
            <w:r>
              <w:rPr>
                <w:sz w:val="17"/>
                <w:szCs w:val="17"/>
              </w:rPr>
              <w:t xml:space="preserve">Bike</w:t>
            </w:r>
          </w:p>
        </w:tc>
        <w:tc>
          <w:tcPr>
            <w:tcW w:type="dxa" w:w="1400"/>
            <w:shd w:fill="f2f3f5" w:val="clear"/>
          </w:tcPr>
          <w:p>
            <w:r>
              <w:rPr>
                <w:sz w:val="17"/>
                <w:szCs w:val="17"/>
              </w:rPr>
              <w:t xml:space="preserve">14,034</w:t>
            </w:r>
          </w:p>
        </w:tc>
        <w:tc>
          <w:tcPr>
            <w:tcW w:type="dxa" w:w="1600"/>
            <w:shd w:fill="f2f3f5" w:val="clear"/>
          </w:tcPr>
          <w:p>
            <w:r>
              <w:rPr>
                <w:sz w:val="17"/>
                <w:szCs w:val="17"/>
              </w:rPr>
              <w:t xml:space="preserve">4,077</w:t>
            </w:r>
          </w:p>
        </w:tc>
        <w:tc>
          <w:tcPr>
            <w:tcW w:type="dxa" w:w="1700"/>
            <w:shd w:fill="f2f3f5" w:val="clear"/>
          </w:tcPr>
          <w:p>
            <w:r>
              <w:rPr>
                <w:sz w:val="17"/>
                <w:szCs w:val="17"/>
              </w:rPr>
              <w:t xml:space="preserve">1,575</w:t>
            </w:r>
          </w:p>
        </w:tc>
        <w:tc>
          <w:tcPr>
            <w:tcW w:type="dxa" w:w="1500"/>
            <w:shd w:fill="f2f3f5" w:val="clear"/>
          </w:tcPr>
          <w:p>
            <w:r>
              <w:rPr>
                <w:sz w:val="17"/>
                <w:szCs w:val="17"/>
              </w:rPr>
              <w:t xml:space="preserve">1,503</w:t>
            </w:r>
          </w:p>
        </w:tc>
        <w:tc>
          <w:tcPr>
            <w:tcW w:type="dxa" w:w="1300"/>
            <w:shd w:fill="f2f3f5" w:val="clear"/>
          </w:tcPr>
          <w:p>
            <w:r>
              <w:rPr>
                <w:sz w:val="17"/>
                <w:szCs w:val="17"/>
              </w:rPr>
              <w:t xml:space="preserve">1,328</w:t>
            </w:r>
          </w:p>
        </w:tc>
      </w:tr>
      <w:tr>
        <w:tc>
          <w:tcPr>
            <w:tcW w:type="dxa" w:w="1600"/>
            <w:shd w:fill="FFFFFF" w:val="clear"/>
          </w:tcPr>
          <w:p>
            <w:r>
              <w:rPr>
                <w:sz w:val="17"/>
                <w:szCs w:val="17"/>
              </w:rPr>
              <w:t xml:space="preserve">Go Mini</w:t>
            </w:r>
          </w:p>
        </w:tc>
        <w:tc>
          <w:tcPr>
            <w:tcW w:type="dxa" w:w="1400"/>
            <w:shd w:fill="FFFFFF" w:val="clear"/>
          </w:tcPr>
          <w:p>
            <w:r>
              <w:rPr>
                <w:sz w:val="17"/>
                <w:szCs w:val="17"/>
              </w:rPr>
              <w:t xml:space="preserve">18,549</w:t>
            </w:r>
          </w:p>
        </w:tc>
        <w:tc>
          <w:tcPr>
            <w:tcW w:type="dxa" w:w="1600"/>
            <w:shd w:fill="FFFFFF" w:val="clear"/>
          </w:tcPr>
          <w:p>
            <w:r>
              <w:rPr>
                <w:sz w:val="17"/>
                <w:szCs w:val="17"/>
              </w:rPr>
              <w:t xml:space="preserve">5,330</w:t>
            </w:r>
          </w:p>
        </w:tc>
        <w:tc>
          <w:tcPr>
            <w:tcW w:type="dxa" w:w="1700"/>
            <w:shd w:fill="FFFFFF" w:val="clear"/>
          </w:tcPr>
          <w:p>
            <w:r>
              <w:rPr>
                <w:sz w:val="17"/>
                <w:szCs w:val="17"/>
              </w:rPr>
              <w:t xml:space="preserve">2,097</w:t>
            </w:r>
          </w:p>
        </w:tc>
        <w:tc>
          <w:tcPr>
            <w:tcW w:type="dxa" w:w="1500"/>
            <w:shd w:fill="FFFFFF" w:val="clear"/>
          </w:tcPr>
          <w:p>
            <w:r>
              <w:rPr>
                <w:sz w:val="17"/>
                <w:szCs w:val="17"/>
              </w:rPr>
              <w:t xml:space="preserve">2,015</w:t>
            </w:r>
          </w:p>
        </w:tc>
        <w:tc>
          <w:tcPr>
            <w:tcW w:type="dxa" w:w="1300"/>
            <w:shd w:fill="FFFFFF" w:val="clear"/>
          </w:tcPr>
          <w:p>
            <w:r>
              <w:rPr>
                <w:sz w:val="17"/>
                <w:szCs w:val="17"/>
              </w:rPr>
              <w:t xml:space="preserve">1,815</w:t>
            </w:r>
          </w:p>
        </w:tc>
      </w:tr>
      <w:tr>
        <w:tc>
          <w:tcPr>
            <w:tcW w:type="dxa" w:w="1600"/>
            <w:shd w:fill="f2f3f5" w:val="clear"/>
          </w:tcPr>
          <w:p>
            <w:r>
              <w:rPr>
                <w:sz w:val="17"/>
                <w:szCs w:val="17"/>
              </w:rPr>
              <w:t xml:space="preserve">Go Sedan</w:t>
            </w:r>
          </w:p>
        </w:tc>
        <w:tc>
          <w:tcPr>
            <w:tcW w:type="dxa" w:w="1400"/>
            <w:shd w:fill="f2f3f5" w:val="clear"/>
          </w:tcPr>
          <w:p>
            <w:r>
              <w:rPr>
                <w:sz w:val="17"/>
                <w:szCs w:val="17"/>
              </w:rPr>
              <w:t xml:space="preserve">16,676</w:t>
            </w:r>
          </w:p>
        </w:tc>
        <w:tc>
          <w:tcPr>
            <w:tcW w:type="dxa" w:w="1600"/>
            <w:shd w:fill="f2f3f5" w:val="clear"/>
          </w:tcPr>
          <w:p>
            <w:r>
              <w:rPr>
                <w:sz w:val="17"/>
                <w:szCs w:val="17"/>
              </w:rPr>
              <w:t xml:space="preserve">5,031</w:t>
            </w:r>
          </w:p>
        </w:tc>
        <w:tc>
          <w:tcPr>
            <w:tcW w:type="dxa" w:w="1700"/>
            <w:shd w:fill="f2f3f5" w:val="clear"/>
          </w:tcPr>
          <w:p>
            <w:r>
              <w:rPr>
                <w:sz w:val="17"/>
                <w:szCs w:val="17"/>
              </w:rPr>
              <w:t xml:space="preserve">1,832</w:t>
            </w:r>
          </w:p>
        </w:tc>
        <w:tc>
          <w:tcPr>
            <w:tcW w:type="dxa" w:w="1500"/>
            <w:shd w:fill="f2f3f5" w:val="clear"/>
          </w:tcPr>
          <w:p>
            <w:r>
              <w:rPr>
                <w:sz w:val="17"/>
                <w:szCs w:val="17"/>
              </w:rPr>
              <w:t xml:space="preserve">1,960</w:t>
            </w:r>
          </w:p>
        </w:tc>
        <w:tc>
          <w:tcPr>
            <w:tcW w:type="dxa" w:w="1300"/>
            <w:shd w:fill="f2f3f5" w:val="clear"/>
          </w:tcPr>
          <w:p>
            <w:r>
              <w:rPr>
                <w:sz w:val="17"/>
                <w:szCs w:val="17"/>
              </w:rPr>
              <w:t xml:space="preserve">1,642</w:t>
            </w:r>
          </w:p>
        </w:tc>
      </w:tr>
      <w:tr>
        <w:tc>
          <w:tcPr>
            <w:tcW w:type="dxa" w:w="1600"/>
            <w:shd w:fill="FFFFFF" w:val="clear"/>
          </w:tcPr>
          <w:p>
            <w:r>
              <w:rPr>
                <w:sz w:val="17"/>
                <w:szCs w:val="17"/>
              </w:rPr>
              <w:t xml:space="preserve">Premier Sedan</w:t>
            </w:r>
          </w:p>
        </w:tc>
        <w:tc>
          <w:tcPr>
            <w:tcW w:type="dxa" w:w="1400"/>
            <w:shd w:fill="FFFFFF" w:val="clear"/>
          </w:tcPr>
          <w:p>
            <w:r>
              <w:rPr>
                <w:sz w:val="17"/>
                <w:szCs w:val="17"/>
              </w:rPr>
              <w:t xml:space="preserve">11,252</w:t>
            </w:r>
          </w:p>
        </w:tc>
        <w:tc>
          <w:tcPr>
            <w:tcW w:type="dxa" w:w="1600"/>
            <w:shd w:fill="FFFFFF" w:val="clear"/>
          </w:tcPr>
          <w:p>
            <w:r>
              <w:rPr>
                <w:sz w:val="17"/>
                <w:szCs w:val="17"/>
              </w:rPr>
              <w:t xml:space="preserve">3,250</w:t>
            </w:r>
          </w:p>
        </w:tc>
        <w:tc>
          <w:tcPr>
            <w:tcW w:type="dxa" w:w="1700"/>
            <w:shd w:fill="FFFFFF" w:val="clear"/>
          </w:tcPr>
          <w:p>
            <w:r>
              <w:rPr>
                <w:sz w:val="17"/>
                <w:szCs w:val="17"/>
              </w:rPr>
              <w:t xml:space="preserve">1,266</w:t>
            </w:r>
          </w:p>
        </w:tc>
        <w:tc>
          <w:tcPr>
            <w:tcW w:type="dxa" w:w="1500"/>
            <w:shd w:fill="FFFFFF" w:val="clear"/>
          </w:tcPr>
          <w:p>
            <w:r>
              <w:rPr>
                <w:sz w:val="17"/>
                <w:szCs w:val="17"/>
              </w:rPr>
              <w:t xml:space="preserve">1,280</w:t>
            </w:r>
          </w:p>
        </w:tc>
        <w:tc>
          <w:tcPr>
            <w:tcW w:type="dxa" w:w="1300"/>
            <w:shd w:fill="FFFFFF" w:val="clear"/>
          </w:tcPr>
          <w:p>
            <w:r>
              <w:rPr>
                <w:sz w:val="17"/>
                <w:szCs w:val="17"/>
              </w:rPr>
              <w:t xml:space="preserve">1,063</w:t>
            </w:r>
          </w:p>
        </w:tc>
      </w:tr>
      <w:tr>
        <w:tc>
          <w:tcPr>
            <w:tcW w:type="dxa" w:w="1600"/>
            <w:shd w:fill="f2f3f5" w:val="clear"/>
          </w:tcPr>
          <w:p>
            <w:r>
              <w:rPr>
                <w:sz w:val="17"/>
                <w:szCs w:val="17"/>
              </w:rPr>
              <w:t xml:space="preserve">Uber XL</w:t>
            </w:r>
          </w:p>
        </w:tc>
        <w:tc>
          <w:tcPr>
            <w:tcW w:type="dxa" w:w="1400"/>
            <w:shd w:fill="f2f3f5" w:val="clear"/>
          </w:tcPr>
          <w:p>
            <w:r>
              <w:rPr>
                <w:sz w:val="17"/>
                <w:szCs w:val="17"/>
              </w:rPr>
              <w:t xml:space="preserve">2,783</w:t>
            </w:r>
          </w:p>
        </w:tc>
        <w:tc>
          <w:tcPr>
            <w:tcW w:type="dxa" w:w="1600"/>
            <w:shd w:fill="f2f3f5" w:val="clear"/>
          </w:tcPr>
          <w:p>
            <w:r>
              <w:rPr>
                <w:sz w:val="17"/>
                <w:szCs w:val="17"/>
              </w:rPr>
              <w:t xml:space="preserve">762</w:t>
            </w:r>
          </w:p>
        </w:tc>
        <w:tc>
          <w:tcPr>
            <w:tcW w:type="dxa" w:w="1700"/>
            <w:shd w:fill="f2f3f5" w:val="clear"/>
          </w:tcPr>
          <w:p>
            <w:r>
              <w:rPr>
                <w:sz w:val="17"/>
                <w:szCs w:val="17"/>
              </w:rPr>
              <w:t xml:space="preserve">327</w:t>
            </w:r>
          </w:p>
        </w:tc>
        <w:tc>
          <w:tcPr>
            <w:tcW w:type="dxa" w:w="1500"/>
            <w:shd w:fill="f2f3f5" w:val="clear"/>
          </w:tcPr>
          <w:p>
            <w:r>
              <w:rPr>
                <w:sz w:val="17"/>
                <w:szCs w:val="17"/>
              </w:rPr>
              <w:t xml:space="preserve">315</w:t>
            </w:r>
          </w:p>
        </w:tc>
        <w:tc>
          <w:tcPr>
            <w:tcW w:type="dxa" w:w="1300"/>
            <w:shd w:fill="f2f3f5" w:val="clear"/>
          </w:tcPr>
          <w:p>
            <w:r>
              <w:rPr>
                <w:sz w:val="17"/>
                <w:szCs w:val="17"/>
              </w:rPr>
              <w:t xml:space="preserve">262</w:t>
            </w:r>
          </w:p>
        </w:tc>
      </w:tr>
      <w:tr>
        <w:tc>
          <w:tcPr>
            <w:tcW w:type="dxa" w:w="1600"/>
            <w:shd w:fill="FFFFFF" w:val="clear"/>
          </w:tcPr>
          <w:p>
            <w:r>
              <w:rPr>
                <w:sz w:val="17"/>
                <w:szCs w:val="17"/>
              </w:rPr>
              <w:t xml:space="preserve">eBike</w:t>
            </w:r>
          </w:p>
        </w:tc>
        <w:tc>
          <w:tcPr>
            <w:tcW w:type="dxa" w:w="1400"/>
            <w:shd w:fill="FFFFFF" w:val="clear"/>
          </w:tcPr>
          <w:p>
            <w:r>
              <w:rPr>
                <w:sz w:val="17"/>
                <w:szCs w:val="17"/>
              </w:rPr>
              <w:t xml:space="preserve">6,551</w:t>
            </w:r>
          </w:p>
        </w:tc>
        <w:tc>
          <w:tcPr>
            <w:tcW w:type="dxa" w:w="1600"/>
            <w:shd w:fill="FFFFFF" w:val="clear"/>
          </w:tcPr>
          <w:p>
            <w:r>
              <w:rPr>
                <w:sz w:val="17"/>
                <w:szCs w:val="17"/>
              </w:rPr>
              <w:t xml:space="preserve">1,907</w:t>
            </w:r>
          </w:p>
        </w:tc>
        <w:tc>
          <w:tcPr>
            <w:tcW w:type="dxa" w:w="1700"/>
            <w:shd w:fill="FFFFFF" w:val="clear"/>
          </w:tcPr>
          <w:p>
            <w:r>
              <w:rPr>
                <w:sz w:val="17"/>
                <w:szCs w:val="17"/>
              </w:rPr>
              <w:t xml:space="preserve">723</w:t>
            </w:r>
          </w:p>
        </w:tc>
        <w:tc>
          <w:tcPr>
            <w:tcW w:type="dxa" w:w="1500"/>
            <w:shd w:fill="FFFFFF" w:val="clear"/>
          </w:tcPr>
          <w:p>
            <w:r>
              <w:rPr>
                <w:sz w:val="17"/>
                <w:szCs w:val="17"/>
              </w:rPr>
              <w:t xml:space="preserve">746</w:t>
            </w:r>
          </w:p>
        </w:tc>
        <w:tc>
          <w:tcPr>
            <w:tcW w:type="dxa" w:w="1300"/>
            <w:shd w:fill="FFFFFF" w:val="clear"/>
          </w:tcPr>
          <w:p>
            <w:r>
              <w:rPr>
                <w:sz w:val="17"/>
                <w:szCs w:val="17"/>
              </w:rPr>
              <w:t xml:space="preserve">630</w:t>
            </w:r>
          </w:p>
        </w:tc>
      </w:tr>
    </w:tbl>
    <w:p>
      <w:r>
        <w:br w:type="page"/>
      </w:r>
    </w:p>
    <w:p>
      <w:pPr>
        <w:pStyle w:val="Heading1"/>
        <w:spacing w:after="160" w:before="360"/>
      </w:pPr>
      <w:r>
        <w:rPr>
          <w:b/>
          <w:bCs/>
          <w:color w:val="1a2744"/>
        </w:rPr>
        <w:t xml:space="preserve">Appendix B: Booking Status by Month</w:t>
      </w:r>
    </w:p>
    <w:p>
      <w:pPr>
        <w:spacing w:after="160" w:line="300"/>
      </w:pPr>
      <w:r>
        <w:rPr>
          <w:sz w:val="21"/>
          <w:szCs w:val="21"/>
        </w:rPr>
        <w:t xml:space="preserve">Monthly detail behind the funnel numbers in Section 8 — outcome counts stay proportionally stable month to month, consistent with the flat overall trend in Figure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700"/>
        <w:gridCol w:w="1500"/>
        <w:gridCol w:w="1400"/>
      </w:tblGrid>
      <w:tr>
        <w:trPr>
          <w:tblHeader/>
        </w:trPr>
        <w:tc>
          <w:tcPr>
            <w:tcW w:type="dxa" w:w="1400"/>
            <w:shd w:fill="1a2744" w:val="clear"/>
          </w:tcPr>
          <w:p>
            <w:r>
              <w:rPr>
                <w:b/>
                <w:bCs/>
                <w:color w:val="FFFFFF"/>
                <w:sz w:val="18"/>
                <w:szCs w:val="18"/>
              </w:rPr>
              <w:t xml:space="preserve">Month</w:t>
            </w:r>
          </w:p>
        </w:tc>
        <w:tc>
          <w:tcPr>
            <w:tcW w:type="dxa" w:w="1400"/>
            <w:shd w:fill="1a2744" w:val="clear"/>
          </w:tcPr>
          <w:p>
            <w:r>
              <w:rPr>
                <w:b/>
                <w:bCs/>
                <w:color w:val="FFFFFF"/>
                <w:sz w:val="18"/>
                <w:szCs w:val="18"/>
              </w:rPr>
              <w:t xml:space="preserve">Completed</w:t>
            </w:r>
          </w:p>
        </w:tc>
        <w:tc>
          <w:tcPr>
            <w:tcW w:type="dxa" w:w="1600"/>
            <w:shd w:fill="1a2744" w:val="clear"/>
          </w:tcPr>
          <w:p>
            <w:r>
              <w:rPr>
                <w:b/>
                <w:bCs/>
                <w:color w:val="FFFFFF"/>
                <w:sz w:val="18"/>
                <w:szCs w:val="18"/>
              </w:rPr>
              <w:t xml:space="preserve">Cancelled (Driver)</w:t>
            </w:r>
          </w:p>
        </w:tc>
        <w:tc>
          <w:tcPr>
            <w:tcW w:type="dxa" w:w="1700"/>
            <w:shd w:fill="1a2744" w:val="clear"/>
          </w:tcPr>
          <w:p>
            <w:r>
              <w:rPr>
                <w:b/>
                <w:bCs/>
                <w:color w:val="FFFFFF"/>
                <w:sz w:val="18"/>
                <w:szCs w:val="18"/>
              </w:rPr>
              <w:t xml:space="preserve">Cancelled (Customer)</w:t>
            </w:r>
          </w:p>
        </w:tc>
        <w:tc>
          <w:tcPr>
            <w:tcW w:type="dxa" w:w="1500"/>
            <w:shd w:fill="1a2744" w:val="clear"/>
          </w:tcPr>
          <w:p>
            <w:r>
              <w:rPr>
                <w:b/>
                <w:bCs/>
                <w:color w:val="FFFFFF"/>
                <w:sz w:val="18"/>
                <w:szCs w:val="18"/>
              </w:rPr>
              <w:t xml:space="preserve">No Driver Found</w:t>
            </w:r>
          </w:p>
        </w:tc>
        <w:tc>
          <w:tcPr>
            <w:tcW w:type="dxa" w:w="1400"/>
            <w:shd w:fill="1a2744" w:val="clear"/>
          </w:tcPr>
          <w:p>
            <w:r>
              <w:rPr>
                <w:b/>
                <w:bCs/>
                <w:color w:val="FFFFFF"/>
                <w:sz w:val="18"/>
                <w:szCs w:val="18"/>
              </w:rPr>
              <w:t xml:space="preserve">Incomplete</w:t>
            </w:r>
          </w:p>
        </w:tc>
      </w:tr>
      <w:tr>
        <w:tc>
          <w:tcPr>
            <w:tcW w:type="dxa" w:w="1400"/>
            <w:shd w:fill="FFFFFF" w:val="clear"/>
          </w:tcPr>
          <w:p>
            <w:r>
              <w:rPr>
                <w:sz w:val="17"/>
                <w:szCs w:val="17"/>
              </w:rPr>
              <w:t xml:space="preserve">Jan</w:t>
            </w:r>
          </w:p>
        </w:tc>
        <w:tc>
          <w:tcPr>
            <w:tcW w:type="dxa" w:w="1400"/>
            <w:shd w:fill="FFFFFF" w:val="clear"/>
          </w:tcPr>
          <w:p>
            <w:r>
              <w:rPr>
                <w:sz w:val="17"/>
                <w:szCs w:val="17"/>
              </w:rPr>
              <w:t xml:space="preserve">7,951</w:t>
            </w:r>
          </w:p>
        </w:tc>
        <w:tc>
          <w:tcPr>
            <w:tcW w:type="dxa" w:w="1600"/>
            <w:shd w:fill="FFFFFF" w:val="clear"/>
          </w:tcPr>
          <w:p>
            <w:r>
              <w:rPr>
                <w:sz w:val="17"/>
                <w:szCs w:val="17"/>
              </w:rPr>
              <w:t xml:space="preserve">2,324</w:t>
            </w:r>
          </w:p>
        </w:tc>
        <w:tc>
          <w:tcPr>
            <w:tcW w:type="dxa" w:w="1700"/>
            <w:shd w:fill="FFFFFF" w:val="clear"/>
          </w:tcPr>
          <w:p>
            <w:r>
              <w:rPr>
                <w:sz w:val="17"/>
                <w:szCs w:val="17"/>
              </w:rPr>
              <w:t xml:space="preserve">893</w:t>
            </w:r>
          </w:p>
        </w:tc>
        <w:tc>
          <w:tcPr>
            <w:tcW w:type="dxa" w:w="1500"/>
            <w:shd w:fill="FFFFFF" w:val="clear"/>
          </w:tcPr>
          <w:p>
            <w:r>
              <w:rPr>
                <w:sz w:val="17"/>
                <w:szCs w:val="17"/>
              </w:rPr>
              <w:t xml:space="preserve">885</w:t>
            </w:r>
          </w:p>
        </w:tc>
        <w:tc>
          <w:tcPr>
            <w:tcW w:type="dxa" w:w="1400"/>
            <w:shd w:fill="FFFFFF" w:val="clear"/>
          </w:tcPr>
          <w:p>
            <w:r>
              <w:rPr>
                <w:sz w:val="17"/>
                <w:szCs w:val="17"/>
              </w:rPr>
              <w:t xml:space="preserve">808</w:t>
            </w:r>
          </w:p>
        </w:tc>
      </w:tr>
      <w:tr>
        <w:tc>
          <w:tcPr>
            <w:tcW w:type="dxa" w:w="1400"/>
            <w:shd w:fill="f2f3f5" w:val="clear"/>
          </w:tcPr>
          <w:p>
            <w:r>
              <w:rPr>
                <w:sz w:val="17"/>
                <w:szCs w:val="17"/>
              </w:rPr>
              <w:t xml:space="preserve">Feb</w:t>
            </w:r>
          </w:p>
        </w:tc>
        <w:tc>
          <w:tcPr>
            <w:tcW w:type="dxa" w:w="1400"/>
            <w:shd w:fill="f2f3f5" w:val="clear"/>
          </w:tcPr>
          <w:p>
            <w:r>
              <w:rPr>
                <w:sz w:val="17"/>
                <w:szCs w:val="17"/>
              </w:rPr>
              <w:t xml:space="preserve">7,368</w:t>
            </w:r>
          </w:p>
        </w:tc>
        <w:tc>
          <w:tcPr>
            <w:tcW w:type="dxa" w:w="1600"/>
            <w:shd w:fill="f2f3f5" w:val="clear"/>
          </w:tcPr>
          <w:p>
            <w:r>
              <w:rPr>
                <w:sz w:val="17"/>
                <w:szCs w:val="17"/>
              </w:rPr>
              <w:t xml:space="preserve">2,190</w:t>
            </w:r>
          </w:p>
        </w:tc>
        <w:tc>
          <w:tcPr>
            <w:tcW w:type="dxa" w:w="1700"/>
            <w:shd w:fill="f2f3f5" w:val="clear"/>
          </w:tcPr>
          <w:p>
            <w:r>
              <w:rPr>
                <w:sz w:val="17"/>
                <w:szCs w:val="17"/>
              </w:rPr>
              <w:t xml:space="preserve">838</w:t>
            </w:r>
          </w:p>
        </w:tc>
        <w:tc>
          <w:tcPr>
            <w:tcW w:type="dxa" w:w="1500"/>
            <w:shd w:fill="f2f3f5" w:val="clear"/>
          </w:tcPr>
          <w:p>
            <w:r>
              <w:rPr>
                <w:sz w:val="17"/>
                <w:szCs w:val="17"/>
              </w:rPr>
              <w:t xml:space="preserve">850</w:t>
            </w:r>
          </w:p>
        </w:tc>
        <w:tc>
          <w:tcPr>
            <w:tcW w:type="dxa" w:w="1400"/>
            <w:shd w:fill="f2f3f5" w:val="clear"/>
          </w:tcPr>
          <w:p>
            <w:r>
              <w:rPr>
                <w:sz w:val="17"/>
                <w:szCs w:val="17"/>
              </w:rPr>
              <w:t xml:space="preserve">681</w:t>
            </w:r>
          </w:p>
        </w:tc>
      </w:tr>
      <w:tr>
        <w:tc>
          <w:tcPr>
            <w:tcW w:type="dxa" w:w="1400"/>
            <w:shd w:fill="FFFFFF" w:val="clear"/>
          </w:tcPr>
          <w:p>
            <w:r>
              <w:rPr>
                <w:sz w:val="17"/>
                <w:szCs w:val="17"/>
              </w:rPr>
              <w:t xml:space="preserve">Mar</w:t>
            </w:r>
          </w:p>
        </w:tc>
        <w:tc>
          <w:tcPr>
            <w:tcW w:type="dxa" w:w="1400"/>
            <w:shd w:fill="FFFFFF" w:val="clear"/>
          </w:tcPr>
          <w:p>
            <w:r>
              <w:rPr>
                <w:sz w:val="17"/>
                <w:szCs w:val="17"/>
              </w:rPr>
              <w:t xml:space="preserve">7,954</w:t>
            </w:r>
          </w:p>
        </w:tc>
        <w:tc>
          <w:tcPr>
            <w:tcW w:type="dxa" w:w="1600"/>
            <w:shd w:fill="FFFFFF" w:val="clear"/>
          </w:tcPr>
          <w:p>
            <w:r>
              <w:rPr>
                <w:sz w:val="17"/>
                <w:szCs w:val="17"/>
              </w:rPr>
              <w:t xml:space="preserve">2,240</w:t>
            </w:r>
          </w:p>
        </w:tc>
        <w:tc>
          <w:tcPr>
            <w:tcW w:type="dxa" w:w="1700"/>
            <w:shd w:fill="FFFFFF" w:val="clear"/>
          </w:tcPr>
          <w:p>
            <w:r>
              <w:rPr>
                <w:sz w:val="17"/>
                <w:szCs w:val="17"/>
              </w:rPr>
              <w:t xml:space="preserve">906</w:t>
            </w:r>
          </w:p>
        </w:tc>
        <w:tc>
          <w:tcPr>
            <w:tcW w:type="dxa" w:w="1500"/>
            <w:shd w:fill="FFFFFF" w:val="clear"/>
          </w:tcPr>
          <w:p>
            <w:r>
              <w:rPr>
                <w:sz w:val="17"/>
                <w:szCs w:val="17"/>
              </w:rPr>
              <w:t xml:space="preserve">892</w:t>
            </w:r>
          </w:p>
        </w:tc>
        <w:tc>
          <w:tcPr>
            <w:tcW w:type="dxa" w:w="1400"/>
            <w:shd w:fill="FFFFFF" w:val="clear"/>
          </w:tcPr>
          <w:p>
            <w:r>
              <w:rPr>
                <w:sz w:val="17"/>
                <w:szCs w:val="17"/>
              </w:rPr>
              <w:t xml:space="preserve">727</w:t>
            </w:r>
          </w:p>
        </w:tc>
      </w:tr>
      <w:tr>
        <w:tc>
          <w:tcPr>
            <w:tcW w:type="dxa" w:w="1400"/>
            <w:shd w:fill="f2f3f5" w:val="clear"/>
          </w:tcPr>
          <w:p>
            <w:r>
              <w:rPr>
                <w:sz w:val="17"/>
                <w:szCs w:val="17"/>
              </w:rPr>
              <w:t xml:space="preserve">Apr</w:t>
            </w:r>
          </w:p>
        </w:tc>
        <w:tc>
          <w:tcPr>
            <w:tcW w:type="dxa" w:w="1400"/>
            <w:shd w:fill="f2f3f5" w:val="clear"/>
          </w:tcPr>
          <w:p>
            <w:r>
              <w:rPr>
                <w:sz w:val="17"/>
                <w:szCs w:val="17"/>
              </w:rPr>
              <w:t xml:space="preserve">7,632</w:t>
            </w:r>
          </w:p>
        </w:tc>
        <w:tc>
          <w:tcPr>
            <w:tcW w:type="dxa" w:w="1600"/>
            <w:shd w:fill="f2f3f5" w:val="clear"/>
          </w:tcPr>
          <w:p>
            <w:r>
              <w:rPr>
                <w:sz w:val="17"/>
                <w:szCs w:val="17"/>
              </w:rPr>
              <w:t xml:space="preserve">2,221</w:t>
            </w:r>
          </w:p>
        </w:tc>
        <w:tc>
          <w:tcPr>
            <w:tcW w:type="dxa" w:w="1700"/>
            <w:shd w:fill="f2f3f5" w:val="clear"/>
          </w:tcPr>
          <w:p>
            <w:r>
              <w:rPr>
                <w:sz w:val="17"/>
                <w:szCs w:val="17"/>
              </w:rPr>
              <w:t xml:space="preserve">779</w:t>
            </w:r>
          </w:p>
        </w:tc>
        <w:tc>
          <w:tcPr>
            <w:tcW w:type="dxa" w:w="1500"/>
            <w:shd w:fill="f2f3f5" w:val="clear"/>
          </w:tcPr>
          <w:p>
            <w:r>
              <w:rPr>
                <w:sz w:val="17"/>
                <w:szCs w:val="17"/>
              </w:rPr>
              <w:t xml:space="preserve">842</w:t>
            </w:r>
          </w:p>
        </w:tc>
        <w:tc>
          <w:tcPr>
            <w:tcW w:type="dxa" w:w="1400"/>
            <w:shd w:fill="f2f3f5" w:val="clear"/>
          </w:tcPr>
          <w:p>
            <w:r>
              <w:rPr>
                <w:sz w:val="17"/>
                <w:szCs w:val="17"/>
              </w:rPr>
              <w:t xml:space="preserve">725</w:t>
            </w:r>
          </w:p>
        </w:tc>
      </w:tr>
      <w:tr>
        <w:tc>
          <w:tcPr>
            <w:tcW w:type="dxa" w:w="1400"/>
            <w:shd w:fill="FFFFFF" w:val="clear"/>
          </w:tcPr>
          <w:p>
            <w:r>
              <w:rPr>
                <w:sz w:val="17"/>
                <w:szCs w:val="17"/>
              </w:rPr>
              <w:t xml:space="preserve">May</w:t>
            </w:r>
          </w:p>
        </w:tc>
        <w:tc>
          <w:tcPr>
            <w:tcW w:type="dxa" w:w="1400"/>
            <w:shd w:fill="FFFFFF" w:val="clear"/>
          </w:tcPr>
          <w:p>
            <w:r>
              <w:rPr>
                <w:sz w:val="17"/>
                <w:szCs w:val="17"/>
              </w:rPr>
              <w:t xml:space="preserve">7,905</w:t>
            </w:r>
          </w:p>
        </w:tc>
        <w:tc>
          <w:tcPr>
            <w:tcW w:type="dxa" w:w="1600"/>
            <w:shd w:fill="FFFFFF" w:val="clear"/>
          </w:tcPr>
          <w:p>
            <w:r>
              <w:rPr>
                <w:sz w:val="17"/>
                <w:szCs w:val="17"/>
              </w:rPr>
              <w:t xml:space="preserve">2,317</w:t>
            </w:r>
          </w:p>
        </w:tc>
        <w:tc>
          <w:tcPr>
            <w:tcW w:type="dxa" w:w="1700"/>
            <w:shd w:fill="FFFFFF" w:val="clear"/>
          </w:tcPr>
          <w:p>
            <w:r>
              <w:rPr>
                <w:sz w:val="17"/>
                <w:szCs w:val="17"/>
              </w:rPr>
              <w:t xml:space="preserve">919</w:t>
            </w:r>
          </w:p>
        </w:tc>
        <w:tc>
          <w:tcPr>
            <w:tcW w:type="dxa" w:w="1500"/>
            <w:shd w:fill="FFFFFF" w:val="clear"/>
          </w:tcPr>
          <w:p>
            <w:r>
              <w:rPr>
                <w:sz w:val="17"/>
                <w:szCs w:val="17"/>
              </w:rPr>
              <w:t xml:space="preserve">869</w:t>
            </w:r>
          </w:p>
        </w:tc>
        <w:tc>
          <w:tcPr>
            <w:tcW w:type="dxa" w:w="1400"/>
            <w:shd w:fill="FFFFFF" w:val="clear"/>
          </w:tcPr>
          <w:p>
            <w:r>
              <w:rPr>
                <w:sz w:val="17"/>
                <w:szCs w:val="17"/>
              </w:rPr>
              <w:t xml:space="preserve">768</w:t>
            </w:r>
          </w:p>
        </w:tc>
      </w:tr>
      <w:tr>
        <w:tc>
          <w:tcPr>
            <w:tcW w:type="dxa" w:w="1400"/>
            <w:shd w:fill="f2f3f5" w:val="clear"/>
          </w:tcPr>
          <w:p>
            <w:r>
              <w:rPr>
                <w:sz w:val="17"/>
                <w:szCs w:val="17"/>
              </w:rPr>
              <w:t xml:space="preserve">Jun</w:t>
            </w:r>
          </w:p>
        </w:tc>
        <w:tc>
          <w:tcPr>
            <w:tcW w:type="dxa" w:w="1400"/>
            <w:shd w:fill="f2f3f5" w:val="clear"/>
          </w:tcPr>
          <w:p>
            <w:r>
              <w:rPr>
                <w:sz w:val="17"/>
                <w:szCs w:val="17"/>
              </w:rPr>
              <w:t xml:space="preserve">7,757</w:t>
            </w:r>
          </w:p>
        </w:tc>
        <w:tc>
          <w:tcPr>
            <w:tcW w:type="dxa" w:w="1600"/>
            <w:shd w:fill="f2f3f5" w:val="clear"/>
          </w:tcPr>
          <w:p>
            <w:r>
              <w:rPr>
                <w:sz w:val="17"/>
                <w:szCs w:val="17"/>
              </w:rPr>
              <w:t xml:space="preserve">2,206</w:t>
            </w:r>
          </w:p>
        </w:tc>
        <w:tc>
          <w:tcPr>
            <w:tcW w:type="dxa" w:w="1700"/>
            <w:shd w:fill="f2f3f5" w:val="clear"/>
          </w:tcPr>
          <w:p>
            <w:r>
              <w:rPr>
                <w:sz w:val="17"/>
                <w:szCs w:val="17"/>
              </w:rPr>
              <w:t xml:space="preserve">883</w:t>
            </w:r>
          </w:p>
        </w:tc>
        <w:tc>
          <w:tcPr>
            <w:tcW w:type="dxa" w:w="1500"/>
            <w:shd w:fill="f2f3f5" w:val="clear"/>
          </w:tcPr>
          <w:p>
            <w:r>
              <w:rPr>
                <w:sz w:val="17"/>
                <w:szCs w:val="17"/>
              </w:rPr>
              <w:t xml:space="preserve">856</w:t>
            </w:r>
          </w:p>
        </w:tc>
        <w:tc>
          <w:tcPr>
            <w:tcW w:type="dxa" w:w="1400"/>
            <w:shd w:fill="f2f3f5" w:val="clear"/>
          </w:tcPr>
          <w:p>
            <w:r>
              <w:rPr>
                <w:sz w:val="17"/>
                <w:szCs w:val="17"/>
              </w:rPr>
              <w:t xml:space="preserve">738</w:t>
            </w:r>
          </w:p>
        </w:tc>
      </w:tr>
      <w:tr>
        <w:tc>
          <w:tcPr>
            <w:tcW w:type="dxa" w:w="1400"/>
            <w:shd w:fill="FFFFFF" w:val="clear"/>
          </w:tcPr>
          <w:p>
            <w:r>
              <w:rPr>
                <w:sz w:val="17"/>
                <w:szCs w:val="17"/>
              </w:rPr>
              <w:t xml:space="preserve">Jul</w:t>
            </w:r>
          </w:p>
        </w:tc>
        <w:tc>
          <w:tcPr>
            <w:tcW w:type="dxa" w:w="1400"/>
            <w:shd w:fill="FFFFFF" w:val="clear"/>
          </w:tcPr>
          <w:p>
            <w:r>
              <w:rPr>
                <w:sz w:val="17"/>
                <w:szCs w:val="17"/>
              </w:rPr>
              <w:t xml:space="preserve">7,926</w:t>
            </w:r>
          </w:p>
        </w:tc>
        <w:tc>
          <w:tcPr>
            <w:tcW w:type="dxa" w:w="1600"/>
            <w:shd w:fill="FFFFFF" w:val="clear"/>
          </w:tcPr>
          <w:p>
            <w:r>
              <w:rPr>
                <w:sz w:val="17"/>
                <w:szCs w:val="17"/>
              </w:rPr>
              <w:t xml:space="preserve">2,332</w:t>
            </w:r>
          </w:p>
        </w:tc>
        <w:tc>
          <w:tcPr>
            <w:tcW w:type="dxa" w:w="1700"/>
            <w:shd w:fill="FFFFFF" w:val="clear"/>
          </w:tcPr>
          <w:p>
            <w:r>
              <w:rPr>
                <w:sz w:val="17"/>
                <w:szCs w:val="17"/>
              </w:rPr>
              <w:t xml:space="preserve">932</w:t>
            </w:r>
          </w:p>
        </w:tc>
        <w:tc>
          <w:tcPr>
            <w:tcW w:type="dxa" w:w="1500"/>
            <w:shd w:fill="FFFFFF" w:val="clear"/>
          </w:tcPr>
          <w:p>
            <w:r>
              <w:rPr>
                <w:sz w:val="17"/>
                <w:szCs w:val="17"/>
              </w:rPr>
              <w:t xml:space="preserve">904</w:t>
            </w:r>
          </w:p>
        </w:tc>
        <w:tc>
          <w:tcPr>
            <w:tcW w:type="dxa" w:w="1400"/>
            <w:shd w:fill="FFFFFF" w:val="clear"/>
          </w:tcPr>
          <w:p>
            <w:r>
              <w:rPr>
                <w:sz w:val="17"/>
                <w:szCs w:val="17"/>
              </w:rPr>
              <w:t xml:space="preserve">803</w:t>
            </w:r>
          </w:p>
        </w:tc>
      </w:tr>
      <w:tr>
        <w:tc>
          <w:tcPr>
            <w:tcW w:type="dxa" w:w="1400"/>
            <w:shd w:fill="f2f3f5" w:val="clear"/>
          </w:tcPr>
          <w:p>
            <w:r>
              <w:rPr>
                <w:sz w:val="17"/>
                <w:szCs w:val="17"/>
              </w:rPr>
              <w:t xml:space="preserve">Aug</w:t>
            </w:r>
          </w:p>
        </w:tc>
        <w:tc>
          <w:tcPr>
            <w:tcW w:type="dxa" w:w="1400"/>
            <w:shd w:fill="f2f3f5" w:val="clear"/>
          </w:tcPr>
          <w:p>
            <w:r>
              <w:rPr>
                <w:sz w:val="17"/>
                <w:szCs w:val="17"/>
              </w:rPr>
              <w:t xml:space="preserve">7,780</w:t>
            </w:r>
          </w:p>
        </w:tc>
        <w:tc>
          <w:tcPr>
            <w:tcW w:type="dxa" w:w="1600"/>
            <w:shd w:fill="f2f3f5" w:val="clear"/>
          </w:tcPr>
          <w:p>
            <w:r>
              <w:rPr>
                <w:sz w:val="17"/>
                <w:szCs w:val="17"/>
              </w:rPr>
              <w:t xml:space="preserve">2,351</w:t>
            </w:r>
          </w:p>
        </w:tc>
        <w:tc>
          <w:tcPr>
            <w:tcW w:type="dxa" w:w="1700"/>
            <w:shd w:fill="f2f3f5" w:val="clear"/>
          </w:tcPr>
          <w:p>
            <w:r>
              <w:rPr>
                <w:sz w:val="17"/>
                <w:szCs w:val="17"/>
              </w:rPr>
              <w:t xml:space="preserve">834</w:t>
            </w:r>
          </w:p>
        </w:tc>
        <w:tc>
          <w:tcPr>
            <w:tcW w:type="dxa" w:w="1500"/>
            <w:shd w:fill="f2f3f5" w:val="clear"/>
          </w:tcPr>
          <w:p>
            <w:r>
              <w:rPr>
                <w:sz w:val="17"/>
                <w:szCs w:val="17"/>
              </w:rPr>
              <w:t xml:space="preserve">936</w:t>
            </w:r>
          </w:p>
        </w:tc>
        <w:tc>
          <w:tcPr>
            <w:tcW w:type="dxa" w:w="1400"/>
            <w:shd w:fill="f2f3f5" w:val="clear"/>
          </w:tcPr>
          <w:p>
            <w:r>
              <w:rPr>
                <w:sz w:val="17"/>
                <w:szCs w:val="17"/>
              </w:rPr>
              <w:t xml:space="preserve">735</w:t>
            </w:r>
          </w:p>
        </w:tc>
      </w:tr>
      <w:tr>
        <w:tc>
          <w:tcPr>
            <w:tcW w:type="dxa" w:w="1400"/>
            <w:shd w:fill="FFFFFF" w:val="clear"/>
          </w:tcPr>
          <w:p>
            <w:r>
              <w:rPr>
                <w:sz w:val="17"/>
                <w:szCs w:val="17"/>
              </w:rPr>
              <w:t xml:space="preserve">Sep</w:t>
            </w:r>
          </w:p>
        </w:tc>
        <w:tc>
          <w:tcPr>
            <w:tcW w:type="dxa" w:w="1400"/>
            <w:shd w:fill="FFFFFF" w:val="clear"/>
          </w:tcPr>
          <w:p>
            <w:r>
              <w:rPr>
                <w:sz w:val="17"/>
                <w:szCs w:val="17"/>
              </w:rPr>
              <w:t xml:space="preserve">7,542</w:t>
            </w:r>
          </w:p>
        </w:tc>
        <w:tc>
          <w:tcPr>
            <w:tcW w:type="dxa" w:w="1600"/>
            <w:shd w:fill="FFFFFF" w:val="clear"/>
          </w:tcPr>
          <w:p>
            <w:r>
              <w:rPr>
                <w:sz w:val="17"/>
                <w:szCs w:val="17"/>
              </w:rPr>
              <w:t xml:space="preserve">2,165</w:t>
            </w:r>
          </w:p>
        </w:tc>
        <w:tc>
          <w:tcPr>
            <w:tcW w:type="dxa" w:w="1700"/>
            <w:shd w:fill="FFFFFF" w:val="clear"/>
          </w:tcPr>
          <w:p>
            <w:r>
              <w:rPr>
                <w:sz w:val="17"/>
                <w:szCs w:val="17"/>
              </w:rPr>
              <w:t xml:space="preserve">894</w:t>
            </w:r>
          </w:p>
        </w:tc>
        <w:tc>
          <w:tcPr>
            <w:tcW w:type="dxa" w:w="1500"/>
            <w:shd w:fill="FFFFFF" w:val="clear"/>
          </w:tcPr>
          <w:p>
            <w:r>
              <w:rPr>
                <w:sz w:val="17"/>
                <w:szCs w:val="17"/>
              </w:rPr>
              <w:t xml:space="preserve">904</w:t>
            </w:r>
          </w:p>
        </w:tc>
        <w:tc>
          <w:tcPr>
            <w:tcW w:type="dxa" w:w="1400"/>
            <w:shd w:fill="FFFFFF" w:val="clear"/>
          </w:tcPr>
          <w:p>
            <w:r>
              <w:rPr>
                <w:sz w:val="17"/>
                <w:szCs w:val="17"/>
              </w:rPr>
              <w:t xml:space="preserve">743</w:t>
            </w:r>
          </w:p>
        </w:tc>
      </w:tr>
      <w:tr>
        <w:tc>
          <w:tcPr>
            <w:tcW w:type="dxa" w:w="1400"/>
            <w:shd w:fill="f2f3f5" w:val="clear"/>
          </w:tcPr>
          <w:p>
            <w:r>
              <w:rPr>
                <w:sz w:val="17"/>
                <w:szCs w:val="17"/>
              </w:rPr>
              <w:t xml:space="preserve">Oct</w:t>
            </w:r>
          </w:p>
        </w:tc>
        <w:tc>
          <w:tcPr>
            <w:tcW w:type="dxa" w:w="1400"/>
            <w:shd w:fill="f2f3f5" w:val="clear"/>
          </w:tcPr>
          <w:p>
            <w:r>
              <w:rPr>
                <w:sz w:val="17"/>
                <w:szCs w:val="17"/>
              </w:rPr>
              <w:t xml:space="preserve">7,905</w:t>
            </w:r>
          </w:p>
        </w:tc>
        <w:tc>
          <w:tcPr>
            <w:tcW w:type="dxa" w:w="1600"/>
            <w:shd w:fill="f2f3f5" w:val="clear"/>
          </w:tcPr>
          <w:p>
            <w:r>
              <w:rPr>
                <w:sz w:val="17"/>
                <w:szCs w:val="17"/>
              </w:rPr>
              <w:t xml:space="preserve">2,224</w:t>
            </w:r>
          </w:p>
        </w:tc>
        <w:tc>
          <w:tcPr>
            <w:tcW w:type="dxa" w:w="1700"/>
            <w:shd w:fill="f2f3f5" w:val="clear"/>
          </w:tcPr>
          <w:p>
            <w:r>
              <w:rPr>
                <w:sz w:val="17"/>
                <w:szCs w:val="17"/>
              </w:rPr>
              <w:t xml:space="preserve">894</w:t>
            </w:r>
          </w:p>
        </w:tc>
        <w:tc>
          <w:tcPr>
            <w:tcW w:type="dxa" w:w="1500"/>
            <w:shd w:fill="f2f3f5" w:val="clear"/>
          </w:tcPr>
          <w:p>
            <w:r>
              <w:rPr>
                <w:sz w:val="17"/>
                <w:szCs w:val="17"/>
              </w:rPr>
              <w:t xml:space="preserve">867</w:t>
            </w:r>
          </w:p>
        </w:tc>
        <w:tc>
          <w:tcPr>
            <w:tcW w:type="dxa" w:w="1400"/>
            <w:shd w:fill="f2f3f5" w:val="clear"/>
          </w:tcPr>
          <w:p>
            <w:r>
              <w:rPr>
                <w:sz w:val="17"/>
                <w:szCs w:val="17"/>
              </w:rPr>
              <w:t xml:space="preserve">761</w:t>
            </w:r>
          </w:p>
        </w:tc>
      </w:tr>
      <w:tr>
        <w:tc>
          <w:tcPr>
            <w:tcW w:type="dxa" w:w="1400"/>
            <w:shd w:fill="FFFFFF" w:val="clear"/>
          </w:tcPr>
          <w:p>
            <w:r>
              <w:rPr>
                <w:sz w:val="17"/>
                <w:szCs w:val="17"/>
              </w:rPr>
              <w:t xml:space="preserve">Nov</w:t>
            </w:r>
          </w:p>
        </w:tc>
        <w:tc>
          <w:tcPr>
            <w:tcW w:type="dxa" w:w="1400"/>
            <w:shd w:fill="FFFFFF" w:val="clear"/>
          </w:tcPr>
          <w:p>
            <w:r>
              <w:rPr>
                <w:sz w:val="17"/>
                <w:szCs w:val="17"/>
              </w:rPr>
              <w:t xml:space="preserve">7,659</w:t>
            </w:r>
          </w:p>
        </w:tc>
        <w:tc>
          <w:tcPr>
            <w:tcW w:type="dxa" w:w="1600"/>
            <w:shd w:fill="FFFFFF" w:val="clear"/>
          </w:tcPr>
          <w:p>
            <w:r>
              <w:rPr>
                <w:sz w:val="17"/>
                <w:szCs w:val="17"/>
              </w:rPr>
              <w:t xml:space="preserve">2,220</w:t>
            </w:r>
          </w:p>
        </w:tc>
        <w:tc>
          <w:tcPr>
            <w:tcW w:type="dxa" w:w="1700"/>
            <w:shd w:fill="FFFFFF" w:val="clear"/>
          </w:tcPr>
          <w:p>
            <w:r>
              <w:rPr>
                <w:sz w:val="17"/>
                <w:szCs w:val="17"/>
              </w:rPr>
              <w:t xml:space="preserve">864</w:t>
            </w:r>
          </w:p>
        </w:tc>
        <w:tc>
          <w:tcPr>
            <w:tcW w:type="dxa" w:w="1500"/>
            <w:shd w:fill="FFFFFF" w:val="clear"/>
          </w:tcPr>
          <w:p>
            <w:r>
              <w:rPr>
                <w:sz w:val="17"/>
                <w:szCs w:val="17"/>
              </w:rPr>
              <w:t xml:space="preserve">861</w:t>
            </w:r>
          </w:p>
        </w:tc>
        <w:tc>
          <w:tcPr>
            <w:tcW w:type="dxa" w:w="1400"/>
            <w:shd w:fill="FFFFFF" w:val="clear"/>
          </w:tcPr>
          <w:p>
            <w:r>
              <w:rPr>
                <w:sz w:val="17"/>
                <w:szCs w:val="17"/>
              </w:rPr>
              <w:t xml:space="preserve">790</w:t>
            </w:r>
          </w:p>
        </w:tc>
      </w:tr>
      <w:tr>
        <w:tc>
          <w:tcPr>
            <w:tcW w:type="dxa" w:w="1400"/>
            <w:shd w:fill="f2f3f5" w:val="clear"/>
          </w:tcPr>
          <w:p>
            <w:r>
              <w:rPr>
                <w:sz w:val="17"/>
                <w:szCs w:val="17"/>
              </w:rPr>
              <w:t xml:space="preserve">Dec</w:t>
            </w:r>
          </w:p>
        </w:tc>
        <w:tc>
          <w:tcPr>
            <w:tcW w:type="dxa" w:w="1400"/>
            <w:shd w:fill="f2f3f5" w:val="clear"/>
          </w:tcPr>
          <w:p>
            <w:r>
              <w:rPr>
                <w:sz w:val="17"/>
                <w:szCs w:val="17"/>
              </w:rPr>
              <w:t xml:space="preserve">7,621</w:t>
            </w:r>
          </w:p>
        </w:tc>
        <w:tc>
          <w:tcPr>
            <w:tcW w:type="dxa" w:w="1600"/>
            <w:shd w:fill="f2f3f5" w:val="clear"/>
          </w:tcPr>
          <w:p>
            <w:r>
              <w:rPr>
                <w:sz w:val="17"/>
                <w:szCs w:val="17"/>
              </w:rPr>
              <w:t xml:space="preserve">2,210</w:t>
            </w:r>
          </w:p>
        </w:tc>
        <w:tc>
          <w:tcPr>
            <w:tcW w:type="dxa" w:w="1700"/>
            <w:shd w:fill="f2f3f5" w:val="clear"/>
          </w:tcPr>
          <w:p>
            <w:r>
              <w:rPr>
                <w:sz w:val="17"/>
                <w:szCs w:val="17"/>
              </w:rPr>
              <w:t xml:space="preserve">864</w:t>
            </w:r>
          </w:p>
        </w:tc>
        <w:tc>
          <w:tcPr>
            <w:tcW w:type="dxa" w:w="1500"/>
            <w:shd w:fill="f2f3f5" w:val="clear"/>
          </w:tcPr>
          <w:p>
            <w:r>
              <w:rPr>
                <w:sz w:val="17"/>
                <w:szCs w:val="17"/>
              </w:rPr>
              <w:t xml:space="preserve">834</w:t>
            </w:r>
          </w:p>
        </w:tc>
        <w:tc>
          <w:tcPr>
            <w:tcW w:type="dxa" w:w="1400"/>
            <w:shd w:fill="f2f3f5" w:val="clear"/>
          </w:tcPr>
          <w:p>
            <w:r>
              <w:rPr>
                <w:sz w:val="17"/>
                <w:szCs w:val="17"/>
              </w:rPr>
              <w:t xml:space="preserve">721</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Uber NCR Ride Bookings — Descriptive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fb6370e2632a33d84aa6b3ee4728cf1b52c6ea.png"/><Relationship Id="rId10" Type="http://schemas.openxmlformats.org/officeDocument/2006/relationships/image" Target="media/deb867ce7f6cce4d9e492985a203b58a9cc6cf04.png"/><Relationship Id="rId11" Type="http://schemas.openxmlformats.org/officeDocument/2006/relationships/image" Target="media/895b742654c40ba3d5dc17bf88cba4baa230e178.png"/><Relationship Id="rId12" Type="http://schemas.openxmlformats.org/officeDocument/2006/relationships/image" Target="media/f4adb43a71d571b45c739114ca6a647e23f78555.png"/><Relationship Id="rId13" Type="http://schemas.openxmlformats.org/officeDocument/2006/relationships/image" Target="media/b93d8948c4a56da49b97cd7ee9dd540e23fa1077.png"/><Relationship Id="rId14" Type="http://schemas.openxmlformats.org/officeDocument/2006/relationships/image" Target="media/0c82dbf00cd006888ee04a1c772e406429e601c4.png"/><Relationship Id="rId15" Type="http://schemas.openxmlformats.org/officeDocument/2006/relationships/image" Target="media/12f6040f930258ccde9962e331b531a0bd4dbaf0.png"/><Relationship Id="rId16" Type="http://schemas.openxmlformats.org/officeDocument/2006/relationships/image" Target="media/521148d92dde9355da8300f0f277024753569bf2.png"/><Relationship Id="rId17" Type="http://schemas.openxmlformats.org/officeDocument/2006/relationships/image" Target="media/36badda26413ce6259d260a70788b56b8e01a818.png"/><Relationship Id="rId18" Type="http://schemas.openxmlformats.org/officeDocument/2006/relationships/image" Target="media/83ae7ac16e4af0519672e8d95fe6d943c85a4ce6.png"/><Relationship Id="rId19" Type="http://schemas.openxmlformats.org/officeDocument/2006/relationships/image" Target="media/f671bd253c38e0317ca81400c984845a8ae6ee6b.png"/><Relationship Id="rId20" Type="http://schemas.openxmlformats.org/officeDocument/2006/relationships/image" Target="media/4e60c92c888cd1dce15df6c55e0082ffa1be6a3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2026-08-11T07:23:25.565Z</dcterms:created>
  <dcterms:modified xsi:type="dcterms:W3CDTF">2026-08-11T07:23:25.576Z</dcterms:modified>
</cp:coreProperties>
</file>

<file path=docProps/custom.xml><?xml version="1.0" encoding="utf-8"?>
<Properties xmlns="http://schemas.openxmlformats.org/officeDocument/2006/custom-properties" xmlns:vt="http://schemas.openxmlformats.org/officeDocument/2006/docPropsVTypes"/>
</file>