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INTERRUPTION &amp; SLA BREACH REPORT</w:t>
      </w:r>
    </w:p>
    <w:p>
      <w:r>
        <w:rPr>
          <w:b/>
        </w:rPr>
        <w:t xml:space="preserve">Customer Name: </w:t>
      </w:r>
      <w:r>
        <w:t>Priya Nair</w:t>
        <w:br/>
      </w:r>
      <w:r>
        <w:rPr>
          <w:b/>
        </w:rPr>
        <w:t xml:space="preserve">Email: </w:t>
      </w:r>
      <w:r>
        <w:t>priya.nair@techcorp.in</w:t>
        <w:br/>
      </w:r>
      <w:r>
        <w:rPr>
          <w:b/>
        </w:rPr>
        <w:t xml:space="preserve">Phone: </w:t>
      </w:r>
      <w:r>
        <w:t>+91-8041239870</w:t>
        <w:br/>
      </w:r>
      <w:r>
        <w:rPr>
          <w:b/>
        </w:rPr>
        <w:t xml:space="preserve">Category: </w:t>
      </w:r>
      <w:r>
        <w:t>Enterprise Fiber Dedicated Lease Line (Order ID: FL-4401)</w:t>
      </w:r>
    </w:p>
    <w:p>
      <w:pPr>
        <w:pStyle w:val="Heading2"/>
      </w:pPr>
      <w:r>
        <w:t>Grievance Description</w:t>
      </w:r>
    </w:p>
    <w:p>
      <w:r>
        <w:t>Our development hub in Whitefield has experienced a complete commercial internet outage since 09:00 AM IST today. Our contract SLA tier guarantees 99.9% network availability with a mandatory 2-hour response window for critical priority outages. We have attached network monitoring logs, traceroute outputs, and router error dumps for your tier-3 engineering group.</w:t>
      </w:r>
    </w:p>
    <w:p>
      <w:pPr>
        <w:pStyle w:val="Heading2"/>
      </w:pPr>
      <w:r>
        <w:t>Status &amp; Action Taken</w:t>
      </w:r>
    </w:p>
    <w:p>
      <w:r>
        <w:t>Field engineer assigned ticket #ENG-4412. The splicing team is actively on-site inspecting physical fiber cuts near the substation. Emergency cellular backup unit was dispatched. The case is currently In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