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8"/>
          <w:szCs w:val="28"/>
          <w:rtl w:val="0"/>
        </w:rPr>
        <w:t xml:space="preserve">MDM2 – Case Study: Assistive Robotics for</w:t>
        <w:br w:type="textWrapping"/>
        <w:t xml:space="preserve">Improvement of Life Quality</w:t>
        <w:br w:type="textWrapping"/>
        <w:t xml:space="preserve">One‑Page Proposal</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972.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A0"/>
      </w:tblPr>
      <w:tblGrid>
        <w:gridCol w:w="4986"/>
        <w:gridCol w:w="4986"/>
        <w:tblGridChange w:id="0">
          <w:tblGrid>
            <w:gridCol w:w="4986"/>
            <w:gridCol w:w="4986"/>
          </w:tblGrid>
        </w:tblGridChange>
      </w:tblGrid>
      <w:tr>
        <w:trPr>
          <w:cantSplit w:val="0"/>
          <w:trHeight w:val="253.5546875" w:hRule="atLeast"/>
          <w:tblHeader w:val="0"/>
        </w:trPr>
        <w:tc>
          <w:tcPr/>
          <w:p w:rsidR="00000000" w:rsidDel="00000000" w:rsidP="00000000" w:rsidRDefault="00000000" w:rsidRPr="00000000" w14:paraId="00000003">
            <w:pPr>
              <w:rPr/>
            </w:pPr>
            <w:r w:rsidDel="00000000" w:rsidR="00000000" w:rsidRPr="00000000">
              <w:rPr>
                <w:rtl w:val="0"/>
              </w:rPr>
              <w:t xml:space="preserve">Team</w:t>
            </w:r>
          </w:p>
        </w:tc>
        <w:tc>
          <w:tcPr/>
          <w:p w:rsidR="00000000" w:rsidDel="00000000" w:rsidP="00000000" w:rsidRDefault="00000000" w:rsidRPr="00000000" w14:paraId="00000004">
            <w:pPr>
              <w:rPr/>
            </w:pPr>
            <w:r w:rsidDel="00000000" w:rsidR="00000000" w:rsidRPr="00000000">
              <w:rPr>
                <w:rtl w:val="0"/>
              </w:rPr>
              <w:t xml:space="preserve">Group 3</w:t>
            </w:r>
          </w:p>
        </w:tc>
      </w:tr>
      <w:tr>
        <w:trPr>
          <w:cantSplit w:val="0"/>
          <w:tblHeader w:val="0"/>
        </w:trPr>
        <w:tc>
          <w:tcPr/>
          <w:p w:rsidR="00000000" w:rsidDel="00000000" w:rsidP="00000000" w:rsidRDefault="00000000" w:rsidRPr="00000000" w14:paraId="00000005">
            <w:pPr>
              <w:rPr/>
            </w:pPr>
            <w:r w:rsidDel="00000000" w:rsidR="00000000" w:rsidRPr="00000000">
              <w:rPr>
                <w:rtl w:val="0"/>
              </w:rPr>
              <w:t xml:space="preserve">Members</w:t>
            </w:r>
          </w:p>
        </w:tc>
        <w:tc>
          <w:tcPr/>
          <w:p w:rsidR="00000000" w:rsidDel="00000000" w:rsidP="00000000" w:rsidRDefault="00000000" w:rsidRPr="00000000" w14:paraId="00000006">
            <w:pPr>
              <w:rPr/>
            </w:pPr>
            <w:r w:rsidDel="00000000" w:rsidR="00000000" w:rsidRPr="00000000">
              <w:rPr>
                <w:rtl w:val="0"/>
              </w:rPr>
              <w:t xml:space="preserve">Utkarsh Inamdar, Dhruv Shah</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Project Title</w:t>
            </w:r>
          </w:p>
        </w:tc>
        <w:tc>
          <w:tcPr/>
          <w:p w:rsidR="00000000" w:rsidDel="00000000" w:rsidP="00000000" w:rsidRDefault="00000000" w:rsidRPr="00000000" w14:paraId="00000008">
            <w:pPr>
              <w:rPr/>
            </w:pPr>
            <w:r w:rsidDel="00000000" w:rsidR="00000000" w:rsidRPr="00000000">
              <w:rPr>
                <w:rtl w:val="0"/>
              </w:rPr>
              <w:t xml:space="preserve">Myosignal Interpreter and Haptic Feedback</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GitHub Repository URL</w:t>
            </w:r>
          </w:p>
        </w:tc>
        <w:tc>
          <w:tcPr/>
          <w:p w:rsidR="00000000" w:rsidDel="00000000" w:rsidP="00000000" w:rsidRDefault="00000000" w:rsidRPr="00000000" w14:paraId="0000000A">
            <w:pPr>
              <w:rPr/>
            </w:pPr>
            <w:r w:rsidDel="00000000" w:rsidR="00000000" w:rsidRPr="00000000">
              <w:rPr>
                <w:rtl w:val="0"/>
              </w:rPr>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Contact Email</w:t>
            </w:r>
          </w:p>
        </w:tc>
        <w:tc>
          <w:tcPr/>
          <w:p w:rsidR="00000000" w:rsidDel="00000000" w:rsidP="00000000" w:rsidRDefault="00000000" w:rsidRPr="00000000" w14:paraId="0000000C">
            <w:pPr>
              <w:rPr/>
            </w:pPr>
            <w:hyperlink r:id="rId7">
              <w:r w:rsidDel="00000000" w:rsidR="00000000" w:rsidRPr="00000000">
                <w:rPr>
                  <w:color w:val="1155cc"/>
                  <w:u w:val="single"/>
                  <w:rtl w:val="0"/>
                </w:rPr>
                <w:t xml:space="preserve">utkarsh.inamdar@stud.th-deg.de</w:t>
              </w:r>
            </w:hyperlink>
            <w:r w:rsidDel="00000000" w:rsidR="00000000" w:rsidRPr="00000000">
              <w:rPr>
                <w:rtl w:val="0"/>
              </w:rPr>
              <w:t xml:space="preserve"> , dhruv.shah2@stud.th-deg.de</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Industrial Application (target domain/use‑case)</w:t>
            </w:r>
          </w:p>
        </w:tc>
        <w:tc>
          <w:tcPr/>
          <w:p w:rsidR="00000000" w:rsidDel="00000000" w:rsidP="00000000" w:rsidRDefault="00000000" w:rsidRPr="00000000" w14:paraId="0000000E">
            <w:pPr>
              <w:rPr/>
            </w:pPr>
            <w:r w:rsidDel="00000000" w:rsidR="00000000" w:rsidRPr="00000000">
              <w:rPr>
                <w:rtl w:val="0"/>
              </w:rPr>
              <w:t xml:space="preserve">Physical Rehabilitation, Prosthetics</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Keywords (3–6)</w:t>
            </w:r>
          </w:p>
        </w:tc>
        <w:tc>
          <w:tcPr/>
          <w:p w:rsidR="00000000" w:rsidDel="00000000" w:rsidP="00000000" w:rsidRDefault="00000000" w:rsidRPr="00000000" w14:paraId="00000010">
            <w:pPr>
              <w:rPr/>
            </w:pPr>
            <w:r w:rsidDel="00000000" w:rsidR="00000000" w:rsidRPr="00000000">
              <w:rPr>
                <w:rtl w:val="0"/>
              </w:rPr>
              <w:t xml:space="preserve">Improving life, amputees, EMG, Actuation, Pattern Recognition, Machine Learning, Intention detection and Intensity control</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Submission Date (YYYY‑MM‑DD)</w:t>
            </w:r>
          </w:p>
        </w:tc>
        <w:tc>
          <w:tcPr/>
          <w:p w:rsidR="00000000" w:rsidDel="00000000" w:rsidP="00000000" w:rsidRDefault="00000000" w:rsidRPr="00000000" w14:paraId="00000012">
            <w:pPr>
              <w:rPr/>
            </w:pPr>
            <w:r w:rsidDel="00000000" w:rsidR="00000000" w:rsidRPr="00000000">
              <w:rPr>
                <w:rtl w:val="0"/>
              </w:rPr>
              <w:t xml:space="preserve">9/04/2026</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Gant Chart</w:t>
            </w:r>
          </w:p>
        </w:tc>
        <w:tc>
          <w:tcPr/>
          <w:p w:rsidR="00000000" w:rsidDel="00000000" w:rsidP="00000000" w:rsidRDefault="00000000" w:rsidRPr="00000000" w14:paraId="00000014">
            <w:pPr>
              <w:rPr/>
            </w:pPr>
            <w:hyperlink r:id="rId8">
              <w:r w:rsidDel="00000000" w:rsidR="00000000" w:rsidRPr="00000000">
                <w:rPr>
                  <w:color w:val="1155cc"/>
                  <w:u w:val="single"/>
                  <w:rtl w:val="0"/>
                </w:rPr>
                <w:t xml:space="preserve">https://utkarsh-casestudy-gantt.atlassian.net/wiki/spaces/~7120208acc429d3c3b4deebb068ab1821c4621/pages/edit-v2/229470?draftShareId=</w:t>
              </w:r>
            </w:hyperlink>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tbl>
      <w:tblPr>
        <w:tblStyle w:val="Table2"/>
        <w:tblW w:w="9972.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A0"/>
      </w:tblPr>
      <w:tblGrid>
        <w:gridCol w:w="4986"/>
        <w:gridCol w:w="4986"/>
        <w:tblGridChange w:id="0">
          <w:tblGrid>
            <w:gridCol w:w="4986"/>
            <w:gridCol w:w="4986"/>
          </w:tblGrid>
        </w:tblGridChange>
      </w:tblGrid>
      <w:tr>
        <w:trPr>
          <w:cantSplit w:val="0"/>
          <w:tblHeader w:val="0"/>
        </w:trPr>
        <w:tc>
          <w:tcPr/>
          <w:p w:rsidR="00000000" w:rsidDel="00000000" w:rsidP="00000000" w:rsidRDefault="00000000" w:rsidRPr="00000000" w14:paraId="00000016">
            <w:pPr>
              <w:rPr/>
            </w:pPr>
            <w:r w:rsidDel="00000000" w:rsidR="00000000" w:rsidRPr="00000000">
              <w:rPr>
                <w:rtl w:val="0"/>
              </w:rPr>
              <w:t xml:space="preserve">1) Problem Statement &amp; Measurable Outcomes (3–4 sentences)</w:t>
            </w:r>
          </w:p>
        </w:tc>
        <w:tc>
          <w:tcPr/>
          <w:p w:rsidR="00000000" w:rsidDel="00000000" w:rsidP="00000000" w:rsidRDefault="00000000" w:rsidRPr="00000000" w14:paraId="00000017">
            <w:pPr>
              <w:rPr/>
            </w:pPr>
            <w:r w:rsidDel="00000000" w:rsidR="00000000" w:rsidRPr="00000000">
              <w:rPr>
                <w:rtl w:val="0"/>
              </w:rPr>
              <w:t xml:space="preserve">State the concrete problem in production/logistics. Define 2–4 measurable outcomes (KPIs).</w:t>
              <w:br w:type="textWrapping"/>
            </w:r>
          </w:p>
          <w:p w:rsidR="00000000" w:rsidDel="00000000" w:rsidP="00000000" w:rsidRDefault="00000000" w:rsidRPr="00000000" w14:paraId="00000018">
            <w:pPr>
              <w:rPr/>
            </w:pPr>
            <w:r w:rsidDel="00000000" w:rsidR="00000000" w:rsidRPr="00000000">
              <w:rPr>
                <w:rtl w:val="0"/>
              </w:rPr>
              <w:t xml:space="preserve">Individuals with upper-limb loss often experience a significant decline in independence and self-esteem due to the high rejection rate of existing prosthetics. Current devices are frequently criticized for being too heavy, unintuitive to control, and lacking sensory feedback, which prevents users from "incorporating" the limb into their body schema.</w:t>
            </w:r>
          </w:p>
          <w:p w:rsidR="00000000" w:rsidDel="00000000" w:rsidP="00000000" w:rsidRDefault="00000000" w:rsidRPr="00000000" w14:paraId="00000019">
            <w:pPr>
              <w:rPr/>
            </w:pPr>
            <w:r w:rsidDel="00000000" w:rsidR="00000000" w:rsidRPr="00000000">
              <w:rPr>
                <w:rtl w:val="0"/>
              </w:rPr>
              <w:t xml:space="preserve">KPIs:</w:t>
              <w:br w:type="textWrapping"/>
              <w:t xml:space="preserve">Pattern recognition for exact movement based on the input impulses from the brain</w:t>
            </w:r>
          </w:p>
          <w:p w:rsidR="00000000" w:rsidDel="00000000" w:rsidP="00000000" w:rsidRDefault="00000000" w:rsidRPr="00000000" w14:paraId="0000001A">
            <w:pPr>
              <w:rPr/>
            </w:pPr>
            <w:r w:rsidDel="00000000" w:rsidR="00000000" w:rsidRPr="00000000">
              <w:rPr>
                <w:rtl w:val="0"/>
              </w:rPr>
              <w:t xml:space="preserve">Actuation control based on the recognized pattern</w:t>
            </w:r>
          </w:p>
          <w:p w:rsidR="00000000" w:rsidDel="00000000" w:rsidP="00000000" w:rsidRDefault="00000000" w:rsidRPr="00000000" w14:paraId="0000001B">
            <w:pPr>
              <w:rPr/>
            </w:pPr>
            <w:r w:rsidDel="00000000" w:rsidR="00000000" w:rsidRPr="00000000">
              <w:rPr>
                <w:rtl w:val="0"/>
              </w:rPr>
              <w:t xml:space="preserve">Adding haptic feedback that is new to the subject</w:t>
            </w:r>
          </w:p>
          <w:p w:rsidR="00000000" w:rsidDel="00000000" w:rsidP="00000000" w:rsidRDefault="00000000" w:rsidRPr="00000000" w14:paraId="0000001C">
            <w:pPr>
              <w:rPr/>
            </w:pPr>
            <w:r w:rsidDel="00000000" w:rsidR="00000000" w:rsidRPr="00000000">
              <w:rPr>
                <w:rtl w:val="0"/>
              </w:rPr>
              <w:t xml:space="preserve">Cognitive load : reduce fixation time during bimanual tasks.</w:t>
              <w:br w:type="textWrapping"/>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2) Motivation &amp; Assistive Relevance (2–3 sentences)</w:t>
            </w:r>
          </w:p>
        </w:tc>
        <w:tc>
          <w:tcPr/>
          <w:p w:rsidR="00000000" w:rsidDel="00000000" w:rsidP="00000000" w:rsidRDefault="00000000" w:rsidRPr="00000000" w14:paraId="0000001E">
            <w:pPr>
              <w:rPr/>
            </w:pPr>
            <w:r w:rsidDel="00000000" w:rsidR="00000000" w:rsidRPr="00000000">
              <w:rPr>
                <w:rtl w:val="0"/>
              </w:rPr>
              <w:t xml:space="preserve">Who benefits and what value is created? Why is this important now?</w:t>
              <w:br w:type="textWrapping"/>
            </w:r>
          </w:p>
          <w:p w:rsidR="00000000" w:rsidDel="00000000" w:rsidP="00000000" w:rsidRDefault="00000000" w:rsidRPr="00000000" w14:paraId="0000001F">
            <w:pPr>
              <w:rPr/>
            </w:pPr>
            <w:r w:rsidDel="00000000" w:rsidR="00000000" w:rsidRPr="00000000">
              <w:rPr>
                <w:rtl w:val="0"/>
              </w:rPr>
              <w:t xml:space="preserve">Subjects who are amputated below the elbow are the target audience. IT helps them perform bimanual tasks, using motor imagery (brain’s ability to plan a movement). Move a robotic limb just by thinking. It allows subjects to get back to their daily routine and gain back their independence. </w:t>
              <w:br w:type="textWrapping"/>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3) Related Work Snapshot (2–3 key references)</w:t>
            </w:r>
          </w:p>
        </w:tc>
        <w:tc>
          <w:tcPr/>
          <w:p w:rsidR="00000000" w:rsidDel="00000000" w:rsidP="00000000" w:rsidRDefault="00000000" w:rsidRPr="00000000" w14:paraId="00000021">
            <w:pPr>
              <w:rPr/>
            </w:pPr>
            <w:r w:rsidDel="00000000" w:rsidR="00000000" w:rsidRPr="00000000">
              <w:rPr>
                <w:rtl w:val="0"/>
              </w:rPr>
              <w:t xml:space="preserve">Cite the most relevant prior work and the gap your project addresses.</w:t>
              <w:br w:type="textWrapping"/>
            </w:r>
          </w:p>
          <w:p w:rsidR="00000000" w:rsidDel="00000000" w:rsidP="00000000" w:rsidRDefault="00000000" w:rsidRPr="00000000" w14:paraId="00000022">
            <w:pPr>
              <w:rPr/>
            </w:pPr>
            <w:r w:rsidDel="00000000" w:rsidR="00000000" w:rsidRPr="00000000">
              <w:rPr>
                <w:rtl w:val="0"/>
              </w:rPr>
              <w:t xml:space="preserve">Usually prosthetic arms work as an open loop. We are now adding feedback that is necessary for the subject so manipulation of the arm is easier.  The haptic feedback will depict intensity control. Learning feedback will be similar to learning a new language</w:t>
            </w:r>
          </w:p>
          <w:p w:rsidR="00000000" w:rsidDel="00000000" w:rsidP="00000000" w:rsidRDefault="00000000" w:rsidRPr="00000000" w14:paraId="00000023">
            <w:pPr>
              <w:numPr>
                <w:ilvl w:val="0"/>
                <w:numId w:val="1"/>
              </w:numPr>
              <w:ind w:left="720" w:hanging="360"/>
              <w:rPr>
                <w:u w:val="none"/>
              </w:rPr>
            </w:pPr>
            <w:hyperlink r:id="rId9">
              <w:r w:rsidDel="00000000" w:rsidR="00000000" w:rsidRPr="00000000">
                <w:rPr>
                  <w:color w:val="1155cc"/>
                  <w:u w:val="single"/>
                  <w:rtl w:val="0"/>
                </w:rPr>
                <w:t xml:space="preserve">pressureprofile.com</w:t>
              </w:r>
            </w:hyperlink>
            <w:r w:rsidDel="00000000" w:rsidR="00000000" w:rsidRPr="00000000">
              <w:rPr>
                <w:rtl w:val="0"/>
              </w:rPr>
            </w:r>
          </w:p>
          <w:p w:rsidR="00000000" w:rsidDel="00000000" w:rsidP="00000000" w:rsidRDefault="00000000" w:rsidRPr="00000000" w14:paraId="00000024">
            <w:pPr>
              <w:numPr>
                <w:ilvl w:val="0"/>
                <w:numId w:val="1"/>
              </w:numPr>
              <w:ind w:left="720" w:hanging="360"/>
              <w:rPr>
                <w:u w:val="none"/>
              </w:rPr>
            </w:pPr>
            <w:hyperlink r:id="rId10">
              <w:r w:rsidDel="00000000" w:rsidR="00000000" w:rsidRPr="00000000">
                <w:rPr>
                  <w:color w:val="1155cc"/>
                  <w:u w:val="single"/>
                  <w:rtl w:val="0"/>
                </w:rPr>
                <w:t xml:space="preserve">https://ieeexplore.ieee.org/ielx7/6287639/8600701/08672131.pdf?utm_source=consensus</w:t>
              </w:r>
            </w:hyperlink>
            <w:r w:rsidDel="00000000" w:rsidR="00000000" w:rsidRPr="00000000">
              <w:rPr>
                <w:rtl w:val="0"/>
              </w:rPr>
            </w:r>
          </w:p>
          <w:p w:rsidR="00000000" w:rsidDel="00000000" w:rsidP="00000000" w:rsidRDefault="00000000" w:rsidRPr="00000000" w14:paraId="00000025">
            <w:pPr>
              <w:numPr>
                <w:ilvl w:val="0"/>
                <w:numId w:val="1"/>
              </w:numPr>
              <w:ind w:left="720" w:hanging="360"/>
              <w:rPr>
                <w:u w:val="none"/>
              </w:rPr>
            </w:pPr>
            <w:hyperlink r:id="rId11">
              <w:r w:rsidDel="00000000" w:rsidR="00000000" w:rsidRPr="00000000">
                <w:rPr>
                  <w:color w:val="1155cc"/>
                  <w:u w:val="single"/>
                  <w:rtl w:val="0"/>
                </w:rPr>
                <w:t xml:space="preserve">https://ieeexplore.ieee.org/document/8370547</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br w:type="textWrapping"/>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4) Method &amp; Feasibility (≤6 sentences)</w:t>
            </w:r>
          </w:p>
        </w:tc>
        <w:tc>
          <w:tcPr/>
          <w:p w:rsidR="00000000" w:rsidDel="00000000" w:rsidP="00000000" w:rsidRDefault="00000000" w:rsidRPr="00000000" w14:paraId="00000028">
            <w:pPr>
              <w:rPr/>
            </w:pPr>
            <w:r w:rsidDel="00000000" w:rsidR="00000000" w:rsidRPr="00000000">
              <w:rPr>
                <w:rtl w:val="0"/>
              </w:rPr>
              <w:t xml:space="preserve">Our research will utilize sEMG data collected from a multi-channel forearm band, targeting the brachioradialis and flexor muscle groups. We will implement a pattern recognition protocol using a supervised machine learning classifier (e.g., LDA or SVM) to categorize intent into discrete hand gestures. The search and screening process will involve benchmarking our classification accuracy against established open-source EMG datasets like Ninapro. Data synthesis will focus on correlating signal amplitude with the PWM duty cycle of the vibration motor to ensure proportional haptic feedback. We expect to produce a functional software pipeline and a hardware prototype demonstrating a closed-loop control system. Feasibility is high given the availability of low-cost Myo-style bands and Arduino-based haptic drivers.Outline data sources, search/screen protocol, analysis/synthesis approach, and expected artifacts.</w:t>
              <w:br w:type="textWrapping"/>
              <w:br w:type="textWrapping"/>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5) Milestones &amp; Timeline (short table/list)</w:t>
            </w:r>
          </w:p>
        </w:tc>
        <w:tc>
          <w:tcPr/>
          <w:p w:rsidR="00000000" w:rsidDel="00000000" w:rsidP="00000000" w:rsidRDefault="00000000" w:rsidRPr="00000000" w14:paraId="0000002A">
            <w:pPr>
              <w:rPr/>
            </w:pPr>
            <w:r w:rsidDel="00000000" w:rsidR="00000000" w:rsidRPr="00000000">
              <w:rPr>
                <w:rtl w:val="0"/>
              </w:rPr>
            </w:r>
          </w:p>
          <w:sdt>
            <w:sdtPr>
              <w:lock w:val="contentLocked"/>
              <w:id w:val="257144000"/>
              <w:tag w:val="goog_rdk_0"/>
            </w:sdtPr>
            <w:sdtContent>
              <w:tbl>
                <w:tblPr>
                  <w:tblStyle w:val="Table3"/>
                  <w:tblW w:w="47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2814.9999999999995"/>
                  <w:gridCol w:w="935.0000000000006"/>
                  <w:tblGridChange w:id="0">
                    <w:tblGrid>
                      <w:gridCol w:w="975"/>
                      <w:gridCol w:w="2814.9999999999995"/>
                      <w:gridCol w:w="935.00000000000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H/W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Collection &amp;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Close loop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 Test and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bl>
            </w:sdtContent>
          </w:sdt>
          <w:p w:rsidR="00000000" w:rsidDel="00000000" w:rsidP="00000000" w:rsidRDefault="00000000" w:rsidRPr="00000000" w14:paraId="0000003D">
            <w:pPr>
              <w:rPr/>
            </w:pPr>
            <w:r w:rsidDel="00000000" w:rsidR="00000000" w:rsidRPr="00000000">
              <w:rPr>
                <w:rtl w:val="0"/>
              </w:rPr>
              <w:br w:type="textWrapping"/>
              <w:br w:type="textWrapping"/>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6) Risks &amp; Ethics (1–2 sentences)</w:t>
            </w:r>
          </w:p>
        </w:tc>
        <w:tc>
          <w:tcPr/>
          <w:p w:rsidR="00000000" w:rsidDel="00000000" w:rsidP="00000000" w:rsidRDefault="00000000" w:rsidRPr="00000000" w14:paraId="0000003F">
            <w:pPr>
              <w:rPr/>
            </w:pPr>
            <w:r w:rsidDel="00000000" w:rsidR="00000000" w:rsidRPr="00000000">
              <w:rPr>
                <w:rtl w:val="0"/>
              </w:rPr>
              <w:t xml:space="preserve">We will ensure data privacy by anonymizing all sEMG recordings and obtaining informed consent from any subjects involved in testing. Potential feasibility</w:t>
            </w:r>
            <w:r w:rsidDel="00000000" w:rsidR="00000000" w:rsidRPr="00000000">
              <w:rPr>
                <w:b w:val="1"/>
                <w:bCs w:val="1"/>
                <w:rtl w:val="0"/>
              </w:rPr>
              <w:t xml:space="preserve"> </w:t>
            </w:r>
            <w:r w:rsidDel="00000000" w:rsidR="00000000" w:rsidRPr="00000000">
              <w:rPr>
                <w:rtl w:val="0"/>
              </w:rPr>
              <w:t xml:space="preserve">constraints include signal noise from skin impedance or electrode displacement, which we will mitigate through digital filtering and robust band placement.</w:t>
              <w:br w:type="textWrapping"/>
              <w:br w:type="textWrapping"/>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i w:val="1"/>
          <w:iCs w:val="1"/>
          <w:sz w:val="18"/>
          <w:szCs w:val="18"/>
          <w:rtl w:val="0"/>
        </w:rPr>
        <w:t xml:space="preserve">Phase 1 rubric (15%): Team &amp; GitHub (2%), On‑time (2%), Topic &amp; Proposal (5%) — Industrial Application, Problem+Outcomes, Feasibility+Timeline; Presentation (6%).</w:t>
      </w:r>
      <w:r w:rsidDel="00000000" w:rsidR="00000000" w:rsidRPr="00000000">
        <w:rPr>
          <w:rtl w:val="0"/>
        </w:rPr>
      </w:r>
    </w:p>
    <w:sectPr>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000000" w:space="0" w:sz="8" w:val="single"/>
          <w:left w:color="000000" w:space="0" w:sz="8" w:val="single"/>
          <w:bottom w:color="000000" w:space="0" w:sz="8" w:val="single"/>
          <w:right w:color="000000" w:space="0" w:sz="8" w:val="single"/>
          <w:insideV w:color="000000" w:space="0" w:sz="8" w:val="single"/>
        </w:tcBorders>
        <w:shd w:fill="c0c0c0" w:val="clear"/>
      </w:tcPr>
    </w:tblStylePr>
    <w:tblStylePr w:type="band1Vert">
      <w:tcPr>
        <w:tcBorders>
          <w:top w:color="000000" w:space="0" w:sz="8" w:val="single"/>
          <w:left w:color="000000" w:space="0" w:sz="8" w:val="single"/>
          <w:bottom w:color="000000" w:space="0" w:sz="8" w:val="single"/>
          <w:right w:color="000000" w:space="0" w:sz="8" w:val="single"/>
        </w:tcBorders>
        <w:shd w:fill="c0c0c0" w:val="clear"/>
      </w:tcPr>
    </w:tblStylePr>
    <w:tblStylePr w:type="band2Horz">
      <w:tcPr>
        <w:tcBorders>
          <w:top w:color="000000" w:space="0" w:sz="8" w:val="single"/>
          <w:left w:color="000000" w:space="0" w:sz="8" w:val="single"/>
          <w:bottom w:color="000000" w:space="0" w:sz="8" w:val="single"/>
          <w:right w:color="000000" w:space="0" w:sz="8" w:val="single"/>
          <w:insideV w:color="000000"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000000" w:space="0" w:sz="8" w:val="single"/>
          <w:left w:color="000000" w:space="0" w:sz="8" w:val="single"/>
          <w:bottom w:color="000000" w:space="0" w:sz="18" w:val="single"/>
          <w:right w:color="000000" w:space="0" w:sz="8" w:val="single"/>
          <w:insideH w:color="000000" w:space="0" w:sz="0" w:val="nil"/>
          <w:insideV w:color="000000" w:space="0" w:sz="8" w:val="single"/>
        </w:tcBorders>
      </w:tcPr>
    </w:tblStylePr>
    <w:tblStylePr w:type="lastCol">
      <w:rPr>
        <w:rFonts w:ascii="Calibri" w:cs="Calibri" w:eastAsia="Calibri" w:hAnsi="Calibri"/>
        <w:b w:val="1"/>
        <w:bCs w:val="1"/>
      </w:rPr>
      <w:tcPr>
        <w:tcBorders>
          <w:top w:color="000000" w:space="0" w:sz="8" w:val="single"/>
          <w:left w:color="000000" w:space="0" w:sz="8" w:val="single"/>
          <w:bottom w:color="000000" w:space="0" w:sz="8" w:val="single"/>
          <w:right w:color="000000" w:space="0" w:sz="8" w:val="single"/>
        </w:tcBorders>
      </w:tcPr>
    </w:tblStylePr>
    <w:tblStylePr w:type="lastRow">
      <w:pPr>
        <w:spacing w:after="0" w:before="0" w:line="240" w:lineRule="auto"/>
      </w:pPr>
      <w:rPr>
        <w:rFonts w:ascii="Calibri" w:cs="Calibri" w:eastAsia="Calibri" w:hAnsi="Calibri"/>
        <w:b w:val="1"/>
        <w:bCs w:val="1"/>
      </w:rPr>
      <w:tcPr>
        <w:tcBorders>
          <w:top w:color="000000" w:space="0" w:sz="6" w:val="single"/>
          <w:left w:color="000000" w:space="0" w:sz="8" w:val="single"/>
          <w:bottom w:color="000000" w:space="0" w:sz="8" w:val="single"/>
          <w:right w:color="000000" w:space="0" w:sz="8" w:val="single"/>
          <w:insideH w:color="000000" w:space="0" w:sz="0" w:val="nil"/>
          <w:insideV w:color="000000"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000000" w:space="0" w:sz="8" w:val="single"/>
          <w:left w:color="000000" w:space="0" w:sz="8" w:val="single"/>
          <w:bottom w:color="000000" w:space="0" w:sz="8" w:val="single"/>
          <w:right w:color="000000" w:space="0" w:sz="8" w:val="single"/>
          <w:insideV w:color="000000" w:space="0" w:sz="8" w:val="single"/>
        </w:tcBorders>
        <w:shd w:fill="c0c0c0" w:val="clear"/>
      </w:tcPr>
    </w:tblStylePr>
    <w:tblStylePr w:type="band1Vert">
      <w:tcPr>
        <w:tcBorders>
          <w:top w:color="000000" w:space="0" w:sz="8" w:val="single"/>
          <w:left w:color="000000" w:space="0" w:sz="8" w:val="single"/>
          <w:bottom w:color="000000" w:space="0" w:sz="8" w:val="single"/>
          <w:right w:color="000000" w:space="0" w:sz="8" w:val="single"/>
        </w:tcBorders>
        <w:shd w:fill="c0c0c0" w:val="clear"/>
      </w:tcPr>
    </w:tblStylePr>
    <w:tblStylePr w:type="band2Horz">
      <w:tcPr>
        <w:tcBorders>
          <w:top w:color="000000" w:space="0" w:sz="8" w:val="single"/>
          <w:left w:color="000000" w:space="0" w:sz="8" w:val="single"/>
          <w:bottom w:color="000000" w:space="0" w:sz="8" w:val="single"/>
          <w:right w:color="000000" w:space="0" w:sz="8" w:val="single"/>
          <w:insideV w:color="000000"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000000" w:space="0" w:sz="8" w:val="single"/>
          <w:left w:color="000000" w:space="0" w:sz="8" w:val="single"/>
          <w:bottom w:color="000000" w:space="0" w:sz="18" w:val="single"/>
          <w:right w:color="000000" w:space="0" w:sz="8" w:val="single"/>
          <w:insideH w:color="000000" w:space="0" w:sz="0" w:val="nil"/>
          <w:insideV w:color="000000" w:space="0" w:sz="8" w:val="single"/>
        </w:tcBorders>
      </w:tcPr>
    </w:tblStylePr>
    <w:tblStylePr w:type="lastCol">
      <w:rPr>
        <w:rFonts w:ascii="Calibri" w:cs="Calibri" w:eastAsia="Calibri" w:hAnsi="Calibri"/>
        <w:b w:val="1"/>
        <w:bCs w:val="1"/>
      </w:rPr>
      <w:tcPr>
        <w:tcBorders>
          <w:top w:color="000000" w:space="0" w:sz="8" w:val="single"/>
          <w:left w:color="000000" w:space="0" w:sz="8" w:val="single"/>
          <w:bottom w:color="000000" w:space="0" w:sz="8" w:val="single"/>
          <w:right w:color="000000" w:space="0" w:sz="8" w:val="single"/>
        </w:tcBorders>
      </w:tcPr>
    </w:tblStylePr>
    <w:tblStylePr w:type="lastRow">
      <w:pPr>
        <w:spacing w:after="0" w:before="0" w:line="240" w:lineRule="auto"/>
      </w:pPr>
      <w:rPr>
        <w:rFonts w:ascii="Calibri" w:cs="Calibri" w:eastAsia="Calibri" w:hAnsi="Calibri"/>
        <w:b w:val="1"/>
        <w:bCs w:val="1"/>
      </w:rPr>
      <w:tcPr>
        <w:tcBorders>
          <w:top w:color="000000" w:space="0" w:sz="6" w:val="single"/>
          <w:left w:color="000000" w:space="0" w:sz="8" w:val="single"/>
          <w:bottom w:color="000000" w:space="0" w:sz="8" w:val="single"/>
          <w:right w:color="000000" w:space="0" w:sz="8" w:val="single"/>
          <w:insideH w:color="000000" w:space="0" w:sz="0" w:val="nil"/>
          <w:insideV w:color="000000" w:space="0" w:sz="8" w:val="single"/>
        </w:tcBorders>
      </w:tcPr>
    </w:tblStyle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ieeexplore.ieee.org/document/8370547" TargetMode="External"/><Relationship Id="rId10" Type="http://schemas.openxmlformats.org/officeDocument/2006/relationships/hyperlink" Target="https://ieeexplore.ieee.org/ielx7/6287639/8600701/08672131.pdf?utm_source=consensus" TargetMode="External"/><Relationship Id="rId9" Type="http://schemas.openxmlformats.org/officeDocument/2006/relationships/hyperlink" Target="http://pressureprofile.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utkarsh.inamdar@stud.th-deg.de" TargetMode="External"/><Relationship Id="rId8" Type="http://schemas.openxmlformats.org/officeDocument/2006/relationships/hyperlink" Target="https://utkarsh-casestudy-gantt.atlassian.net/wiki/spaces/~7120208acc429d3c3b4deebb068ab1821c4621/pages/edit-v2/229470?draftShare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9643615cng1J9ibz+0XGzuabAA==">CgMxLjAaHgoBMBIZChcICVITChF0YWJsZS5oYmw3cnI3ZGNkZTgAciExb0xJem1OOU1IRzRGRlNSNzlaN2hfMk5FbVlETVAxa0E=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