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pPr>
      <w:r>
        <w:rPr>
          <w:rFonts w:ascii="Calibri" w:hAnsi="Calibri"/>
          <w:b/>
          <w:i w:val="0"/>
          <w:color w:val="2E74B5"/>
          <w:sz w:val="22"/>
        </w:rPr>
        <w:t>RELIABILITY LAB</w:t>
      </w:r>
    </w:p>
    <w:p>
      <w:pPr>
        <w:spacing w:after="120"/>
      </w:pPr>
      <w:r>
        <w:rPr>
          <w:rFonts w:ascii="Calibri" w:hAnsi="Calibri"/>
          <w:b/>
          <w:i w:val="0"/>
          <w:color w:val="0B2545"/>
          <w:sz w:val="56"/>
        </w:rPr>
        <w:t>Community Repository Audit</w:t>
      </w:r>
    </w:p>
    <w:p>
      <w:pPr>
        <w:spacing w:after="440"/>
      </w:pPr>
      <w:r>
        <w:rPr>
          <w:rFonts w:ascii="Calibri" w:hAnsi="Calibri"/>
          <w:b w:val="0"/>
          <w:i w:val="0"/>
          <w:color w:val="5B6573"/>
          <w:sz w:val="30"/>
        </w:rPr>
        <w:t>Free / Public Edition</w:t>
      </w:r>
    </w:p>
    <w:p>
      <w:pPr>
        <w:spacing w:after="60"/>
      </w:pPr>
      <w:r>
        <w:rPr>
          <w:rFonts w:ascii="Calibri" w:hAnsi="Calibri"/>
          <w:b/>
          <w:i w:val="0"/>
          <w:color w:val="0B2545"/>
          <w:sz w:val="21"/>
        </w:rPr>
        <w:t xml:space="preserve">Audit date: </w:t>
      </w:r>
      <w:r>
        <w:rPr>
          <w:rFonts w:ascii="Calibri" w:hAnsi="Calibri"/>
          <w:b w:val="0"/>
          <w:i w:val="0"/>
          <w:color w:val="111111"/>
          <w:sz w:val="21"/>
        </w:rPr>
        <w:t>July 22, 2026</w:t>
      </w:r>
    </w:p>
    <w:p>
      <w:pPr>
        <w:spacing w:after="60"/>
      </w:pPr>
      <w:r>
        <w:rPr>
          <w:rFonts w:ascii="Calibri" w:hAnsi="Calibri"/>
          <w:b/>
          <w:i w:val="0"/>
          <w:color w:val="0B2545"/>
          <w:sz w:val="21"/>
        </w:rPr>
        <w:t xml:space="preserve">Audited commit: </w:t>
      </w:r>
      <w:r>
        <w:rPr>
          <w:rFonts w:ascii="Calibri" w:hAnsi="Calibri"/>
          <w:b w:val="0"/>
          <w:i w:val="0"/>
          <w:color w:val="111111"/>
          <w:sz w:val="21"/>
        </w:rPr>
        <w:t>7dd4179 - Week 5 Day 2 provider metrics</w:t>
      </w:r>
    </w:p>
    <w:p>
      <w:pPr>
        <w:spacing w:after="60"/>
      </w:pPr>
      <w:r>
        <w:rPr>
          <w:rFonts w:ascii="Calibri" w:hAnsi="Calibri"/>
          <w:b/>
          <w:i w:val="0"/>
          <w:color w:val="0B2545"/>
          <w:sz w:val="21"/>
        </w:rPr>
        <w:t xml:space="preserve">Repository state: </w:t>
      </w:r>
      <w:r>
        <w:rPr>
          <w:rFonts w:ascii="Calibri" w:hAnsi="Calibri"/>
          <w:b w:val="0"/>
          <w:i w:val="0"/>
          <w:color w:val="111111"/>
          <w:sz w:val="21"/>
        </w:rPr>
        <w:t>Clean checkout; corresponding change merged to main through PR #24</w:t>
      </w:r>
    </w:p>
    <w:p>
      <w:pPr>
        <w:spacing w:after="60"/>
      </w:pPr>
      <w:r>
        <w:rPr>
          <w:rFonts w:ascii="Calibri" w:hAnsi="Calibri"/>
          <w:b/>
          <w:i w:val="0"/>
          <w:color w:val="0B2545"/>
          <w:sz w:val="21"/>
        </w:rPr>
        <w:t xml:space="preserve">Purpose: </w:t>
      </w:r>
      <w:r>
        <w:rPr>
          <w:rFonts w:ascii="Calibri" w:hAnsi="Calibri"/>
          <w:b w:val="0"/>
          <w:i w:val="0"/>
          <w:color w:val="111111"/>
          <w:sz w:val="21"/>
        </w:rPr>
        <w:t>Establish a verified Community baseline for later comparison with Reliability Pro</w:t>
      </w:r>
    </w:p>
    <w:p>
      <w:pPr>
        <w:spacing w:after="240"/>
      </w:pPr>
    </w:p>
    <w:p>
      <w:pPr>
        <w:spacing w:before="80" w:after="200" w:line="264" w:lineRule="auto"/>
        <w:ind w:left="216" w:right="216"/>
        <w:shd w:fill="E8EEF5"/>
      </w:pPr>
      <w:r>
        <w:rPr>
          <w:rFonts w:ascii="Calibri" w:hAnsi="Calibri"/>
          <w:b/>
          <w:i w:val="0"/>
          <w:color w:val="0B2545"/>
          <w:sz w:val="22"/>
        </w:rPr>
        <w:t xml:space="preserve">Executive verdict: </w:t>
      </w:r>
      <w:r>
        <w:rPr>
          <w:rFonts w:ascii="Calibri" w:hAnsi="Calibri"/>
          <w:b w:val="0"/>
          <w:i w:val="0"/>
          <w:color w:val="111111"/>
          <w:sz w:val="22"/>
        </w:rPr>
        <w:t>Reliability Lab is ready to be a credible public learning lab after a short boundary-hardening pass. It is not yet a reusable Community evaluation framework, and it should not be exposed beyond a trusted laptop without changes.</w:t>
      </w:r>
    </w:p>
    <w:p>
      <w:pPr>
        <w:spacing w:after="120" w:line="264" w:lineRule="auto"/>
      </w:pPr>
      <w:r>
        <w:rPr>
          <w:rFonts w:ascii="Calibri" w:hAnsi="Calibri"/>
          <w:b w:val="0"/>
          <w:i w:val="0"/>
          <w:color w:val="111111"/>
          <w:sz w:val="22"/>
        </w:rPr>
        <w:t>No critical vulnerability was identified within the stated local-only threat model. Two high-priority issues should be fixed before broad public promotion: bind Compose services to loopback and remove the caller-controlled metrics fetch destination.</w:t>
      </w:r>
    </w:p>
    <w:p>
      <w:r>
        <w:br w:type="page"/>
      </w:r>
    </w:p>
    <w:p>
      <w:pPr>
        <w:pStyle w:val="Heading1"/>
        <w:keepNext/>
      </w:pPr>
      <w:r>
        <w:t>1. Executive Summary</w:t>
      </w:r>
    </w:p>
    <w:p>
      <w:pPr>
        <w:spacing w:after="120" w:line="264" w:lineRule="auto"/>
      </w:pPr>
      <w:r>
        <w:rPr>
          <w:rFonts w:ascii="Calibri" w:hAnsi="Calibri"/>
          <w:b w:val="0"/>
          <w:i w:val="0"/>
          <w:color w:val="111111"/>
          <w:sz w:val="22"/>
        </w:rPr>
        <w:t>Reliability Lab succeeds at its intended job: it teaches AI infrastructure by starting with familiar operational concepts and adding model access, evaluation, security, cost, containers, and Kubernetes progressively. The code is intentionally small, the documentation is unusually candid, and the deterministic path allows every learner to complete the core workflow without credentials or GPUs.</w:t>
      </w:r>
    </w:p>
    <w:p>
      <w:pPr>
        <w:spacing w:after="120" w:line="264" w:lineRule="auto"/>
      </w:pPr>
      <w:r>
        <w:rPr>
          <w:rFonts w:ascii="Calibri" w:hAnsi="Calibri"/>
          <w:b w:val="0"/>
          <w:i w:val="0"/>
          <w:color w:val="111111"/>
          <w:sz w:val="22"/>
        </w:rPr>
        <w:t>The repository's primary risk is boundary drift. Documentation repeatedly says local-only, but Docker publishes the unauthenticated APIs on every host interface and the assistant accepts an arbitrary metrics URL. The repository also describes a future governance direction that is not yet represented by reusable evaluation schemas, portable reports, a policy format, or a generic runner.</w:t>
      </w:r>
    </w:p>
    <w:p>
      <w:pPr>
        <w:spacing w:before="80" w:after="200" w:line="264" w:lineRule="auto"/>
        <w:ind w:left="216" w:right="216"/>
        <w:shd w:fill="F4F6F9"/>
      </w:pPr>
      <w:r>
        <w:rPr>
          <w:rFonts w:ascii="Calibri" w:hAnsi="Calibri"/>
          <w:b/>
          <w:i w:val="0"/>
          <w:color w:val="0B2545"/>
          <w:sz w:val="22"/>
        </w:rPr>
        <w:t xml:space="preserve">Community positioning: </w:t>
      </w:r>
      <w:r>
        <w:rPr>
          <w:rFonts w:ascii="Calibri" w:hAnsi="Calibri"/>
          <w:b w:val="0"/>
          <w:i w:val="0"/>
          <w:color w:val="111111"/>
          <w:sz w:val="22"/>
        </w:rPr>
        <w:t>A guided reference application for learning evidence-grounded AI operations, safety boundaries, evaluation basics, observability, and infrastructure progression.</w:t>
      </w:r>
    </w:p>
    <w:p>
      <w:pPr>
        <w:pStyle w:val="Heading1"/>
        <w:keepNext/>
      </w:pPr>
      <w:r>
        <w:t>2. Audit Scope and Method</w:t>
      </w:r>
    </w:p>
    <w:p>
      <w:pPr>
        <w:spacing w:after="120" w:line="264" w:lineRule="auto"/>
      </w:pPr>
      <w:r>
        <w:rPr>
          <w:rFonts w:ascii="Calibri" w:hAnsi="Calibri"/>
          <w:b w:val="0"/>
          <w:i w:val="0"/>
          <w:color w:val="111111"/>
          <w:sz w:val="22"/>
        </w:rPr>
        <w:t>The audit covered the current repository as a standalone Community product, not as a production platform. No repository files were modified other than creation of this report.</w:t>
      </w:r>
    </w:p>
    <w:p>
      <w:pPr>
        <w:numPr>
          <w:ilvl w:val="0"/>
          <w:numId w:val="41"/>
        </w:numPr>
        <w:spacing w:after="160" w:line="280" w:lineRule="auto"/>
      </w:pPr>
      <w:r>
        <w:rPr>
          <w:rFonts w:ascii="Calibri" w:hAnsi="Calibri"/>
          <w:b w:val="0"/>
          <w:i w:val="0"/>
          <w:color w:val="111111"/>
          <w:sz w:val="22"/>
        </w:rPr>
        <w:t>Repository structure, git state, configuration, dependencies, scripts, containers, Kubernetes manifests, license, contribution policy, and security policy.</w:t>
      </w:r>
    </w:p>
    <w:p>
      <w:pPr>
        <w:numPr>
          <w:ilvl w:val="0"/>
          <w:numId w:val="41"/>
        </w:numPr>
        <w:spacing w:after="160" w:line="280" w:lineRule="auto"/>
      </w:pPr>
      <w:r>
        <w:rPr>
          <w:rFonts w:ascii="Calibri" w:hAnsi="Calibri"/>
          <w:b w:val="0"/>
          <w:i w:val="0"/>
          <w:color w:val="111111"/>
          <w:sz w:val="22"/>
        </w:rPr>
        <w:t>Both FastAPI applications, deterministic analyzers, readers, redaction boundary, provider client, provider metrics, CLI, and evaluation runner.</w:t>
      </w:r>
    </w:p>
    <w:p>
      <w:pPr>
        <w:numPr>
          <w:ilvl w:val="0"/>
          <w:numId w:val="41"/>
        </w:numPr>
        <w:spacing w:after="160" w:line="280" w:lineRule="auto"/>
      </w:pPr>
      <w:r>
        <w:rPr>
          <w:rFonts w:ascii="Calibri" w:hAnsi="Calibri"/>
          <w:b w:val="0"/>
          <w:i w:val="0"/>
          <w:color w:val="111111"/>
          <w:sz w:val="22"/>
        </w:rPr>
        <w:t>Tests, lint, tracked-file credential patterns, Markdown links, documentation consistency, and roadmap claims.</w:t>
      </w:r>
    </w:p>
    <w:p>
      <w:pPr>
        <w:numPr>
          <w:ilvl w:val="0"/>
          <w:numId w:val="41"/>
        </w:numPr>
        <w:spacing w:after="160" w:line="280" w:lineRule="auto"/>
      </w:pPr>
      <w:r>
        <w:rPr>
          <w:rFonts w:ascii="Calibri" w:hAnsi="Calibri"/>
          <w:b w:val="0"/>
          <w:i w:val="0"/>
          <w:color w:val="111111"/>
          <w:sz w:val="22"/>
        </w:rPr>
        <w:t>Security, privacy, observability, reproducibility, deployment, learning experience, and Community/Pro product separation.</w:t>
      </w:r>
    </w:p>
    <w:p>
      <w:pPr>
        <w:spacing w:after="120" w:line="264" w:lineRule="auto"/>
      </w:pPr>
      <w:r>
        <w:rPr>
          <w:rFonts w:ascii="Calibri" w:hAnsi="Calibri"/>
          <w:b w:val="0"/>
          <w:i w:val="0"/>
          <w:color w:val="111111"/>
          <w:sz w:val="22"/>
        </w:rPr>
        <w:t>The audit did not perform a live package-vulnerability scan against a lock file because no deterministic dependency lock exists. It also did not run a kind cluster or a complete Docker Compose smoke test.</w:t>
      </w:r>
    </w:p>
    <w:p>
      <w:pPr>
        <w:pStyle w:val="Heading1"/>
        <w:keepNext/>
      </w:pPr>
      <w:r>
        <w:t>3. Scorecard</w:t>
      </w:r>
    </w:p>
    <w:tbl>
      <w:tblPr>
        <w:tblStyle w:val="TableGrid"/>
        <w:tblW w:type="dxa" w:w="9360"/>
        <w:tblLayout w:type="fixed"/>
        <w:tblLook w:firstColumn="1" w:firstRow="1" w:lastColumn="0" w:lastRow="0" w:noHBand="0" w:noVBand="1" w:val="04A0"/>
        <w:tblInd w:w="120" w:type="dxa"/>
      </w:tblPr>
      <w:tblGrid>
        <w:gridCol w:w="2200"/>
        <w:gridCol w:w="1700"/>
        <w:gridCol w:w="5460"/>
      </w:tblGrid>
      <w:tr>
        <w:trPr>
          <w:tblHeader w:val="true"/>
        </w:trPr>
        <w:tc>
          <w:tcPr>
            <w:tcW w:type="dxa" w:w="2200"/>
            <w:tcMar>
              <w:top w:w="80" w:type="dxa"/>
              <w:bottom w:w="80" w:type="dxa"/>
              <w:start w:w="120" w:type="dxa"/>
              <w:end w:w="120" w:type="dxa"/>
            </w:tcMar>
            <w:vAlign w:val="center"/>
            <w:shd w:fill="F2F4F7"/>
          </w:tcPr>
          <w:p>
            <w:pPr>
              <w:spacing w:after="0"/>
            </w:pPr>
            <w:r>
              <w:rPr>
                <w:rFonts w:ascii="Calibri" w:hAnsi="Calibri"/>
                <w:b/>
                <w:i w:val="0"/>
                <w:color w:val="0B2545"/>
                <w:sz w:val="19"/>
              </w:rPr>
              <w:t>Area</w:t>
            </w:r>
          </w:p>
        </w:tc>
        <w:tc>
          <w:tcPr>
            <w:tcW w:type="dxa" w:w="1700"/>
            <w:tcMar>
              <w:top w:w="80" w:type="dxa"/>
              <w:bottom w:w="80" w:type="dxa"/>
              <w:start w:w="120" w:type="dxa"/>
              <w:end w:w="120" w:type="dxa"/>
            </w:tcMar>
            <w:vAlign w:val="center"/>
            <w:shd w:fill="F2F4F7"/>
          </w:tcPr>
          <w:p>
            <w:pPr>
              <w:spacing w:after="0"/>
            </w:pPr>
            <w:r>
              <w:rPr>
                <w:rFonts w:ascii="Calibri" w:hAnsi="Calibri"/>
                <w:b/>
                <w:i w:val="0"/>
                <w:color w:val="0B2545"/>
                <w:sz w:val="19"/>
              </w:rPr>
              <w:t>Assessment</w:t>
            </w:r>
          </w:p>
        </w:tc>
        <w:tc>
          <w:tcPr>
            <w:tcW w:type="dxa" w:w="5460"/>
            <w:tcMar>
              <w:top w:w="80" w:type="dxa"/>
              <w:bottom w:w="80" w:type="dxa"/>
              <w:start w:w="120" w:type="dxa"/>
              <w:end w:w="120" w:type="dxa"/>
            </w:tcMar>
            <w:vAlign w:val="center"/>
            <w:shd w:fill="F2F4F7"/>
          </w:tcPr>
          <w:p>
            <w:pPr>
              <w:spacing w:after="0"/>
            </w:pPr>
            <w:r>
              <w:rPr>
                <w:rFonts w:ascii="Calibri" w:hAnsi="Calibri"/>
                <w:b/>
                <w:i w:val="0"/>
                <w:color w:val="0B2545"/>
                <w:sz w:val="19"/>
              </w:rPr>
              <w:t>Summary</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Learning architecture</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Strong</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Small two-service system with a gradual learning path.</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Functional implementation</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Good</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Core log, metrics, analysis, redaction, and provider paths are implemented.</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Tests and lint</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Good</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34 tests pass and both service trees pass Ruff.</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Evaluation maturity</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Early</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Seven deterministic cases; no provider or stochastic evaluation yet.</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Local security</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Needs fixes</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Strong redaction, but network exposure and SSRF weaken the local boundary.</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Production security</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Absent by design</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No auth, RBAC, rate limits, audit, durable policy, or tenant isolation.</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Observability</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Good for teaching</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Structured logs, request IDs, and Prometheus-style metrics.</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Reproducibility</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Needs work</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Wide dependency ranges, mutable images, and no constraints or lock files.</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Docker / Kubernetes</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Educational</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Appropriate concepts but not hardened or fully runtime-verified.</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Documentation</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Strong with drift</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Excellent explanations with several stale names and commands.</w:t>
            </w:r>
          </w:p>
        </w:tc>
      </w:tr>
      <w:tr>
        <w:tc>
          <w:tcPr>
            <w:tcW w:type="dxa" w:w="2200"/>
            <w:tcMar>
              <w:top w:w="80" w:type="dxa"/>
              <w:bottom w:w="80" w:type="dxa"/>
              <w:start w:w="120" w:type="dxa"/>
              <w:end w:w="120" w:type="dxa"/>
            </w:tcMar>
            <w:vAlign w:val="center"/>
          </w:tcPr>
          <w:p>
            <w:pPr>
              <w:spacing w:after="0" w:line="252" w:lineRule="auto"/>
            </w:pPr>
            <w:r>
              <w:rPr>
                <w:rFonts w:ascii="Calibri" w:hAnsi="Calibri"/>
                <w:b w:val="0"/>
                <w:i w:val="0"/>
                <w:color w:val="111111"/>
                <w:sz w:val="18"/>
              </w:rPr>
              <w:t>Community / Pro split</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Clear in prose</w:t>
            </w:r>
          </w:p>
        </w:tc>
        <w:tc>
          <w:tcPr>
            <w:tcW w:type="dxa" w:w="5460"/>
            <w:tcMar>
              <w:top w:w="80" w:type="dxa"/>
              <w:bottom w:w="80" w:type="dxa"/>
              <w:start w:w="120" w:type="dxa"/>
              <w:end w:w="120" w:type="dxa"/>
            </w:tcMar>
            <w:vAlign w:val="center"/>
          </w:tcPr>
          <w:p>
            <w:pPr>
              <w:spacing w:after="0" w:line="252" w:lineRule="auto"/>
            </w:pPr>
            <w:r>
              <w:rPr>
                <w:rFonts w:ascii="Calibri" w:hAnsi="Calibri"/>
                <w:b w:val="0"/>
                <w:i w:val="0"/>
                <w:color w:val="111111"/>
                <w:sz w:val="18"/>
              </w:rPr>
              <w:t>Not yet encoded in stable schemas or reusable interfaces.</w:t>
            </w:r>
          </w:p>
        </w:tc>
      </w:tr>
    </w:tbl>
    <w:p>
      <w:pPr>
        <w:pStyle w:val="Heading1"/>
        <w:keepNext/>
      </w:pPr>
      <w:r>
        <w:t>4. Verified Feature Inventory</w:t>
      </w:r>
    </w:p>
    <w:p>
      <w:pPr>
        <w:pStyle w:val="Heading2"/>
        <w:keepNext/>
      </w:pPr>
      <w:r>
        <w:t>4.1 Demo service</w:t>
      </w:r>
    </w:p>
    <w:p>
      <w:pPr>
        <w:numPr>
          <w:ilvl w:val="0"/>
          <w:numId w:val="41"/>
        </w:numPr>
        <w:spacing w:after="160" w:line="280" w:lineRule="auto"/>
      </w:pPr>
      <w:r>
        <w:rPr>
          <w:rFonts w:ascii="Calibri" w:hAnsi="Calibri"/>
          <w:b w:val="0"/>
          <w:i w:val="0"/>
          <w:color w:val="111111"/>
          <w:sz w:val="22"/>
        </w:rPr>
        <w:t>Health and nominal readiness endpoints.</w:t>
      </w:r>
    </w:p>
    <w:p>
      <w:pPr>
        <w:numPr>
          <w:ilvl w:val="0"/>
          <w:numId w:val="41"/>
        </w:numPr>
        <w:spacing w:after="160" w:line="280" w:lineRule="auto"/>
      </w:pPr>
      <w:r>
        <w:rPr>
          <w:rFonts w:ascii="Calibri" w:hAnsi="Calibri"/>
          <w:b w:val="0"/>
          <w:i w:val="0"/>
          <w:color w:val="111111"/>
          <w:sz w:val="22"/>
        </w:rPr>
        <w:t>In-memory order API and intentional error, latency, memory-pressure, and log-event simulations.</w:t>
      </w:r>
    </w:p>
    <w:p>
      <w:pPr>
        <w:numPr>
          <w:ilvl w:val="0"/>
          <w:numId w:val="41"/>
        </w:numPr>
        <w:spacing w:after="160" w:line="280" w:lineRule="auto"/>
      </w:pPr>
      <w:r>
        <w:rPr>
          <w:rFonts w:ascii="Calibri" w:hAnsi="Calibri"/>
          <w:b w:val="0"/>
          <w:i w:val="0"/>
          <w:color w:val="111111"/>
          <w:sz w:val="22"/>
        </w:rPr>
        <w:t>Structured JSON file and stdout logging with request-ID propagation.</w:t>
      </w:r>
    </w:p>
    <w:p>
      <w:pPr>
        <w:numPr>
          <w:ilvl w:val="0"/>
          <w:numId w:val="41"/>
        </w:numPr>
        <w:spacing w:after="160" w:line="280" w:lineRule="auto"/>
      </w:pPr>
      <w:r>
        <w:rPr>
          <w:rFonts w:ascii="Calibri" w:hAnsi="Calibri"/>
          <w:b w:val="0"/>
          <w:i w:val="0"/>
          <w:color w:val="111111"/>
          <w:sz w:val="22"/>
        </w:rPr>
        <w:t>Prometheus-style request, latency, and simulation metrics.</w:t>
      </w:r>
    </w:p>
    <w:p>
      <w:pPr>
        <w:numPr>
          <w:ilvl w:val="0"/>
          <w:numId w:val="41"/>
        </w:numPr>
        <w:spacing w:after="160" w:line="280" w:lineRule="auto"/>
      </w:pPr>
      <w:r>
        <w:rPr>
          <w:rFonts w:ascii="Calibri" w:hAnsi="Calibri"/>
          <w:b w:val="0"/>
          <w:i w:val="0"/>
          <w:color w:val="111111"/>
          <w:sz w:val="22"/>
        </w:rPr>
        <w:t>Normalization of known dynamic order paths into stable route templates.</w:t>
      </w:r>
    </w:p>
    <w:p>
      <w:pPr>
        <w:pStyle w:val="Heading2"/>
        <w:keepNext/>
      </w:pPr>
      <w:r>
        <w:t>4.2 AI SRE Assistant</w:t>
      </w:r>
    </w:p>
    <w:p>
      <w:pPr>
        <w:numPr>
          <w:ilvl w:val="0"/>
          <w:numId w:val="41"/>
        </w:numPr>
        <w:spacing w:after="160" w:line="280" w:lineRule="auto"/>
      </w:pPr>
      <w:r>
        <w:rPr>
          <w:rFonts w:ascii="Calibri" w:hAnsi="Calibri"/>
          <w:b w:val="0"/>
          <w:i w:val="0"/>
          <w:color w:val="111111"/>
          <w:sz w:val="22"/>
        </w:rPr>
        <w:t>Log analysis, metrics analysis, operational questions, and combined incident summaries.</w:t>
      </w:r>
    </w:p>
    <w:p>
      <w:pPr>
        <w:numPr>
          <w:ilvl w:val="0"/>
          <w:numId w:val="41"/>
        </w:numPr>
        <w:spacing w:after="160" w:line="280" w:lineRule="auto"/>
      </w:pPr>
      <w:r>
        <w:rPr>
          <w:rFonts w:ascii="Calibri" w:hAnsi="Calibri"/>
          <w:b w:val="0"/>
          <w:i w:val="0"/>
          <w:color w:val="111111"/>
          <w:sz w:val="22"/>
        </w:rPr>
        <w:t>Deterministic fallback plus optional OpenAI-compatible and Ollama enrichment.</w:t>
      </w:r>
    </w:p>
    <w:p>
      <w:pPr>
        <w:numPr>
          <w:ilvl w:val="0"/>
          <w:numId w:val="41"/>
        </w:numPr>
        <w:spacing w:after="160" w:line="280" w:lineRule="auto"/>
      </w:pPr>
      <w:r>
        <w:rPr>
          <w:rFonts w:ascii="Calibri" w:hAnsi="Calibri"/>
          <w:b w:val="0"/>
          <w:i w:val="0"/>
          <w:color w:val="111111"/>
          <w:sz w:val="22"/>
        </w:rPr>
        <w:t>Prompt and log-window cost controls.</w:t>
      </w:r>
    </w:p>
    <w:p>
      <w:pPr>
        <w:numPr>
          <w:ilvl w:val="0"/>
          <w:numId w:val="41"/>
        </w:numPr>
        <w:spacing w:after="160" w:line="280" w:lineRule="auto"/>
      </w:pPr>
      <w:r>
        <w:rPr>
          <w:rFonts w:ascii="Calibri" w:hAnsi="Calibri"/>
          <w:b w:val="0"/>
          <w:i w:val="0"/>
          <w:color w:val="111111"/>
          <w:sz w:val="22"/>
        </w:rPr>
        <w:t>Provider outcome, latency, fallback, and token telemetry.</w:t>
      </w:r>
    </w:p>
    <w:p>
      <w:pPr>
        <w:numPr>
          <w:ilvl w:val="0"/>
          <w:numId w:val="41"/>
        </w:numPr>
        <w:spacing w:after="160" w:line="280" w:lineRule="auto"/>
      </w:pPr>
      <w:r>
        <w:rPr>
          <w:rFonts w:ascii="Calibri" w:hAnsi="Calibri"/>
          <w:b w:val="0"/>
          <w:i w:val="0"/>
          <w:color w:val="111111"/>
          <w:sz w:val="22"/>
        </w:rPr>
        <w:t>Nested-field and free-text credential redaction.</w:t>
      </w:r>
    </w:p>
    <w:p>
      <w:pPr>
        <w:numPr>
          <w:ilvl w:val="0"/>
          <w:numId w:val="41"/>
        </w:numPr>
        <w:spacing w:after="160" w:line="280" w:lineRule="auto"/>
      </w:pPr>
      <w:r>
        <w:rPr>
          <w:rFonts w:ascii="Calibri" w:hAnsi="Calibri"/>
          <w:b w:val="0"/>
          <w:i w:val="0"/>
          <w:color w:val="111111"/>
          <w:sz w:val="22"/>
        </w:rPr>
        <w:t>HTTP API and human-readable CLI output.</w:t>
      </w:r>
    </w:p>
    <w:p>
      <w:pPr>
        <w:pStyle w:val="Heading2"/>
        <w:keepNext/>
      </w:pPr>
      <w:r>
        <w:t>4.3 Evaluation and infrastructure</w:t>
      </w:r>
    </w:p>
    <w:p>
      <w:pPr>
        <w:numPr>
          <w:ilvl w:val="0"/>
          <w:numId w:val="41"/>
        </w:numPr>
        <w:spacing w:after="160" w:line="280" w:lineRule="auto"/>
      </w:pPr>
      <w:r>
        <w:rPr>
          <w:rFonts w:ascii="Calibri" w:hAnsi="Calibri"/>
          <w:b w:val="0"/>
          <w:i w:val="0"/>
          <w:color w:val="111111"/>
          <w:sz w:val="22"/>
        </w:rPr>
        <w:t>Seven deterministic incident cases with grounded, useful, safe, private, and honest checks.</w:t>
      </w:r>
    </w:p>
    <w:p>
      <w:pPr>
        <w:numPr>
          <w:ilvl w:val="0"/>
          <w:numId w:val="41"/>
        </w:numPr>
        <w:spacing w:after="160" w:line="280" w:lineRule="auto"/>
      </w:pPr>
      <w:r>
        <w:rPr>
          <w:rFonts w:ascii="Calibri" w:hAnsi="Calibri"/>
          <w:b w:val="0"/>
          <w:i w:val="0"/>
          <w:color w:val="111111"/>
          <w:sz w:val="22"/>
        </w:rPr>
        <w:t>Hard pass/fail behavior integrated with pytest and CI.</w:t>
      </w:r>
    </w:p>
    <w:p>
      <w:pPr>
        <w:numPr>
          <w:ilvl w:val="0"/>
          <w:numId w:val="41"/>
        </w:numPr>
        <w:spacing w:after="160" w:line="280" w:lineRule="auto"/>
      </w:pPr>
      <w:r>
        <w:rPr>
          <w:rFonts w:ascii="Calibri" w:hAnsi="Calibri"/>
          <w:b w:val="0"/>
          <w:i w:val="0"/>
          <w:color w:val="111111"/>
          <w:sz w:val="22"/>
        </w:rPr>
        <w:t>Docker Compose quickstart and two container images.</w:t>
      </w:r>
    </w:p>
    <w:p>
      <w:pPr>
        <w:numPr>
          <w:ilvl w:val="0"/>
          <w:numId w:val="41"/>
        </w:numPr>
        <w:spacing w:after="160" w:line="280" w:lineRule="auto"/>
      </w:pPr>
      <w:r>
        <w:rPr>
          <w:rFonts w:ascii="Calibri" w:hAnsi="Calibri"/>
          <w:b w:val="0"/>
          <w:i w:val="0"/>
          <w:color w:val="111111"/>
          <w:sz w:val="22"/>
        </w:rPr>
        <w:t>kind-oriented Kubernetes examples for Deployments, Services, ConfigMap, Secret, PVC, probes, and resource requests/limits.</w:t>
      </w:r>
    </w:p>
    <w:p>
      <w:pPr>
        <w:numPr>
          <w:ilvl w:val="0"/>
          <w:numId w:val="41"/>
        </w:numPr>
        <w:spacing w:after="160" w:line="280" w:lineRule="auto"/>
      </w:pPr>
      <w:r>
        <w:rPr>
          <w:rFonts w:ascii="Calibri" w:hAnsi="Calibri"/>
          <w:b w:val="0"/>
          <w:i w:val="0"/>
          <w:color w:val="111111"/>
          <w:sz w:val="22"/>
        </w:rPr>
        <w:t>Twenty-eight Markdown documents, three incident walkthroughs, MIT license, contribution guide, and security policy.</w:t>
      </w:r>
    </w:p>
    <w:p>
      <w:pPr>
        <w:pStyle w:val="Heading1"/>
        <w:keepNext/>
      </w:pPr>
      <w:r>
        <w:t>5. Validation Evidence</w:t>
      </w:r>
    </w:p>
    <w:tbl>
      <w:tblPr>
        <w:tblStyle w:val="TableGrid"/>
        <w:tblW w:type="dxa" w:w="9360"/>
        <w:tblLayout w:type="fixed"/>
        <w:tblLook w:firstColumn="1" w:firstRow="1" w:lastColumn="0" w:lastRow="0" w:noHBand="0" w:noVBand="1" w:val="04A0"/>
        <w:tblInd w:w="120" w:type="dxa"/>
      </w:tblPr>
      <w:tblGrid>
        <w:gridCol w:w="2550"/>
        <w:gridCol w:w="1700"/>
        <w:gridCol w:w="5110"/>
      </w:tblGrid>
      <w:tr>
        <w:trPr>
          <w:tblHeader w:val="true"/>
        </w:trPr>
        <w:tc>
          <w:tcPr>
            <w:tcW w:type="dxa" w:w="2550"/>
            <w:tcMar>
              <w:top w:w="80" w:type="dxa"/>
              <w:bottom w:w="80" w:type="dxa"/>
              <w:start w:w="120" w:type="dxa"/>
              <w:end w:w="120" w:type="dxa"/>
            </w:tcMar>
            <w:vAlign w:val="center"/>
            <w:shd w:fill="F2F4F7"/>
          </w:tcPr>
          <w:p>
            <w:pPr>
              <w:spacing w:after="0"/>
            </w:pPr>
            <w:r>
              <w:rPr>
                <w:rFonts w:ascii="Calibri" w:hAnsi="Calibri"/>
                <w:b/>
                <w:i w:val="0"/>
                <w:color w:val="0B2545"/>
                <w:sz w:val="19"/>
              </w:rPr>
              <w:t>Check</w:t>
            </w:r>
          </w:p>
        </w:tc>
        <w:tc>
          <w:tcPr>
            <w:tcW w:type="dxa" w:w="1700"/>
            <w:tcMar>
              <w:top w:w="80" w:type="dxa"/>
              <w:bottom w:w="80" w:type="dxa"/>
              <w:start w:w="120" w:type="dxa"/>
              <w:end w:w="120" w:type="dxa"/>
            </w:tcMar>
            <w:vAlign w:val="center"/>
            <w:shd w:fill="F2F4F7"/>
          </w:tcPr>
          <w:p>
            <w:pPr>
              <w:spacing w:after="0"/>
            </w:pPr>
            <w:r>
              <w:rPr>
                <w:rFonts w:ascii="Calibri" w:hAnsi="Calibri"/>
                <w:b/>
                <w:i w:val="0"/>
                <w:color w:val="0B2545"/>
                <w:sz w:val="19"/>
              </w:rPr>
              <w:t>Result</w:t>
            </w:r>
          </w:p>
        </w:tc>
        <w:tc>
          <w:tcPr>
            <w:tcW w:type="dxa" w:w="5110"/>
            <w:tcMar>
              <w:top w:w="80" w:type="dxa"/>
              <w:bottom w:w="80" w:type="dxa"/>
              <w:start w:w="120" w:type="dxa"/>
              <w:end w:w="120" w:type="dxa"/>
            </w:tcMar>
            <w:vAlign w:val="center"/>
            <w:shd w:fill="F2F4F7"/>
          </w:tcPr>
          <w:p>
            <w:pPr>
              <w:spacing w:after="0"/>
            </w:pPr>
            <w:r>
              <w:rPr>
                <w:rFonts w:ascii="Calibri" w:hAnsi="Calibri"/>
                <w:b/>
                <w:i w:val="0"/>
                <w:color w:val="0B2545"/>
                <w:sz w:val="19"/>
              </w:rPr>
              <w:t>Evidence / limitation</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Demo-service pytest</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6 tests</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Assistant pytest</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28 tests</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Demo-service Ruff</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All checks passed</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Assistant Ruff</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All checks passed with cache disabled after one runner timeout</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Evaluation cases</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Exercised through parametrized pytest coverage</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Relative Markdown links</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No broken relative links found</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Tracked-file credential patterns</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 with expected fixtures</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Only intentional fake test credentials matched</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Python dependency consistency</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Passed locally</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pip check reported no broken requirements</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Docker Compose runtime</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Not verified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Execution wrapper did not complete</w:t>
            </w:r>
          </w:p>
        </w:tc>
      </w:tr>
      <w:tr>
        <w:tc>
          <w:tcPr>
            <w:tcW w:type="dxa" w:w="2550"/>
            <w:tcMar>
              <w:top w:w="80" w:type="dxa"/>
              <w:bottom w:w="80" w:type="dxa"/>
              <w:start w:w="120" w:type="dxa"/>
              <w:end w:w="120" w:type="dxa"/>
            </w:tcMar>
            <w:vAlign w:val="center"/>
          </w:tcPr>
          <w:p>
            <w:pPr>
              <w:spacing w:after="0" w:line="252" w:lineRule="auto"/>
            </w:pPr>
            <w:r>
              <w:rPr>
                <w:rFonts w:ascii="Calibri" w:hAnsi="Calibri"/>
                <w:b w:val="0"/>
                <w:i w:val="0"/>
                <w:color w:val="111111"/>
                <w:sz w:val="18"/>
              </w:rPr>
              <w:t>Kubernetes runtime</w:t>
            </w:r>
          </w:p>
        </w:tc>
        <w:tc>
          <w:tcPr>
            <w:tcW w:type="dxa" w:w="1700"/>
            <w:tcMar>
              <w:top w:w="80" w:type="dxa"/>
              <w:bottom w:w="80" w:type="dxa"/>
              <w:start w:w="120" w:type="dxa"/>
              <w:end w:w="120" w:type="dxa"/>
            </w:tcMar>
            <w:vAlign w:val="center"/>
          </w:tcPr>
          <w:p>
            <w:pPr>
              <w:spacing w:after="0" w:line="252" w:lineRule="auto"/>
            </w:pPr>
            <w:r>
              <w:rPr>
                <w:rFonts w:ascii="Calibri" w:hAnsi="Calibri"/>
                <w:b w:val="0"/>
                <w:i w:val="0"/>
                <w:color w:val="111111"/>
                <w:sz w:val="18"/>
              </w:rPr>
              <w:t>Not verified</w:t>
            </w:r>
          </w:p>
        </w:tc>
        <w:tc>
          <w:tcPr>
            <w:tcW w:type="dxa" w:w="5110"/>
            <w:tcMar>
              <w:top w:w="80" w:type="dxa"/>
              <w:bottom w:w="80" w:type="dxa"/>
              <w:start w:w="120" w:type="dxa"/>
              <w:end w:w="120" w:type="dxa"/>
            </w:tcMar>
            <w:vAlign w:val="center"/>
          </w:tcPr>
          <w:p>
            <w:pPr>
              <w:spacing w:after="0" w:line="252" w:lineRule="auto"/>
            </w:pPr>
            <w:r>
              <w:rPr>
                <w:rFonts w:ascii="Calibri" w:hAnsi="Calibri"/>
                <w:b w:val="0"/>
                <w:i w:val="0"/>
                <w:color w:val="111111"/>
                <w:sz w:val="18"/>
              </w:rPr>
              <w:t>kind is not installed; kubectl had no cluster</w:t>
            </w:r>
          </w:p>
        </w:tc>
      </w:tr>
    </w:tbl>
    <w:p>
      <w:pPr>
        <w:spacing w:before="80" w:after="200" w:line="264" w:lineRule="auto"/>
        <w:ind w:left="216" w:right="216"/>
        <w:shd w:fill="F4F6F9"/>
      </w:pPr>
      <w:r>
        <w:rPr>
          <w:rFonts w:ascii="Calibri" w:hAnsi="Calibri"/>
          <w:b/>
          <w:i w:val="0"/>
          <w:color w:val="0B2545"/>
          <w:sz w:val="22"/>
        </w:rPr>
        <w:t xml:space="preserve">Environment note: </w:t>
      </w:r>
      <w:r>
        <w:rPr>
          <w:rFonts w:ascii="Calibri" w:hAnsi="Calibri"/>
          <w:b w:val="0"/>
          <w:i w:val="0"/>
          <w:color w:val="111111"/>
          <w:sz w:val="22"/>
        </w:rPr>
        <w:t>Tests ran under Python 3.13 while CI targets Python 3.12. Both pytest suites emitted an unset pytest-asyncio loop-scope deprecation warning.</w:t>
      </w:r>
    </w:p>
    <w:p>
      <w:r>
        <w:br w:type="page"/>
      </w:r>
    </w:p>
    <w:p>
      <w:pPr>
        <w:pStyle w:val="Heading1"/>
        <w:keepNext/>
      </w:pPr>
      <w:r>
        <w:t>6. Detailed Findings</w:t>
      </w:r>
    </w:p>
    <w:p>
      <w:pPr>
        <w:pStyle w:val="Heading2"/>
        <w:keepNext/>
      </w:pPr>
      <w:r>
        <w:t>COM-SEC-01 - High: Local services are published beyond loopback</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Compose publishes ports 8000 and 8001 without a host IP. Docker therefore binds them to all host interfaces by default. Neither service has authentication, and the demo exposes simulation endpoints while the assistant can read evidence and call configured providers.</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Bind both services to 127.0.0.1 in Compose and keep the documentation explicit that wider exposure requires authentication.</w:t>
      </w:r>
    </w:p>
    <w:p>
      <w:pPr>
        <w:spacing w:after="160"/>
      </w:pPr>
      <w:r>
        <w:rPr>
          <w:rFonts w:ascii="Calibri" w:hAnsi="Calibri"/>
          <w:b/>
          <w:i w:val="0"/>
          <w:color w:val="5B6573"/>
          <w:sz w:val="18"/>
        </w:rPr>
        <w:t xml:space="preserve">Evidence: </w:t>
      </w:r>
      <w:r>
        <w:rPr>
          <w:rFonts w:ascii="Consolas" w:hAnsi="Consolas"/>
          <w:b w:val="0"/>
          <w:i w:val="0"/>
          <w:color w:val="5B6573"/>
          <w:sz w:val="17"/>
        </w:rPr>
        <w:t>docker-compose.yml:9; docker-compose.yml:25</w:t>
      </w:r>
    </w:p>
    <w:p>
      <w:pPr>
        <w:pStyle w:val="Heading2"/>
        <w:keepNext/>
      </w:pPr>
      <w:r>
        <w:t>COM-SEC-02 - High: Caller-controlled metrics URL creates SSRF</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AnalyzeMetricsRequest.metrics_url flows into an outbound httpx request. A caller can ask the assistant to request loopback, private-network, or cloud-metadata destinations.</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Remove the per-request metrics URL. Fetch only DEMO_SERVICE_METRICS_URL configured by the operator, while retaining metrics_text for offline examples and tests. If arbitrary destinations become necessary, use a strict allowlist plus network controls.</w:t>
      </w:r>
    </w:p>
    <w:p>
      <w:pPr>
        <w:spacing w:after="160"/>
      </w:pPr>
      <w:r>
        <w:rPr>
          <w:rFonts w:ascii="Calibri" w:hAnsi="Calibri"/>
          <w:b/>
          <w:i w:val="0"/>
          <w:color w:val="5B6573"/>
          <w:sz w:val="18"/>
        </w:rPr>
        <w:t xml:space="preserve">Evidence: </w:t>
      </w:r>
      <w:r>
        <w:rPr>
          <w:rFonts w:ascii="Consolas" w:hAnsi="Consolas"/>
          <w:b w:val="0"/>
          <w:i w:val="0"/>
          <w:color w:val="5B6573"/>
          <w:sz w:val="17"/>
        </w:rPr>
        <w:t>apps/ai-sre-assistant/app/main.py:28; apps/ai-sre-assistant/app/metrics_reader.py:30</w:t>
      </w:r>
    </w:p>
    <w:p>
      <w:pPr>
        <w:pStyle w:val="Heading2"/>
        <w:keepNext/>
      </w:pPr>
      <w:r>
        <w:t>COM-REL-01 - Medium: Readiness does not enforce readiness</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The demo /ready endpoint always returns HTTP 200 and status=ready even when its own log-directory checks are false. The assistant has no distinct readiness endpoint and Kubernetes uses /health for readiness.</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Teach the operational distinction directly: /health means the process is alive; /ready returns 503 when a required local dependency is unavailable. Add equivalent assistant readiness behavior without requiring the optional LLM.</w:t>
      </w:r>
    </w:p>
    <w:p>
      <w:pPr>
        <w:spacing w:after="160"/>
      </w:pPr>
      <w:r>
        <w:rPr>
          <w:rFonts w:ascii="Calibri" w:hAnsi="Calibri"/>
          <w:b/>
          <w:i w:val="0"/>
          <w:color w:val="5B6573"/>
          <w:sz w:val="18"/>
        </w:rPr>
        <w:t xml:space="preserve">Evidence: </w:t>
      </w:r>
      <w:r>
        <w:rPr>
          <w:rFonts w:ascii="Consolas" w:hAnsi="Consolas"/>
          <w:b w:val="0"/>
          <w:i w:val="0"/>
          <w:color w:val="5B6573"/>
          <w:sz w:val="17"/>
        </w:rPr>
        <w:t>apps/demo-service/app/routes.py:26; infra/k8s/ai-sre-assistant.yaml:77</w:t>
      </w:r>
    </w:p>
    <w:p>
      <w:pPr>
        <w:pStyle w:val="Heading2"/>
        <w:keepNext/>
      </w:pPr>
      <w:r>
        <w:t>COM-EVAL-01 - Medium: Evaluation is a regression fixture, not yet an AI evaluator</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The runner calls the deterministic analyzer directly. It does not evaluate LLM responses, version datasets or prompts, emit portable artifacts, or expose a reusable evaluator interface. Safety and honesty rely on intentionally simple phrase checks.</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Keep calling this Evaluation Basics until Week 6 delivers versioned schemas, machine-readable results, adversarial cases, provider comparisons, and a run manifest.</w:t>
      </w:r>
    </w:p>
    <w:p>
      <w:pPr>
        <w:spacing w:after="160"/>
      </w:pPr>
      <w:r>
        <w:rPr>
          <w:rFonts w:ascii="Calibri" w:hAnsi="Calibri"/>
          <w:b/>
          <w:i w:val="0"/>
          <w:color w:val="5B6573"/>
          <w:sz w:val="18"/>
        </w:rPr>
        <w:t xml:space="preserve">Evidence: </w:t>
      </w:r>
      <w:r>
        <w:rPr>
          <w:rFonts w:ascii="Consolas" w:hAnsi="Consolas"/>
          <w:b w:val="0"/>
          <w:i w:val="0"/>
          <w:color w:val="5B6573"/>
          <w:sz w:val="17"/>
        </w:rPr>
        <w:t>apps/ai-sre-assistant/evals/runner.py:13; apps/ai-sre-assistant/evals/runner.py:32; docs/17-assistant-evaluation.md</w:t>
      </w:r>
    </w:p>
    <w:p>
      <w:pPr>
        <w:pStyle w:val="Heading2"/>
        <w:keepNext/>
      </w:pPr>
      <w:r>
        <w:t>COM-SUPPLY-01 - Medium: Builds are not reproducible</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Both requirement files use wide version ranges and runtime images install directly from them. Python base-image tags are mutable, development dependencies ship in runtime images, and containers run as root.</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Add reviewed constraints or lock files, split runtime and development dependencies, use a non-root user, and introduce dependency/image scanning as a documented learning step.</w:t>
      </w:r>
    </w:p>
    <w:p>
      <w:pPr>
        <w:spacing w:after="160"/>
      </w:pPr>
      <w:r>
        <w:rPr>
          <w:rFonts w:ascii="Calibri" w:hAnsi="Calibri"/>
          <w:b/>
          <w:i w:val="0"/>
          <w:color w:val="5B6573"/>
          <w:sz w:val="18"/>
        </w:rPr>
        <w:t xml:space="preserve">Evidence: </w:t>
      </w:r>
      <w:r>
        <w:rPr>
          <w:rFonts w:ascii="Consolas" w:hAnsi="Consolas"/>
          <w:b w:val="0"/>
          <w:i w:val="0"/>
          <w:color w:val="5B6573"/>
          <w:sz w:val="17"/>
        </w:rPr>
        <w:t>apps/demo-service/requirements.txt:1; apps/ai-sre-assistant/requirements.txt:1; apps/demo-service/Dockerfile:1</w:t>
      </w:r>
    </w:p>
    <w:p>
      <w:pPr>
        <w:pStyle w:val="Heading2"/>
        <w:keepNext/>
      </w:pPr>
      <w:r>
        <w:t>COM-DATA-01 - Medium: Redaction occurs after sensitive logs are persisted</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Assistant-side redaction is well tested, but the original demo log is written unredacted. The manual log-event endpoint accepts arbitrary text, local logs do not rotate, parsed records retain a duplicated _raw form, and raw network exception text can reveal private endpoint names.</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Bound free-text inputs, prefer known simulation event names, rotate or clean local logs, omit _raw from provider prompts after successful parsing, and return stable error codes instead of raw exception strings.</w:t>
      </w:r>
    </w:p>
    <w:p>
      <w:pPr>
        <w:spacing w:after="160"/>
      </w:pPr>
      <w:r>
        <w:rPr>
          <w:rFonts w:ascii="Calibri" w:hAnsi="Calibri"/>
          <w:b/>
          <w:i w:val="0"/>
          <w:color w:val="5B6573"/>
          <w:sz w:val="18"/>
        </w:rPr>
        <w:t xml:space="preserve">Evidence: </w:t>
      </w:r>
      <w:r>
        <w:rPr>
          <w:rFonts w:ascii="Consolas" w:hAnsi="Consolas"/>
          <w:b w:val="0"/>
          <w:i w:val="0"/>
          <w:color w:val="5B6573"/>
          <w:sz w:val="17"/>
        </w:rPr>
        <w:t>apps/demo-service/app/logging_config.py:78; apps/demo-service/app/routes.py:146; apps/ai-sre-assistant/app/metrics_reader.py:34</w:t>
      </w:r>
    </w:p>
    <w:p>
      <w:pPr>
        <w:pStyle w:val="Heading2"/>
        <w:keepNext/>
      </w:pPr>
      <w:r>
        <w:t>COM-OBS-01 - Medium: Unknown paths can defeat cardinality guidance</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Known routes use stable templates, but unmatched requests fall back to the raw URL path. Repeated unique 404 paths can create unbounded metric series. The analyzer can also duplicate one record when it is both an error, warning, or slow event.</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Normalize unmatched paths to a fixed label and deduplicate evidence by line number before selecting the final evidence window.</w:t>
      </w:r>
    </w:p>
    <w:p>
      <w:pPr>
        <w:spacing w:after="160"/>
      </w:pPr>
      <w:r>
        <w:rPr>
          <w:rFonts w:ascii="Calibri" w:hAnsi="Calibri"/>
          <w:b/>
          <w:i w:val="0"/>
          <w:color w:val="5B6573"/>
          <w:sz w:val="18"/>
        </w:rPr>
        <w:t xml:space="preserve">Evidence: </w:t>
      </w:r>
      <w:r>
        <w:rPr>
          <w:rFonts w:ascii="Consolas" w:hAnsi="Consolas"/>
          <w:b w:val="0"/>
          <w:i w:val="0"/>
          <w:color w:val="5B6573"/>
          <w:sz w:val="17"/>
        </w:rPr>
        <w:t>apps/demo-service/app/main.py:77; apps/ai-sre-assistant/app/analyzer.py:112</w:t>
      </w:r>
    </w:p>
    <w:p>
      <w:pPr>
        <w:pStyle w:val="Heading2"/>
        <w:keepNext/>
      </w:pPr>
      <w:r>
        <w:t>COM-DEPLOY-01 - Medium: Least-privilege examples are incomplete</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The assistant mounts shared logs read-write even though it only reads them. Docker and Kubernetes examples do not demonstrate a non-root runtime, capability dropping, or a minimal securityContext.</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Make assistant evidence mounts read-only and add a gradual least-privilege lesson. These are foundational Community security habits, not Pro-only controls.</w:t>
      </w:r>
    </w:p>
    <w:p>
      <w:pPr>
        <w:spacing w:after="160"/>
      </w:pPr>
      <w:r>
        <w:rPr>
          <w:rFonts w:ascii="Calibri" w:hAnsi="Calibri"/>
          <w:b/>
          <w:i w:val="0"/>
          <w:color w:val="5B6573"/>
          <w:sz w:val="18"/>
        </w:rPr>
        <w:t xml:space="preserve">Evidence: </w:t>
      </w:r>
      <w:r>
        <w:rPr>
          <w:rFonts w:ascii="Consolas" w:hAnsi="Consolas"/>
          <w:b w:val="0"/>
          <w:i w:val="0"/>
          <w:color w:val="5B6573"/>
          <w:sz w:val="17"/>
        </w:rPr>
        <w:t>docker-compose.yml:36; infra/k8s/ai-sre-assistant.yaml:73</w:t>
      </w:r>
    </w:p>
    <w:p>
      <w:pPr>
        <w:pStyle w:val="Heading2"/>
        <w:keepNext/>
      </w:pPr>
      <w:r>
        <w:t>COM-CI-01 - Medium: CI validates behavior but not artifacts or supply chain</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CI runs lint, tests, and deterministic evaluations, but not container builds, Compose smoke tests, Kubernetes schema validation, dependency scanning, image scanning, secret scanning, or a Python-version compatibility matrix. Workflow permissions are implicit and actions use version tags.</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Add explicit read-only permissions, reviewed action SHAs, constraints validation, lightweight security scans, and static container/Kubernetes checks in stages.</w:t>
      </w:r>
    </w:p>
    <w:p>
      <w:pPr>
        <w:spacing w:after="160"/>
      </w:pPr>
      <w:r>
        <w:rPr>
          <w:rFonts w:ascii="Calibri" w:hAnsi="Calibri"/>
          <w:b/>
          <w:i w:val="0"/>
          <w:color w:val="5B6573"/>
          <w:sz w:val="18"/>
        </w:rPr>
        <w:t xml:space="preserve">Evidence: </w:t>
      </w:r>
      <w:r>
        <w:rPr>
          <w:rFonts w:ascii="Consolas" w:hAnsi="Consolas"/>
          <w:b w:val="0"/>
          <w:i w:val="0"/>
          <w:color w:val="5B6573"/>
          <w:sz w:val="17"/>
        </w:rPr>
        <w:t>.github/workflows/ci.yml:1; .github/workflows/ci.yml:13; .github/workflows/ci.yml:18</w:t>
      </w:r>
    </w:p>
    <w:p>
      <w:pPr>
        <w:pStyle w:val="Heading2"/>
        <w:keepNext/>
      </w:pPr>
      <w:r>
        <w:t>COM-DOC-01 - Medium: Strong documentation contains concrete drift</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The Kubernetes runbook names a nonexistent PVC, make validate claims production readiness despite the explicit production no-go, README still says 30-day roadmap, and the technical roadmap retains the AIOps Lab name. Infrastructure identifiers also remain aiops-lab after the branding change.</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Correct commands and misleading readiness wording immediately. Decide whether aiops-lab is a deliberately stable technical slug; if so, document that choice instead of leaving it ambiguous.</w:t>
      </w:r>
    </w:p>
    <w:p>
      <w:pPr>
        <w:spacing w:after="160"/>
      </w:pPr>
      <w:r>
        <w:rPr>
          <w:rFonts w:ascii="Calibri" w:hAnsi="Calibri"/>
          <w:b/>
          <w:i w:val="0"/>
          <w:color w:val="5B6573"/>
          <w:sz w:val="18"/>
        </w:rPr>
        <w:t xml:space="preserve">Evidence: </w:t>
      </w:r>
      <w:r>
        <w:rPr>
          <w:rFonts w:ascii="Consolas" w:hAnsi="Consolas"/>
          <w:b w:val="0"/>
          <w:i w:val="0"/>
          <w:color w:val="5B6573"/>
          <w:sz w:val="17"/>
        </w:rPr>
        <w:t>docs/10-kubernetes-operations-runbook.md:186; Makefile:36; README.md:22; docs/09-roadmap.md:3</w:t>
      </w:r>
    </w:p>
    <w:p>
      <w:pPr>
        <w:pStyle w:val="Heading2"/>
        <w:keepNext/>
      </w:pPr>
      <w:r>
        <w:t>COM-TEST-01 - Low: Important boundary cases remain untested</w:t>
      </w:r>
    </w:p>
    <w:p>
      <w:pPr>
        <w:spacing w:after="120" w:line="264" w:lineRule="auto"/>
      </w:pPr>
      <w:r>
        <w:rPr>
          <w:rFonts w:ascii="Calibri" w:hAnsi="Calibri"/>
          <w:b/>
          <w:i w:val="0"/>
          <w:color w:val="111111"/>
          <w:sz w:val="22"/>
        </w:rPr>
        <w:t xml:space="preserve">Observation. </w:t>
      </w:r>
      <w:r>
        <w:rPr>
          <w:rFonts w:ascii="Calibri" w:hAnsi="Calibri"/>
          <w:b w:val="0"/>
          <w:i w:val="0"/>
          <w:color w:val="111111"/>
          <w:sz w:val="22"/>
        </w:rPr>
        <w:t>Missing cases include SSRF restrictions, readiness failure, direct analyze/logs coverage, fetch failures, invalid CLI max-lines values, unknown-route cardinality, evidence deduplication, malformed provider responses, Compose smoke tests, Kubernetes schema validation, and claimed Python 3.10 compatibility.</w:t>
      </w:r>
    </w:p>
    <w:p>
      <w:pPr>
        <w:spacing w:after="120" w:line="264" w:lineRule="auto"/>
      </w:pPr>
      <w:r>
        <w:rPr>
          <w:rFonts w:ascii="Calibri" w:hAnsi="Calibri"/>
          <w:b/>
          <w:i w:val="0"/>
          <w:color w:val="111111"/>
          <w:sz w:val="22"/>
        </w:rPr>
        <w:t xml:space="preserve">Recommendation. </w:t>
      </w:r>
      <w:r>
        <w:rPr>
          <w:rFonts w:ascii="Calibri" w:hAnsi="Calibri"/>
          <w:b w:val="0"/>
          <w:i w:val="0"/>
          <w:color w:val="111111"/>
          <w:sz w:val="22"/>
        </w:rPr>
        <w:t>Add tests in the same order as the boundary and Week 5-8 backlog. Keep integration checks optional locally but mandatory in CI where practical.</w:t>
      </w:r>
    </w:p>
    <w:p>
      <w:pPr>
        <w:spacing w:after="160"/>
      </w:pPr>
      <w:r>
        <w:rPr>
          <w:rFonts w:ascii="Calibri" w:hAnsi="Calibri"/>
          <w:b/>
          <w:i w:val="0"/>
          <w:color w:val="5B6573"/>
          <w:sz w:val="18"/>
        </w:rPr>
        <w:t xml:space="preserve">Evidence: </w:t>
      </w:r>
      <w:r>
        <w:rPr>
          <w:rFonts w:ascii="Consolas" w:hAnsi="Consolas"/>
          <w:b w:val="0"/>
          <w:i w:val="0"/>
          <w:color w:val="5B6573"/>
          <w:sz w:val="17"/>
        </w:rPr>
        <w:t>apps/ai-sre-assistant/cli/sre.py:44; .github/workflows/ci.yml:18</w:t>
      </w:r>
    </w:p>
    <w:p>
      <w:pPr>
        <w:pStyle w:val="Heading1"/>
        <w:keepNext/>
      </w:pPr>
      <w:r>
        <w:t>7. Community Product Boundary</w:t>
      </w:r>
    </w:p>
    <w:p>
      <w:pPr>
        <w:pStyle w:val="Heading2"/>
        <w:keepNext/>
      </w:pPr>
      <w:r>
        <w:t>7.1 What the repository is today</w:t>
      </w:r>
    </w:p>
    <w:p>
      <w:pPr>
        <w:spacing w:before="80" w:after="200" w:line="264" w:lineRule="auto"/>
        <w:ind w:left="216" w:right="216"/>
        <w:shd w:fill="F4F6F9"/>
      </w:pPr>
      <w:r>
        <w:rPr>
          <w:rFonts w:ascii="Calibri" w:hAnsi="Calibri"/>
          <w:b/>
          <w:i w:val="0"/>
          <w:color w:val="0B2545"/>
          <w:sz w:val="22"/>
        </w:rPr>
        <w:t xml:space="preserve">Current product: </w:t>
      </w:r>
      <w:r>
        <w:rPr>
          <w:rFonts w:ascii="Calibri" w:hAnsi="Calibri"/>
          <w:b w:val="0"/>
          <w:i w:val="0"/>
          <w:color w:val="111111"/>
          <w:sz w:val="22"/>
        </w:rPr>
        <w:t>A guided reference application for learning evidence-grounded AI operations, safety boundaries, evaluation basics, observability, and infrastructure progression.</w:t>
      </w:r>
    </w:p>
    <w:p>
      <w:pPr>
        <w:spacing w:after="120" w:line="264" w:lineRule="auto"/>
      </w:pPr>
      <w:r>
        <w:rPr>
          <w:rFonts w:ascii="Calibri" w:hAnsi="Calibri"/>
          <w:b w:val="0"/>
          <w:i w:val="0"/>
          <w:color w:val="111111"/>
          <w:sz w:val="22"/>
        </w:rPr>
        <w:t>It is not yet a generic evaluation SDK, dataset management system, policy engine, provider benchmark harness, governance dashboard, production connector, hosted control plane, or multi-user product.</w:t>
      </w:r>
    </w:p>
    <w:p>
      <w:pPr>
        <w:spacing w:after="120" w:line="264" w:lineRule="auto"/>
      </w:pPr>
      <w:r>
        <w:rPr>
          <w:rFonts w:ascii="Calibri" w:hAnsi="Calibri"/>
          <w:b w:val="0"/>
          <w:i w:val="0"/>
          <w:color w:val="111111"/>
          <w:sz w:val="22"/>
        </w:rPr>
        <w:t>Consequently, present-day overlap with Reliability Pro is low. The likely future overlap is the evaluation substrate, so the boundary should be codified before both repositories independently invent schemas and runners.</w:t>
      </w:r>
    </w:p>
    <w:p>
      <w:pPr>
        <w:pStyle w:val="Heading2"/>
        <w:keepNext/>
      </w:pPr>
      <w:r>
        <w:t>7.2 Recommended features that remain public</w:t>
      </w:r>
    </w:p>
    <w:p>
      <w:pPr>
        <w:numPr>
          <w:ilvl w:val="0"/>
          <w:numId w:val="41"/>
        </w:numPr>
        <w:spacing w:after="160" w:line="280" w:lineRule="auto"/>
      </w:pPr>
      <w:r>
        <w:rPr>
          <w:rFonts w:ascii="Calibri" w:hAnsi="Calibri"/>
          <w:b w:val="0"/>
          <w:i w:val="0"/>
          <w:color w:val="111111"/>
          <w:sz w:val="22"/>
        </w:rPr>
        <w:t>Demo service and synthetic incident generation.</w:t>
      </w:r>
    </w:p>
    <w:p>
      <w:pPr>
        <w:numPr>
          <w:ilvl w:val="0"/>
          <w:numId w:val="41"/>
        </w:numPr>
        <w:spacing w:after="160" w:line="280" w:lineRule="auto"/>
      </w:pPr>
      <w:r>
        <w:rPr>
          <w:rFonts w:ascii="Calibri" w:hAnsi="Calibri"/>
          <w:b w:val="0"/>
          <w:i w:val="0"/>
          <w:color w:val="111111"/>
          <w:sz w:val="22"/>
        </w:rPr>
        <w:t>Deterministic operational analyzer and optional OpenAI-compatible enrichment.</w:t>
      </w:r>
    </w:p>
    <w:p>
      <w:pPr>
        <w:numPr>
          <w:ilvl w:val="0"/>
          <w:numId w:val="41"/>
        </w:numPr>
        <w:spacing w:after="160" w:line="280" w:lineRule="auto"/>
      </w:pPr>
      <w:r>
        <w:rPr>
          <w:rFonts w:ascii="Calibri" w:hAnsi="Calibri"/>
          <w:b w:val="0"/>
          <w:i w:val="0"/>
          <w:color w:val="111111"/>
          <w:sz w:val="22"/>
        </w:rPr>
        <w:t>Redaction library, threat model, safety fixes, and local private-dataset support.</w:t>
      </w:r>
    </w:p>
    <w:p>
      <w:pPr>
        <w:numPr>
          <w:ilvl w:val="0"/>
          <w:numId w:val="41"/>
        </w:numPr>
        <w:spacing w:after="160" w:line="280" w:lineRule="auto"/>
      </w:pPr>
      <w:r>
        <w:rPr>
          <w:rFonts w:ascii="Calibri" w:hAnsi="Calibri"/>
          <w:b w:val="0"/>
          <w:i w:val="0"/>
          <w:color w:val="111111"/>
          <w:sz w:val="22"/>
        </w:rPr>
        <w:t>Public evaluation corpus, runner, evaluator interface, and open result/policy schemas.</w:t>
      </w:r>
    </w:p>
    <w:p>
      <w:pPr>
        <w:numPr>
          <w:ilvl w:val="0"/>
          <w:numId w:val="41"/>
        </w:numPr>
        <w:spacing w:after="160" w:line="280" w:lineRule="auto"/>
      </w:pPr>
      <w:r>
        <w:rPr>
          <w:rFonts w:ascii="Calibri" w:hAnsi="Calibri"/>
          <w:b w:val="0"/>
          <w:i w:val="0"/>
          <w:color w:val="111111"/>
          <w:sz w:val="22"/>
        </w:rPr>
        <w:t>Machine-readable JSON/JUnit reports and a single-run local HTML report.</w:t>
      </w:r>
    </w:p>
    <w:p>
      <w:pPr>
        <w:numPr>
          <w:ilvl w:val="0"/>
          <w:numId w:val="41"/>
        </w:numPr>
        <w:spacing w:after="160" w:line="280" w:lineRule="auto"/>
      </w:pPr>
      <w:r>
        <w:rPr>
          <w:rFonts w:ascii="Calibri" w:hAnsi="Calibri"/>
          <w:b w:val="0"/>
          <w:i w:val="0"/>
          <w:color w:val="111111"/>
          <w:sz w:val="22"/>
        </w:rPr>
        <w:t>Local CI release gate and complete data export.</w:t>
      </w:r>
    </w:p>
    <w:p>
      <w:pPr>
        <w:numPr>
          <w:ilvl w:val="0"/>
          <w:numId w:val="41"/>
        </w:numPr>
        <w:spacing w:after="160" w:line="280" w:lineRule="auto"/>
      </w:pPr>
      <w:r>
        <w:rPr>
          <w:rFonts w:ascii="Calibri" w:hAnsi="Calibri"/>
          <w:b w:val="0"/>
          <w:i w:val="0"/>
          <w:color w:val="111111"/>
          <w:sz w:val="22"/>
        </w:rPr>
        <w:t>Provider latency, token, fallback, and configurable cost calculation.</w:t>
      </w:r>
    </w:p>
    <w:p>
      <w:pPr>
        <w:numPr>
          <w:ilvl w:val="0"/>
          <w:numId w:val="41"/>
        </w:numPr>
        <w:spacing w:after="160" w:line="280" w:lineRule="auto"/>
      </w:pPr>
      <w:r>
        <w:rPr>
          <w:rFonts w:ascii="Calibri" w:hAnsi="Calibri"/>
          <w:b w:val="0"/>
          <w:i w:val="0"/>
          <w:color w:val="111111"/>
          <w:sz w:val="22"/>
        </w:rPr>
        <w:t>Local provider-versus-private-endpoint comparison.</w:t>
      </w:r>
    </w:p>
    <w:p>
      <w:pPr>
        <w:numPr>
          <w:ilvl w:val="0"/>
          <w:numId w:val="41"/>
        </w:numPr>
        <w:spacing w:after="160" w:line="280" w:lineRule="auto"/>
      </w:pPr>
      <w:r>
        <w:rPr>
          <w:rFonts w:ascii="Calibri" w:hAnsi="Calibri"/>
          <w:b w:val="0"/>
          <w:i w:val="0"/>
          <w:color w:val="111111"/>
          <w:sz w:val="22"/>
        </w:rPr>
        <w:t>Optional OpenTelemetry learning path and one generic read-only evidence connector.</w:t>
      </w:r>
    </w:p>
    <w:p>
      <w:pPr>
        <w:numPr>
          <w:ilvl w:val="0"/>
          <w:numId w:val="41"/>
        </w:numPr>
        <w:spacing w:after="160" w:line="280" w:lineRule="auto"/>
      </w:pPr>
      <w:r>
        <w:rPr>
          <w:rFonts w:ascii="Calibri" w:hAnsi="Calibri"/>
          <w:b w:val="0"/>
          <w:i w:val="0"/>
          <w:color w:val="111111"/>
          <w:sz w:val="22"/>
        </w:rPr>
        <w:t>Docker Compose, kind, and private-model deployment lessons.</w:t>
      </w:r>
    </w:p>
    <w:p>
      <w:pPr>
        <w:pStyle w:val="Heading2"/>
        <w:keepNext/>
      </w:pPr>
      <w:r>
        <w:t>7.3 Capabilities reserved for Pro</w:t>
      </w:r>
    </w:p>
    <w:p>
      <w:pPr>
        <w:numPr>
          <w:ilvl w:val="0"/>
          <w:numId w:val="41"/>
        </w:numPr>
        <w:spacing w:after="160" w:line="280" w:lineRule="auto"/>
      </w:pPr>
      <w:r>
        <w:rPr>
          <w:rFonts w:ascii="Calibri" w:hAnsi="Calibri"/>
          <w:b w:val="0"/>
          <w:i w:val="0"/>
          <w:color w:val="111111"/>
          <w:sz w:val="22"/>
        </w:rPr>
        <w:t>Hosted evaluation history and multi-tenant storage.</w:t>
      </w:r>
    </w:p>
    <w:p>
      <w:pPr>
        <w:numPr>
          <w:ilvl w:val="0"/>
          <w:numId w:val="41"/>
        </w:numPr>
        <w:spacing w:after="160" w:line="280" w:lineRule="auto"/>
      </w:pPr>
      <w:r>
        <w:rPr>
          <w:rFonts w:ascii="Calibri" w:hAnsi="Calibri"/>
          <w:b w:val="0"/>
          <w:i w:val="0"/>
          <w:color w:val="111111"/>
          <w:sz w:val="22"/>
        </w:rPr>
        <w:t>Organizations, projects, SSO, SCIM, enterprise RBAC, and managed credentials.</w:t>
      </w:r>
    </w:p>
    <w:p>
      <w:pPr>
        <w:numPr>
          <w:ilvl w:val="0"/>
          <w:numId w:val="41"/>
        </w:numPr>
        <w:spacing w:after="160" w:line="280" w:lineRule="auto"/>
      </w:pPr>
      <w:r>
        <w:rPr>
          <w:rFonts w:ascii="Calibri" w:hAnsi="Calibri"/>
          <w:b w:val="0"/>
          <w:i w:val="0"/>
          <w:color w:val="111111"/>
          <w:sz w:val="22"/>
        </w:rPr>
        <w:t>Central policy administration, protected release decisions, approvals, and expiring waivers.</w:t>
      </w:r>
    </w:p>
    <w:p>
      <w:pPr>
        <w:numPr>
          <w:ilvl w:val="0"/>
          <w:numId w:val="41"/>
        </w:numPr>
        <w:spacing w:after="160" w:line="280" w:lineRule="auto"/>
      </w:pPr>
      <w:r>
        <w:rPr>
          <w:rFonts w:ascii="Calibri" w:hAnsi="Calibri"/>
          <w:b w:val="0"/>
          <w:i w:val="0"/>
          <w:color w:val="111111"/>
          <w:sz w:val="22"/>
        </w:rPr>
        <w:t>Append-only organization audit ledger and compliance-oriented exports.</w:t>
      </w:r>
    </w:p>
    <w:p>
      <w:pPr>
        <w:numPr>
          <w:ilvl w:val="0"/>
          <w:numId w:val="41"/>
        </w:numPr>
        <w:spacing w:after="160" w:line="280" w:lineRule="auto"/>
      </w:pPr>
      <w:r>
        <w:rPr>
          <w:rFonts w:ascii="Calibri" w:hAnsi="Calibri"/>
          <w:b w:val="0"/>
          <w:i w:val="0"/>
          <w:color w:val="111111"/>
          <w:sz w:val="22"/>
        </w:rPr>
        <w:t>Scheduled and online production evaluations with alerts.</w:t>
      </w:r>
    </w:p>
    <w:p>
      <w:pPr>
        <w:numPr>
          <w:ilvl w:val="0"/>
          <w:numId w:val="41"/>
        </w:numPr>
        <w:spacing w:after="160" w:line="280" w:lineRule="auto"/>
      </w:pPr>
      <w:r>
        <w:rPr>
          <w:rFonts w:ascii="Calibri" w:hAnsi="Calibri"/>
          <w:b w:val="0"/>
          <w:i w:val="0"/>
          <w:color w:val="111111"/>
          <w:sz w:val="22"/>
        </w:rPr>
        <w:t>Supported enterprise connectors, collaboration workflows, and organization dashboards.</w:t>
      </w:r>
    </w:p>
    <w:p>
      <w:pPr>
        <w:numPr>
          <w:ilvl w:val="0"/>
          <w:numId w:val="41"/>
        </w:numPr>
        <w:spacing w:after="160" w:line="280" w:lineRule="auto"/>
      </w:pPr>
      <w:r>
        <w:rPr>
          <w:rFonts w:ascii="Calibri" w:hAnsi="Calibri"/>
          <w:b w:val="0"/>
          <w:i w:val="0"/>
          <w:color w:val="111111"/>
          <w:sz w:val="22"/>
        </w:rPr>
        <w:t>Billing, SLAs, managed deployment, data residency, and commercial support.</w:t>
      </w:r>
    </w:p>
    <w:p>
      <w:pPr>
        <w:spacing w:before="80" w:after="200" w:line="264" w:lineRule="auto"/>
        <w:ind w:left="216" w:right="216"/>
        <w:shd w:fill="E8EEF5"/>
      </w:pPr>
      <w:r>
        <w:rPr>
          <w:rFonts w:ascii="Calibri" w:hAnsi="Calibri"/>
          <w:b/>
          <w:i w:val="0"/>
          <w:color w:val="0B2545"/>
          <w:sz w:val="22"/>
        </w:rPr>
        <w:t xml:space="preserve">Boundary rule: </w:t>
      </w:r>
      <w:r>
        <w:rPr>
          <w:rFonts w:ascii="Calibri" w:hAnsi="Calibri"/>
          <w:b w:val="0"/>
          <w:i w:val="0"/>
          <w:color w:val="111111"/>
          <w:sz w:val="22"/>
        </w:rPr>
        <w:t>Community proves one run locally. Pro proves, enforces, and records the process continuously across an organization.</w:t>
      </w:r>
    </w:p>
    <w:p>
      <w:pPr>
        <w:pStyle w:val="Heading1"/>
        <w:keepNext/>
      </w:pPr>
      <w:r>
        <w:t>8. Prioritized Community Backlog</w:t>
      </w:r>
    </w:p>
    <w:p>
      <w:pPr>
        <w:pStyle w:val="Heading2"/>
        <w:keepNext/>
      </w:pPr>
      <w:r>
        <w:t>8.1 P0 - Repair the Community boundary</w:t>
      </w:r>
    </w:p>
    <w:p>
      <w:pPr>
        <w:numPr>
          <w:ilvl w:val="0"/>
          <w:numId w:val="42"/>
        </w:numPr>
        <w:spacing w:after="160" w:line="280" w:lineRule="auto"/>
      </w:pPr>
      <w:r>
        <w:rPr>
          <w:rFonts w:ascii="Calibri" w:hAnsi="Calibri"/>
          <w:b w:val="0"/>
          <w:i w:val="0"/>
          <w:color w:val="111111"/>
          <w:sz w:val="22"/>
        </w:rPr>
        <w:t>Bind Compose ports to loopback.</w:t>
      </w:r>
    </w:p>
    <w:p>
      <w:pPr>
        <w:numPr>
          <w:ilvl w:val="0"/>
          <w:numId w:val="42"/>
        </w:numPr>
        <w:spacing w:after="160" w:line="280" w:lineRule="auto"/>
      </w:pPr>
      <w:r>
        <w:rPr>
          <w:rFonts w:ascii="Calibri" w:hAnsi="Calibri"/>
          <w:b w:val="0"/>
          <w:i w:val="0"/>
          <w:color w:val="111111"/>
          <w:sz w:val="22"/>
        </w:rPr>
        <w:t>Remove or strictly allowlist caller-controlled metrics destinations.</w:t>
      </w:r>
    </w:p>
    <w:p>
      <w:pPr>
        <w:numPr>
          <w:ilvl w:val="0"/>
          <w:numId w:val="42"/>
        </w:numPr>
        <w:spacing w:after="160" w:line="280" w:lineRule="auto"/>
      </w:pPr>
      <w:r>
        <w:rPr>
          <w:rFonts w:ascii="Calibri" w:hAnsi="Calibri"/>
          <w:b w:val="0"/>
          <w:i w:val="0"/>
          <w:color w:val="111111"/>
          <w:sz w:val="22"/>
        </w:rPr>
        <w:t>Implement truthful readiness endpoints.</w:t>
      </w:r>
    </w:p>
    <w:p>
      <w:pPr>
        <w:numPr>
          <w:ilvl w:val="0"/>
          <w:numId w:val="42"/>
        </w:numPr>
        <w:spacing w:after="160" w:line="280" w:lineRule="auto"/>
      </w:pPr>
      <w:r>
        <w:rPr>
          <w:rFonts w:ascii="Calibri" w:hAnsi="Calibri"/>
          <w:b w:val="0"/>
          <w:i w:val="0"/>
          <w:color w:val="111111"/>
          <w:sz w:val="22"/>
        </w:rPr>
        <w:t>Make assistant evidence mounts read-only.</w:t>
      </w:r>
    </w:p>
    <w:p>
      <w:pPr>
        <w:numPr>
          <w:ilvl w:val="0"/>
          <w:numId w:val="42"/>
        </w:numPr>
        <w:spacing w:after="160" w:line="280" w:lineRule="auto"/>
      </w:pPr>
      <w:r>
        <w:rPr>
          <w:rFonts w:ascii="Calibri" w:hAnsi="Calibri"/>
          <w:b w:val="0"/>
          <w:i w:val="0"/>
          <w:color w:val="111111"/>
          <w:sz w:val="22"/>
        </w:rPr>
        <w:t>Fix the PVC runbook commands.</w:t>
      </w:r>
    </w:p>
    <w:p>
      <w:pPr>
        <w:numPr>
          <w:ilvl w:val="0"/>
          <w:numId w:val="42"/>
        </w:numPr>
        <w:spacing w:after="160" w:line="280" w:lineRule="auto"/>
      </w:pPr>
      <w:r>
        <w:rPr>
          <w:rFonts w:ascii="Calibri" w:hAnsi="Calibri"/>
          <w:b w:val="0"/>
          <w:i w:val="0"/>
          <w:color w:val="111111"/>
          <w:sz w:val="22"/>
        </w:rPr>
        <w:t>Rename the validation success message.</w:t>
      </w:r>
    </w:p>
    <w:p>
      <w:pPr>
        <w:numPr>
          <w:ilvl w:val="0"/>
          <w:numId w:val="42"/>
        </w:numPr>
        <w:spacing w:after="160" w:line="280" w:lineRule="auto"/>
      </w:pPr>
      <w:r>
        <w:rPr>
          <w:rFonts w:ascii="Calibri" w:hAnsi="Calibri"/>
          <w:b w:val="0"/>
          <w:i w:val="0"/>
          <w:color w:val="111111"/>
          <w:sz w:val="22"/>
        </w:rPr>
        <w:t>Resolve README, roadmap, and infrastructure naming drift.</w:t>
      </w:r>
    </w:p>
    <w:p>
      <w:pPr>
        <w:pStyle w:val="Heading2"/>
        <w:keepNext/>
      </w:pPr>
      <w:r>
        <w:t>8.2 P1 - Complete the promised Community evaluation loop</w:t>
      </w:r>
    </w:p>
    <w:p>
      <w:pPr>
        <w:numPr>
          <w:ilvl w:val="0"/>
          <w:numId w:val="42"/>
        </w:numPr>
        <w:spacing w:after="160" w:line="280" w:lineRule="auto"/>
      </w:pPr>
      <w:r>
        <w:rPr>
          <w:rFonts w:ascii="Calibri" w:hAnsi="Calibri"/>
          <w:b w:val="0"/>
          <w:i w:val="0"/>
          <w:color w:val="111111"/>
          <w:sz w:val="22"/>
        </w:rPr>
        <w:t>Finish configurable pricing and cost per successful analysis.</w:t>
      </w:r>
    </w:p>
    <w:p>
      <w:pPr>
        <w:numPr>
          <w:ilvl w:val="0"/>
          <w:numId w:val="42"/>
        </w:numPr>
        <w:spacing w:after="160" w:line="280" w:lineRule="auto"/>
      </w:pPr>
      <w:r>
        <w:rPr>
          <w:rFonts w:ascii="Calibri" w:hAnsi="Calibri"/>
          <w:b w:val="0"/>
          <w:i w:val="0"/>
          <w:color w:val="111111"/>
          <w:sz w:val="22"/>
        </w:rPr>
        <w:t>Add versioned dataset, evaluator, policy, and result schemas.</w:t>
      </w:r>
    </w:p>
    <w:p>
      <w:pPr>
        <w:numPr>
          <w:ilvl w:val="0"/>
          <w:numId w:val="42"/>
        </w:numPr>
        <w:spacing w:after="160" w:line="280" w:lineRule="auto"/>
      </w:pPr>
      <w:r>
        <w:rPr>
          <w:rFonts w:ascii="Calibri" w:hAnsi="Calibri"/>
          <w:b w:val="0"/>
          <w:i w:val="0"/>
          <w:color w:val="111111"/>
          <w:sz w:val="22"/>
        </w:rPr>
        <w:t>Emit an immutable evaluation manifest.</w:t>
      </w:r>
    </w:p>
    <w:p>
      <w:pPr>
        <w:numPr>
          <w:ilvl w:val="0"/>
          <w:numId w:val="42"/>
        </w:numPr>
        <w:spacing w:after="160" w:line="280" w:lineRule="auto"/>
      </w:pPr>
      <w:r>
        <w:rPr>
          <w:rFonts w:ascii="Calibri" w:hAnsi="Calibri"/>
          <w:b w:val="0"/>
          <w:i w:val="0"/>
          <w:color w:val="111111"/>
          <w:sz w:val="22"/>
        </w:rPr>
        <w:t>Produce JSON, JUnit, and local HTML reports.</w:t>
      </w:r>
    </w:p>
    <w:p>
      <w:pPr>
        <w:numPr>
          <w:ilvl w:val="0"/>
          <w:numId w:val="42"/>
        </w:numPr>
        <w:spacing w:after="160" w:line="280" w:lineRule="auto"/>
      </w:pPr>
      <w:r>
        <w:rPr>
          <w:rFonts w:ascii="Calibri" w:hAnsi="Calibri"/>
          <w:b w:val="0"/>
          <w:i w:val="0"/>
          <w:color w:val="111111"/>
          <w:sz w:val="22"/>
        </w:rPr>
        <w:t>Expand the corpus with adversarial, injection, confidence, and redaction cases.</w:t>
      </w:r>
    </w:p>
    <w:p>
      <w:pPr>
        <w:numPr>
          <w:ilvl w:val="0"/>
          <w:numId w:val="42"/>
        </w:numPr>
        <w:spacing w:after="160" w:line="280" w:lineRule="auto"/>
      </w:pPr>
      <w:r>
        <w:rPr>
          <w:rFonts w:ascii="Calibri" w:hAnsi="Calibri"/>
          <w:b w:val="0"/>
          <w:i w:val="0"/>
          <w:color w:val="111111"/>
          <w:sz w:val="22"/>
        </w:rPr>
        <w:t>Benchmark deterministic, managed-provider, and private-endpoint paths.</w:t>
      </w:r>
    </w:p>
    <w:p>
      <w:pPr>
        <w:numPr>
          <w:ilvl w:val="0"/>
          <w:numId w:val="42"/>
        </w:numPr>
        <w:spacing w:after="160" w:line="280" w:lineRule="auto"/>
      </w:pPr>
      <w:r>
        <w:rPr>
          <w:rFonts w:ascii="Calibri" w:hAnsi="Calibri"/>
          <w:b w:val="0"/>
          <w:i w:val="0"/>
          <w:color w:val="111111"/>
          <w:sz w:val="22"/>
        </w:rPr>
        <w:t>Add the optional OpenTelemetry exercise.</w:t>
      </w:r>
    </w:p>
    <w:p>
      <w:pPr>
        <w:pStyle w:val="Heading2"/>
        <w:keepNext/>
      </w:pPr>
      <w:r>
        <w:t>8.3 P2 - Improve reproducibility and teaching quality</w:t>
      </w:r>
    </w:p>
    <w:p>
      <w:pPr>
        <w:numPr>
          <w:ilvl w:val="0"/>
          <w:numId w:val="42"/>
        </w:numPr>
        <w:spacing w:after="160" w:line="280" w:lineRule="auto"/>
      </w:pPr>
      <w:r>
        <w:rPr>
          <w:rFonts w:ascii="Calibri" w:hAnsi="Calibri"/>
          <w:b w:val="0"/>
          <w:i w:val="0"/>
          <w:color w:val="111111"/>
          <w:sz w:val="22"/>
        </w:rPr>
        <w:t>Add dependency constraints or locks and separate runtime from development dependencies.</w:t>
      </w:r>
    </w:p>
    <w:p>
      <w:pPr>
        <w:numPr>
          <w:ilvl w:val="0"/>
          <w:numId w:val="42"/>
        </w:numPr>
        <w:spacing w:after="160" w:line="280" w:lineRule="auto"/>
      </w:pPr>
      <w:r>
        <w:rPr>
          <w:rFonts w:ascii="Calibri" w:hAnsi="Calibri"/>
          <w:b w:val="0"/>
          <w:i w:val="0"/>
          <w:color w:val="111111"/>
          <w:sz w:val="22"/>
        </w:rPr>
        <w:t>Run containers as non-root and add least-privilege examples.</w:t>
      </w:r>
    </w:p>
    <w:p>
      <w:pPr>
        <w:numPr>
          <w:ilvl w:val="0"/>
          <w:numId w:val="42"/>
        </w:numPr>
        <w:spacing w:after="160" w:line="280" w:lineRule="auto"/>
      </w:pPr>
      <w:r>
        <w:rPr>
          <w:rFonts w:ascii="Calibri" w:hAnsi="Calibri"/>
          <w:b w:val="0"/>
          <w:i w:val="0"/>
          <w:color w:val="111111"/>
          <w:sz w:val="22"/>
        </w:rPr>
        <w:t>Add Compose and Kubernetes static validation to CI.</w:t>
      </w:r>
    </w:p>
    <w:p>
      <w:pPr>
        <w:numPr>
          <w:ilvl w:val="0"/>
          <w:numId w:val="42"/>
        </w:numPr>
        <w:spacing w:after="160" w:line="280" w:lineRule="auto"/>
      </w:pPr>
      <w:r>
        <w:rPr>
          <w:rFonts w:ascii="Calibri" w:hAnsi="Calibri"/>
          <w:b w:val="0"/>
          <w:i w:val="0"/>
          <w:color w:val="111111"/>
          <w:sz w:val="22"/>
        </w:rPr>
        <w:t>Declare minimal CI permissions and pin external actions.</w:t>
      </w:r>
    </w:p>
    <w:p>
      <w:pPr>
        <w:numPr>
          <w:ilvl w:val="0"/>
          <w:numId w:val="42"/>
        </w:numPr>
        <w:spacing w:after="160" w:line="280" w:lineRule="auto"/>
      </w:pPr>
      <w:r>
        <w:rPr>
          <w:rFonts w:ascii="Calibri" w:hAnsi="Calibri"/>
          <w:b w:val="0"/>
          <w:i w:val="0"/>
          <w:color w:val="111111"/>
          <w:sz w:val="22"/>
        </w:rPr>
        <w:t>Test Python 3.10 through 3.12 or document 3.12 as the only supported version.</w:t>
      </w:r>
    </w:p>
    <w:p>
      <w:pPr>
        <w:numPr>
          <w:ilvl w:val="0"/>
          <w:numId w:val="42"/>
        </w:numPr>
        <w:spacing w:after="160" w:line="280" w:lineRule="auto"/>
      </w:pPr>
      <w:r>
        <w:rPr>
          <w:rFonts w:ascii="Calibri" w:hAnsi="Calibri"/>
          <w:b w:val="0"/>
          <w:i w:val="0"/>
          <w:color w:val="111111"/>
          <w:sz w:val="22"/>
        </w:rPr>
        <w:t>Add a concise curriculum index.</w:t>
      </w:r>
    </w:p>
    <w:p>
      <w:pPr>
        <w:numPr>
          <w:ilvl w:val="0"/>
          <w:numId w:val="42"/>
        </w:numPr>
        <w:spacing w:after="160" w:line="280" w:lineRule="auto"/>
      </w:pPr>
      <w:r>
        <w:rPr>
          <w:rFonts w:ascii="Calibri" w:hAnsi="Calibri"/>
          <w:b w:val="0"/>
          <w:i w:val="0"/>
          <w:color w:val="111111"/>
          <w:sz w:val="22"/>
        </w:rPr>
        <w:t>Normalize unknown metric paths and deduplicate evidence.</w:t>
      </w:r>
    </w:p>
    <w:p>
      <w:pPr>
        <w:pStyle w:val="Heading1"/>
        <w:keepNext/>
      </w:pPr>
      <w:r>
        <w:t>9. Cross-Comparison Baseline</w:t>
      </w:r>
    </w:p>
    <w:p>
      <w:pPr>
        <w:spacing w:after="120" w:line="264" w:lineRule="auto"/>
      </w:pPr>
      <w:r>
        <w:rPr>
          <w:rFonts w:ascii="Calibri" w:hAnsi="Calibri"/>
          <w:b w:val="0"/>
          <w:i w:val="0"/>
          <w:color w:val="111111"/>
          <w:sz w:val="22"/>
        </w:rPr>
        <w:t>The Pro audit should use the same capability domains so overlap can be identified at the level of implemented behavior rather than labels or roadmap promises.</w:t>
      </w:r>
    </w:p>
    <w:tbl>
      <w:tblPr>
        <w:tblStyle w:val="TableGrid"/>
        <w:tblW w:type="dxa" w:w="9360"/>
        <w:tblLayout w:type="fixed"/>
        <w:tblLook w:firstColumn="1" w:firstRow="1" w:lastColumn="0" w:lastRow="0" w:noHBand="0" w:noVBand="1" w:val="04A0"/>
        <w:tblInd w:w="120" w:type="dxa"/>
      </w:tblPr>
      <w:tblGrid>
        <w:gridCol w:w="700"/>
        <w:gridCol w:w="2750"/>
        <w:gridCol w:w="5910"/>
      </w:tblGrid>
      <w:tr>
        <w:trPr>
          <w:tblHeader w:val="true"/>
        </w:trPr>
        <w:tc>
          <w:tcPr>
            <w:tcW w:type="dxa" w:w="700"/>
            <w:tcMar>
              <w:top w:w="80" w:type="dxa"/>
              <w:bottom w:w="80" w:type="dxa"/>
              <w:start w:w="120" w:type="dxa"/>
              <w:end w:w="120" w:type="dxa"/>
            </w:tcMar>
            <w:vAlign w:val="center"/>
            <w:shd w:fill="F2F4F7"/>
          </w:tcPr>
          <w:p>
            <w:pPr>
              <w:spacing w:after="0"/>
            </w:pPr>
            <w:r>
              <w:rPr>
                <w:rFonts w:ascii="Calibri" w:hAnsi="Calibri"/>
                <w:b/>
                <w:i w:val="0"/>
                <w:color w:val="0B2545"/>
                <w:sz w:val="19"/>
              </w:rPr>
              <w:t>No.</w:t>
            </w:r>
          </w:p>
        </w:tc>
        <w:tc>
          <w:tcPr>
            <w:tcW w:type="dxa" w:w="2750"/>
            <w:tcMar>
              <w:top w:w="80" w:type="dxa"/>
              <w:bottom w:w="80" w:type="dxa"/>
              <w:start w:w="120" w:type="dxa"/>
              <w:end w:w="120" w:type="dxa"/>
            </w:tcMar>
            <w:vAlign w:val="center"/>
            <w:shd w:fill="F2F4F7"/>
          </w:tcPr>
          <w:p>
            <w:pPr>
              <w:spacing w:after="0"/>
            </w:pPr>
            <w:r>
              <w:rPr>
                <w:rFonts w:ascii="Calibri" w:hAnsi="Calibri"/>
                <w:b/>
                <w:i w:val="0"/>
                <w:color w:val="0B2545"/>
                <w:sz w:val="19"/>
              </w:rPr>
              <w:t>Capability domain</w:t>
            </w:r>
          </w:p>
        </w:tc>
        <w:tc>
          <w:tcPr>
            <w:tcW w:type="dxa" w:w="5910"/>
            <w:tcMar>
              <w:top w:w="80" w:type="dxa"/>
              <w:bottom w:w="80" w:type="dxa"/>
              <w:start w:w="120" w:type="dxa"/>
              <w:end w:w="120" w:type="dxa"/>
            </w:tcMar>
            <w:vAlign w:val="center"/>
            <w:shd w:fill="F2F4F7"/>
          </w:tcPr>
          <w:p>
            <w:pPr>
              <w:spacing w:after="0"/>
            </w:pPr>
            <w:r>
              <w:rPr>
                <w:rFonts w:ascii="Calibri" w:hAnsi="Calibri"/>
                <w:b/>
                <w:i w:val="0"/>
                <w:color w:val="0B2545"/>
                <w:sz w:val="19"/>
              </w:rPr>
              <w:t>Comparison question</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1</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Evaluation execution</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Local runner versus managed/scheduled execution</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2</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Dataset ownership</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Local files versus governed storage and lineage</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3</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Result history</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Portable artifact versus durable organization history</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4</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Policy</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Open local rules versus central enforcement</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5</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Human governance</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Local review versus approvals, owners, and waivers</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6</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Provider management</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Adapters versus approved catalogs and credentials</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7</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Cost governance</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Local calculation versus budgets and allocation</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8</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Production telemetry</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Reference OTLP path versus continuous online evaluation</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9</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Identity and access</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Local trust versus SSO/RBAC/SCIM</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10</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Auditability</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Exported manifest versus organization audit ledger</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11</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Integrations</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Generic examples versus supported enterprise connectors</w:t>
            </w:r>
          </w:p>
        </w:tc>
      </w:tr>
      <w:tr>
        <w:tc>
          <w:tcPr>
            <w:tcW w:type="dxa" w:w="700"/>
            <w:tcMar>
              <w:top w:w="80" w:type="dxa"/>
              <w:bottom w:w="80" w:type="dxa"/>
              <w:start w:w="120" w:type="dxa"/>
              <w:end w:w="120" w:type="dxa"/>
            </w:tcMar>
            <w:vAlign w:val="center"/>
          </w:tcPr>
          <w:p>
            <w:pPr>
              <w:spacing w:after="0" w:line="252" w:lineRule="auto"/>
            </w:pPr>
            <w:r>
              <w:rPr>
                <w:rFonts w:ascii="Calibri" w:hAnsi="Calibri"/>
                <w:b w:val="0"/>
                <w:i w:val="0"/>
                <w:color w:val="111111"/>
                <w:sz w:val="18"/>
              </w:rPr>
              <w:t>12</w:t>
            </w:r>
          </w:p>
        </w:tc>
        <w:tc>
          <w:tcPr>
            <w:tcW w:type="dxa" w:w="2750"/>
            <w:tcMar>
              <w:top w:w="80" w:type="dxa"/>
              <w:bottom w:w="80" w:type="dxa"/>
              <w:start w:w="120" w:type="dxa"/>
              <w:end w:w="120" w:type="dxa"/>
            </w:tcMar>
            <w:vAlign w:val="center"/>
          </w:tcPr>
          <w:p>
            <w:pPr>
              <w:spacing w:after="0" w:line="252" w:lineRule="auto"/>
            </w:pPr>
            <w:r>
              <w:rPr>
                <w:rFonts w:ascii="Calibri" w:hAnsi="Calibri"/>
                <w:b w:val="0"/>
                <w:i w:val="0"/>
                <w:color w:val="111111"/>
                <w:sz w:val="18"/>
              </w:rPr>
              <w:t>Deployment and support</w:t>
            </w:r>
          </w:p>
        </w:tc>
        <w:tc>
          <w:tcPr>
            <w:tcW w:type="dxa" w:w="5910"/>
            <w:tcMar>
              <w:top w:w="80" w:type="dxa"/>
              <w:bottom w:w="80" w:type="dxa"/>
              <w:start w:w="120" w:type="dxa"/>
              <w:end w:w="120" w:type="dxa"/>
            </w:tcMar>
            <w:vAlign w:val="center"/>
          </w:tcPr>
          <w:p>
            <w:pPr>
              <w:spacing w:after="0" w:line="252" w:lineRule="auto"/>
            </w:pPr>
            <w:r>
              <w:rPr>
                <w:rFonts w:ascii="Calibri" w:hAnsi="Calibri"/>
                <w:b w:val="0"/>
                <w:i w:val="0"/>
                <w:color w:val="111111"/>
                <w:sz w:val="18"/>
              </w:rPr>
              <w:t>Self-guided examples versus managed/private deployment and SLA</w:t>
            </w:r>
          </w:p>
        </w:tc>
      </w:tr>
    </w:tbl>
    <w:p>
      <w:pPr>
        <w:pStyle w:val="Heading1"/>
        <w:keepNext/>
      </w:pPr>
      <w:r>
        <w:t>10. Evidence and External Guidance</w:t>
      </w:r>
    </w:p>
    <w:p>
      <w:pPr>
        <w:spacing w:after="120" w:line="264" w:lineRule="auto"/>
      </w:pPr>
      <w:r>
        <w:rPr>
          <w:rFonts w:ascii="Calibri" w:hAnsi="Calibri"/>
          <w:b w:val="0"/>
          <w:i w:val="0"/>
          <w:color w:val="111111"/>
          <w:sz w:val="22"/>
        </w:rPr>
        <w:t>Primary repository evidence was taken from the audited checkout. The most important source locations are listed below.</w:t>
      </w:r>
    </w:p>
    <w:p>
      <w:pPr>
        <w:numPr>
          <w:ilvl w:val="0"/>
          <w:numId w:val="41"/>
        </w:numPr>
        <w:spacing w:after="160" w:line="280" w:lineRule="auto"/>
      </w:pPr>
      <w:r>
        <w:rPr>
          <w:rFonts w:ascii="Calibri" w:hAnsi="Calibri"/>
          <w:b w:val="0"/>
          <w:i w:val="0"/>
          <w:color w:val="111111"/>
          <w:sz w:val="22"/>
        </w:rPr>
        <w:t>README.md and docs/00-overview.md through docs/22-provider-telemetry.md</w:t>
      </w:r>
    </w:p>
    <w:p>
      <w:pPr>
        <w:numPr>
          <w:ilvl w:val="0"/>
          <w:numId w:val="41"/>
        </w:numPr>
        <w:spacing w:after="160" w:line="280" w:lineRule="auto"/>
      </w:pPr>
      <w:r>
        <w:rPr>
          <w:rFonts w:ascii="Calibri" w:hAnsi="Calibri"/>
          <w:b w:val="0"/>
          <w:i w:val="0"/>
          <w:color w:val="111111"/>
          <w:sz w:val="22"/>
        </w:rPr>
        <w:t>apps/demo-service/app and apps/demo-service/tests</w:t>
      </w:r>
    </w:p>
    <w:p>
      <w:pPr>
        <w:numPr>
          <w:ilvl w:val="0"/>
          <w:numId w:val="41"/>
        </w:numPr>
        <w:spacing w:after="160" w:line="280" w:lineRule="auto"/>
      </w:pPr>
      <w:r>
        <w:rPr>
          <w:rFonts w:ascii="Calibri" w:hAnsi="Calibri"/>
          <w:b w:val="0"/>
          <w:i w:val="0"/>
          <w:color w:val="111111"/>
          <w:sz w:val="22"/>
        </w:rPr>
        <w:t>apps/ai-sre-assistant/app, cli, evals, and tests</w:t>
      </w:r>
    </w:p>
    <w:p>
      <w:pPr>
        <w:numPr>
          <w:ilvl w:val="0"/>
          <w:numId w:val="41"/>
        </w:numPr>
        <w:spacing w:after="160" w:line="280" w:lineRule="auto"/>
      </w:pPr>
      <w:r>
        <w:rPr>
          <w:rFonts w:ascii="Calibri" w:hAnsi="Calibri"/>
          <w:b w:val="0"/>
          <w:i w:val="0"/>
          <w:color w:val="111111"/>
          <w:sz w:val="22"/>
        </w:rPr>
        <w:t>docker-compose.yml, Makefile, .github/workflows/ci.yml, and both Dockerfiles</w:t>
      </w:r>
    </w:p>
    <w:p>
      <w:pPr>
        <w:numPr>
          <w:ilvl w:val="0"/>
          <w:numId w:val="41"/>
        </w:numPr>
        <w:spacing w:after="160" w:line="280" w:lineRule="auto"/>
      </w:pPr>
      <w:r>
        <w:rPr>
          <w:rFonts w:ascii="Calibri" w:hAnsi="Calibri"/>
          <w:b w:val="0"/>
          <w:i w:val="0"/>
          <w:color w:val="111111"/>
          <w:sz w:val="22"/>
        </w:rPr>
        <w:t>infra/k8s manifests and operations documentation</w:t>
      </w:r>
    </w:p>
    <w:p>
      <w:pPr>
        <w:numPr>
          <w:ilvl w:val="0"/>
          <w:numId w:val="41"/>
        </w:numPr>
        <w:spacing w:after="160" w:line="280" w:lineRule="auto"/>
      </w:pPr>
      <w:r>
        <w:rPr>
          <w:rFonts w:ascii="Calibri" w:hAnsi="Calibri"/>
          <w:b w:val="0"/>
          <w:i w:val="0"/>
          <w:color w:val="111111"/>
          <w:sz w:val="22"/>
        </w:rPr>
        <w:t>LICENSE, CONTRIBUTING.md, SECURITY.md, .env.example, and .gitignore</w:t>
      </w:r>
    </w:p>
    <w:p>
      <w:pPr>
        <w:pStyle w:val="Heading2"/>
        <w:keepNext/>
      </w:pPr>
      <w:r>
        <w:t>10.1 External implementation guidance</w:t>
      </w:r>
    </w:p>
    <w:p>
      <w:pPr>
        <w:spacing w:after="100"/>
      </w:pPr>
      <w:r>
        <w:rPr>
          <w:rFonts w:ascii="Calibri" w:hAnsi="Calibri"/>
          <w:b/>
          <w:i w:val="0"/>
          <w:color w:val="111111"/>
          <w:sz w:val="22"/>
        </w:rPr>
        <w:t xml:space="preserve">Docker port publishing: </w:t>
      </w:r>
      <w:r>
        <w:rPr>
          <w:rFonts w:ascii="Consolas" w:hAnsi="Consolas"/>
          <w:b w:val="0"/>
          <w:i w:val="0"/>
          <w:color w:val="1F4D78"/>
          <w:sz w:val="18"/>
        </w:rPr>
        <w:t>https://docs.docker.com/reference/cli/docker/container/run</w:t>
      </w:r>
    </w:p>
    <w:p>
      <w:pPr>
        <w:spacing w:after="100"/>
      </w:pPr>
      <w:r>
        <w:rPr>
          <w:rFonts w:ascii="Calibri" w:hAnsi="Calibri"/>
          <w:b/>
          <w:i w:val="0"/>
          <w:color w:val="111111"/>
          <w:sz w:val="22"/>
        </w:rPr>
        <w:t xml:space="preserve">OWASP SSRF prevention: </w:t>
      </w:r>
      <w:r>
        <w:rPr>
          <w:rFonts w:ascii="Consolas" w:hAnsi="Consolas"/>
          <w:b w:val="0"/>
          <w:i w:val="0"/>
          <w:color w:val="1F4D78"/>
          <w:sz w:val="18"/>
        </w:rPr>
        <w:t>https://cheatsheetseries.owasp.org/cheatsheets/Server_Side_Request_Forgery_Prevention_Cheat_Sheet.html</w:t>
      </w:r>
    </w:p>
    <w:p>
      <w:pPr>
        <w:spacing w:after="100"/>
      </w:pPr>
      <w:r>
        <w:rPr>
          <w:rFonts w:ascii="Calibri" w:hAnsi="Calibri"/>
          <w:b/>
          <w:i w:val="0"/>
          <w:color w:val="111111"/>
          <w:sz w:val="22"/>
        </w:rPr>
        <w:t xml:space="preserve">GitHub Actions security hardening: </w:t>
      </w:r>
      <w:r>
        <w:rPr>
          <w:rFonts w:ascii="Consolas" w:hAnsi="Consolas"/>
          <w:b w:val="0"/>
          <w:i w:val="0"/>
          <w:color w:val="1F4D78"/>
          <w:sz w:val="18"/>
        </w:rPr>
        <w:t>https://docs.github.com/en/code-security/tutorials/secure-your-organization/protect-against-threats</w:t>
      </w:r>
    </w:p>
    <w:p>
      <w:pPr>
        <w:spacing w:after="100"/>
      </w:pPr>
      <w:r>
        <w:rPr>
          <w:rFonts w:ascii="Calibri" w:hAnsi="Calibri"/>
          <w:b/>
          <w:i w:val="0"/>
          <w:color w:val="111111"/>
          <w:sz w:val="22"/>
        </w:rPr>
        <w:t xml:space="preserve">Kubernetes Linux security constraints: </w:t>
      </w:r>
      <w:r>
        <w:rPr>
          <w:rFonts w:ascii="Consolas" w:hAnsi="Consolas"/>
          <w:b w:val="0"/>
          <w:i w:val="0"/>
          <w:color w:val="1F4D78"/>
          <w:sz w:val="18"/>
        </w:rPr>
        <w:t>https://kubernetes.io/docs/concepts/security/linux-kernel-security-constraints/</w:t>
      </w:r>
    </w:p>
    <w:p>
      <w:pPr>
        <w:pStyle w:val="Heading1"/>
        <w:keepNext/>
      </w:pPr>
      <w:r>
        <w:t>11. Audit Limitations</w:t>
      </w:r>
    </w:p>
    <w:p>
      <w:pPr>
        <w:numPr>
          <w:ilvl w:val="0"/>
          <w:numId w:val="41"/>
        </w:numPr>
        <w:spacing w:after="160" w:line="280" w:lineRule="auto"/>
      </w:pPr>
      <w:r>
        <w:rPr>
          <w:rFonts w:ascii="Calibri" w:hAnsi="Calibri"/>
          <w:b w:val="0"/>
          <w:i w:val="0"/>
          <w:color w:val="111111"/>
          <w:sz w:val="22"/>
        </w:rPr>
        <w:t>No live dependency-vulnerability audit could be tied to a stable dependency graph because the repository has no lock file.</w:t>
      </w:r>
    </w:p>
    <w:p>
      <w:pPr>
        <w:numPr>
          <w:ilvl w:val="0"/>
          <w:numId w:val="41"/>
        </w:numPr>
        <w:spacing w:after="160" w:line="280" w:lineRule="auto"/>
      </w:pPr>
      <w:r>
        <w:rPr>
          <w:rFonts w:ascii="Calibri" w:hAnsi="Calibri"/>
          <w:b w:val="0"/>
          <w:i w:val="0"/>
          <w:color w:val="111111"/>
          <w:sz w:val="22"/>
        </w:rPr>
        <w:t>The current checkout, not the full git history, was scanned for credential-shaped strings.</w:t>
      </w:r>
    </w:p>
    <w:p>
      <w:pPr>
        <w:numPr>
          <w:ilvl w:val="0"/>
          <w:numId w:val="41"/>
        </w:numPr>
        <w:spacing w:after="160" w:line="280" w:lineRule="auto"/>
      </w:pPr>
      <w:r>
        <w:rPr>
          <w:rFonts w:ascii="Calibri" w:hAnsi="Calibri"/>
          <w:b w:val="0"/>
          <w:i w:val="0"/>
          <w:color w:val="111111"/>
          <w:sz w:val="22"/>
        </w:rPr>
        <w:t>Docker Compose was inspected but not exercised end to end during this audit.</w:t>
      </w:r>
    </w:p>
    <w:p>
      <w:pPr>
        <w:numPr>
          <w:ilvl w:val="0"/>
          <w:numId w:val="41"/>
        </w:numPr>
        <w:spacing w:after="160" w:line="280" w:lineRule="auto"/>
      </w:pPr>
      <w:r>
        <w:rPr>
          <w:rFonts w:ascii="Calibri" w:hAnsi="Calibri"/>
          <w:b w:val="0"/>
          <w:i w:val="0"/>
          <w:color w:val="111111"/>
          <w:sz w:val="22"/>
        </w:rPr>
        <w:t>Kubernetes manifests were inspected but not applied because kind was unavailable and kubectl had no cluster.</w:t>
      </w:r>
    </w:p>
    <w:p>
      <w:pPr>
        <w:numPr>
          <w:ilvl w:val="0"/>
          <w:numId w:val="41"/>
        </w:numPr>
        <w:spacing w:after="160" w:line="280" w:lineRule="auto"/>
      </w:pPr>
      <w:r>
        <w:rPr>
          <w:rFonts w:ascii="Calibri" w:hAnsi="Calibri"/>
          <w:b w:val="0"/>
          <w:i w:val="0"/>
          <w:color w:val="111111"/>
          <w:sz w:val="22"/>
        </w:rPr>
        <w:t>The optional external LLM path was tested only through mocks; no provider data was transmitted during the audit.</w:t>
      </w:r>
    </w:p>
    <w:p>
      <w:pPr>
        <w:numPr>
          <w:ilvl w:val="0"/>
          <w:numId w:val="41"/>
        </w:numPr>
        <w:spacing w:after="160" w:line="280" w:lineRule="auto"/>
      </w:pPr>
      <w:r>
        <w:rPr>
          <w:rFonts w:ascii="Calibri" w:hAnsi="Calibri"/>
          <w:b w:val="0"/>
          <w:i w:val="0"/>
          <w:color w:val="111111"/>
          <w:sz w:val="22"/>
        </w:rPr>
        <w:t>Recommendations are scoped to the public learning lab and do not imply that the repository should absorb Pro control-plane responsibilities.</w:t>
      </w:r>
    </w:p>
    <w:p>
      <w:pPr>
        <w:spacing w:before="80" w:after="200" w:line="264" w:lineRule="auto"/>
        <w:ind w:left="216" w:right="216"/>
        <w:shd w:fill="E8EEF5"/>
      </w:pPr>
      <w:r>
        <w:rPr>
          <w:rFonts w:ascii="Calibri" w:hAnsi="Calibri"/>
          <w:b/>
          <w:i w:val="0"/>
          <w:color w:val="0B2545"/>
          <w:sz w:val="22"/>
        </w:rPr>
        <w:t xml:space="preserve">Final assessment: </w:t>
      </w:r>
      <w:r>
        <w:rPr>
          <w:rFonts w:ascii="Calibri" w:hAnsi="Calibri"/>
          <w:b w:val="0"/>
          <w:i w:val="0"/>
          <w:color w:val="111111"/>
          <w:sz w:val="22"/>
        </w:rPr>
        <w:t>Publishable as a learning lab after the P0 boundary fixes. Continue Weeks 5-8 in Community, but keep persistence, organization-wide policy, approvals, audit, and managed operations in Reliability Pro.</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5B6573"/>
        <w:sz w:val="18"/>
      </w:rPr>
      <w:t xml:space="preserve">Audit baseline 7dd4179  |  Page </w:t>
    </w:r>
    <w:r>
      <w:rPr>
        <w:rFonts w:ascii="Calibri" w:hAnsi="Calibri"/>
        <w:b w:val="0"/>
        <w:i w:val="0"/>
        <w:color w:val="5B6573"/>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RELIABILITY LAB  |  COMMUNITY REPOSITORY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abstractNum>
  <w:num w:numId="41">
    <w:abstractNumId w:val="41"/>
  </w:num>
  <w:abstractNum w:abstractNumId="42">
    <w:multiLevelType w:val="singleLevel"/>
  </w:abstract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Reliability Lab Community Repository Audit</dc:title>
  <dc:subject>Technical and product audit of the free/public Reliability Lab repository</dc:subject>
  <dc:creator>Reliability Lab</dc:creator>
  <cp:keywords>Reliability Lab, Community, audit, AI infrastructure, evaluation, governance</cp:keywords>
  <dc:description>Created from the July 22, 2026 repository audit.</dc:description>
  <cp:lastModifiedBy/>
  <cp:revision>1</cp:revision>
  <dcterms:created xsi:type="dcterms:W3CDTF">2013-12-23T23:15:00Z</dcterms:created>
  <dcterms:modified xsi:type="dcterms:W3CDTF">2013-12-23T23:15:00Z</dcterms:modified>
  <cp:category/>
</cp:coreProperties>
</file>